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F979" w14:textId="77777777" w:rsidR="006770EB" w:rsidRDefault="006770EB" w:rsidP="00B938C2">
      <w:pPr>
        <w:pStyle w:val="big-header"/>
        <w:ind w:left="0" w:right="1134"/>
        <w:rPr>
          <w:rFonts w:cs="FrankRuehl"/>
          <w:sz w:val="32"/>
        </w:rPr>
      </w:pPr>
      <w:r>
        <w:rPr>
          <w:rFonts w:cs="FrankRuehl" w:hint="cs"/>
          <w:sz w:val="32"/>
          <w:rtl/>
        </w:rPr>
        <w:t>תקנות התקשורת (בזק ושידורים) (תמלוגים) (הוראת שעה), תשס"ה-2004</w:t>
      </w:r>
    </w:p>
    <w:p w14:paraId="30F756DF" w14:textId="77777777" w:rsidR="00CE6DB9" w:rsidRPr="00CE6DB9" w:rsidRDefault="00CE6DB9" w:rsidP="00CE6DB9">
      <w:pPr>
        <w:spacing w:line="320" w:lineRule="auto"/>
        <w:rPr>
          <w:rFonts w:cs="FrankRuehl"/>
          <w:szCs w:val="26"/>
          <w:rtl/>
        </w:rPr>
      </w:pPr>
    </w:p>
    <w:p w14:paraId="1BCC8088" w14:textId="77777777" w:rsidR="00CE6DB9" w:rsidRDefault="00CE6DB9" w:rsidP="00CE6DB9">
      <w:pPr>
        <w:spacing w:line="320" w:lineRule="auto"/>
        <w:rPr>
          <w:rtl/>
        </w:rPr>
      </w:pPr>
    </w:p>
    <w:p w14:paraId="0F6B9AE1" w14:textId="77777777" w:rsidR="00CE6DB9" w:rsidRPr="00CE6DB9" w:rsidRDefault="00CE6DB9" w:rsidP="00CE6DB9">
      <w:pPr>
        <w:spacing w:line="320" w:lineRule="auto"/>
        <w:rPr>
          <w:rFonts w:cs="Miriam"/>
          <w:szCs w:val="22"/>
          <w:rtl/>
        </w:rPr>
      </w:pPr>
      <w:r w:rsidRPr="00CE6DB9">
        <w:rPr>
          <w:rFonts w:cs="Miriam"/>
          <w:szCs w:val="22"/>
          <w:rtl/>
        </w:rPr>
        <w:t>רשויות ומשפט מנהלי</w:t>
      </w:r>
      <w:r w:rsidRPr="00CE6DB9">
        <w:rPr>
          <w:rFonts w:cs="FrankRuehl"/>
          <w:szCs w:val="26"/>
          <w:rtl/>
        </w:rPr>
        <w:t xml:space="preserve"> – תקשורת – בזק ושידורים – תמלוגים</w:t>
      </w:r>
    </w:p>
    <w:p w14:paraId="2E21696E" w14:textId="77777777" w:rsidR="00B938C2" w:rsidRDefault="00B938C2" w:rsidP="00B938C2">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770EB" w14:paraId="7E323EAB" w14:textId="77777777">
        <w:tblPrEx>
          <w:tblCellMar>
            <w:top w:w="0" w:type="dxa"/>
            <w:bottom w:w="0" w:type="dxa"/>
          </w:tblCellMar>
        </w:tblPrEx>
        <w:trPr>
          <w:jc w:val="right"/>
        </w:trPr>
        <w:tc>
          <w:tcPr>
            <w:tcW w:w="850" w:type="dxa"/>
          </w:tcPr>
          <w:p w14:paraId="52D66392" w14:textId="77777777" w:rsidR="006770EB" w:rsidRDefault="006770EB">
            <w:pPr>
              <w:rPr>
                <w:rStyle w:val="big-number"/>
                <w:rFonts w:cs="FrankRuehl" w:hint="cs"/>
                <w:sz w:val="24"/>
                <w:szCs w:val="24"/>
              </w:rPr>
            </w:pPr>
            <w:r>
              <w:rPr>
                <w:rStyle w:val="big-number"/>
                <w:rFonts w:cs="FrankRuehl"/>
                <w:sz w:val="24"/>
                <w:szCs w:val="24"/>
                <w:rtl/>
              </w:rPr>
              <w:fldChar w:fldCharType="begin"/>
            </w:r>
            <w:r>
              <w:rPr>
                <w:rStyle w:val="big-number"/>
                <w:rFonts w:cs="FrankRuehl"/>
                <w:sz w:val="24"/>
                <w:szCs w:val="24"/>
                <w:rtl/>
              </w:rPr>
              <w:instrText xml:space="preserve"> </w:instrText>
            </w:r>
            <w:r>
              <w:rPr>
                <w:rStyle w:val="big-number"/>
                <w:rFonts w:cs="FrankRuehl"/>
                <w:sz w:val="24"/>
                <w:szCs w:val="24"/>
              </w:rPr>
              <w:instrText>PAGEREF Seif0</w:instrText>
            </w:r>
            <w:r>
              <w:rPr>
                <w:rStyle w:val="big-number"/>
                <w:rFonts w:cs="FrankRuehl"/>
                <w:sz w:val="24"/>
                <w:szCs w:val="24"/>
                <w:rtl/>
              </w:rPr>
              <w:instrText xml:space="preserve"> </w:instrText>
            </w:r>
            <w:r>
              <w:rPr>
                <w:rStyle w:val="big-number"/>
                <w:rFonts w:cs="FrankRuehl"/>
                <w:sz w:val="24"/>
                <w:szCs w:val="24"/>
                <w:rtl/>
              </w:rPr>
              <w:fldChar w:fldCharType="separate"/>
            </w:r>
            <w:r w:rsidR="00B938C2">
              <w:rPr>
                <w:rStyle w:val="big-number"/>
                <w:rFonts w:cs="FrankRuehl"/>
                <w:noProof/>
                <w:sz w:val="24"/>
                <w:szCs w:val="24"/>
                <w:rtl/>
              </w:rPr>
              <w:t>2</w:t>
            </w:r>
            <w:r>
              <w:rPr>
                <w:rStyle w:val="big-number"/>
                <w:rFonts w:cs="FrankRuehl"/>
                <w:sz w:val="24"/>
                <w:szCs w:val="24"/>
                <w:rtl/>
              </w:rPr>
              <w:fldChar w:fldCharType="end"/>
            </w:r>
          </w:p>
        </w:tc>
        <w:tc>
          <w:tcPr>
            <w:tcW w:w="567" w:type="dxa"/>
          </w:tcPr>
          <w:p w14:paraId="05B6C43D" w14:textId="77777777" w:rsidR="006770EB" w:rsidRDefault="006770EB">
            <w:pPr>
              <w:rPr>
                <w:rStyle w:val="big-number"/>
                <w:rFonts w:cs="FrankRuehl" w:hint="cs"/>
                <w:sz w:val="24"/>
                <w:szCs w:val="24"/>
              </w:rPr>
            </w:pPr>
            <w:hyperlink w:anchor="Seif0" w:tooltip="הגדרות" w:history="1">
              <w:r>
                <w:rPr>
                  <w:rStyle w:val="Hyperlink"/>
                </w:rPr>
                <w:t>Go</w:t>
              </w:r>
            </w:hyperlink>
          </w:p>
        </w:tc>
        <w:tc>
          <w:tcPr>
            <w:tcW w:w="5669" w:type="dxa"/>
          </w:tcPr>
          <w:p w14:paraId="4F9316BA" w14:textId="77777777" w:rsidR="006770EB" w:rsidRDefault="006770EB">
            <w:pPr>
              <w:rPr>
                <w:rStyle w:val="big-number"/>
                <w:rFonts w:cs="FrankRuehl"/>
                <w:sz w:val="24"/>
                <w:szCs w:val="24"/>
                <w:rtl/>
              </w:rPr>
            </w:pPr>
            <w:r>
              <w:rPr>
                <w:rStyle w:val="big-number"/>
                <w:rFonts w:cs="FrankRuehl"/>
                <w:sz w:val="24"/>
                <w:szCs w:val="24"/>
                <w:rtl/>
              </w:rPr>
              <w:t>הגדרות</w:t>
            </w:r>
          </w:p>
        </w:tc>
        <w:tc>
          <w:tcPr>
            <w:tcW w:w="1247" w:type="dxa"/>
          </w:tcPr>
          <w:p w14:paraId="58DBAABF" w14:textId="77777777" w:rsidR="006770EB" w:rsidRDefault="006770EB">
            <w:pPr>
              <w:rPr>
                <w:rStyle w:val="big-number"/>
                <w:rFonts w:cs="FrankRuehl" w:hint="cs"/>
                <w:sz w:val="24"/>
                <w:szCs w:val="24"/>
              </w:rPr>
            </w:pPr>
            <w:r>
              <w:rPr>
                <w:rStyle w:val="big-number"/>
                <w:rFonts w:cs="FrankRuehl"/>
                <w:sz w:val="24"/>
                <w:szCs w:val="24"/>
                <w:rtl/>
              </w:rPr>
              <w:t xml:space="preserve">סעיף 1 </w:t>
            </w:r>
          </w:p>
        </w:tc>
      </w:tr>
      <w:tr w:rsidR="006770EB" w14:paraId="13276766" w14:textId="77777777">
        <w:tblPrEx>
          <w:tblCellMar>
            <w:top w:w="0" w:type="dxa"/>
            <w:bottom w:w="0" w:type="dxa"/>
          </w:tblCellMar>
        </w:tblPrEx>
        <w:trPr>
          <w:jc w:val="right"/>
        </w:trPr>
        <w:tc>
          <w:tcPr>
            <w:tcW w:w="850" w:type="dxa"/>
          </w:tcPr>
          <w:p w14:paraId="689B2BCA" w14:textId="77777777" w:rsidR="006770EB" w:rsidRDefault="006770EB">
            <w:pPr>
              <w:rPr>
                <w:rStyle w:val="big-number"/>
                <w:rFonts w:cs="FrankRuehl" w:hint="cs"/>
                <w:sz w:val="24"/>
                <w:szCs w:val="24"/>
              </w:rPr>
            </w:pPr>
            <w:r>
              <w:rPr>
                <w:rStyle w:val="big-number"/>
                <w:rFonts w:cs="FrankRuehl"/>
                <w:sz w:val="24"/>
                <w:szCs w:val="24"/>
                <w:rtl/>
              </w:rPr>
              <w:fldChar w:fldCharType="begin"/>
            </w:r>
            <w:r>
              <w:rPr>
                <w:rStyle w:val="big-number"/>
                <w:rFonts w:cs="FrankRuehl"/>
                <w:sz w:val="24"/>
                <w:szCs w:val="24"/>
                <w:rtl/>
              </w:rPr>
              <w:instrText xml:space="preserve"> </w:instrText>
            </w:r>
            <w:r>
              <w:rPr>
                <w:rStyle w:val="big-number"/>
                <w:rFonts w:cs="FrankRuehl"/>
                <w:sz w:val="24"/>
                <w:szCs w:val="24"/>
              </w:rPr>
              <w:instrText>PAGEREF Seif1</w:instrText>
            </w:r>
            <w:r>
              <w:rPr>
                <w:rStyle w:val="big-number"/>
                <w:rFonts w:cs="FrankRuehl"/>
                <w:sz w:val="24"/>
                <w:szCs w:val="24"/>
                <w:rtl/>
              </w:rPr>
              <w:instrText xml:space="preserve"> </w:instrText>
            </w:r>
            <w:r>
              <w:rPr>
                <w:rStyle w:val="big-number"/>
                <w:rFonts w:cs="FrankRuehl"/>
                <w:sz w:val="24"/>
                <w:szCs w:val="24"/>
                <w:rtl/>
              </w:rPr>
              <w:fldChar w:fldCharType="separate"/>
            </w:r>
            <w:r w:rsidR="00B938C2">
              <w:rPr>
                <w:rStyle w:val="big-number"/>
                <w:rFonts w:cs="FrankRuehl"/>
                <w:noProof/>
                <w:sz w:val="24"/>
                <w:szCs w:val="24"/>
                <w:rtl/>
              </w:rPr>
              <w:t>2</w:t>
            </w:r>
            <w:r>
              <w:rPr>
                <w:rStyle w:val="big-number"/>
                <w:rFonts w:cs="FrankRuehl"/>
                <w:sz w:val="24"/>
                <w:szCs w:val="24"/>
                <w:rtl/>
              </w:rPr>
              <w:fldChar w:fldCharType="end"/>
            </w:r>
          </w:p>
        </w:tc>
        <w:tc>
          <w:tcPr>
            <w:tcW w:w="567" w:type="dxa"/>
          </w:tcPr>
          <w:p w14:paraId="23EBE663" w14:textId="77777777" w:rsidR="006770EB" w:rsidRDefault="006770EB">
            <w:pPr>
              <w:rPr>
                <w:rStyle w:val="big-number"/>
                <w:rFonts w:cs="FrankRuehl" w:hint="cs"/>
                <w:sz w:val="24"/>
                <w:szCs w:val="24"/>
              </w:rPr>
            </w:pPr>
            <w:hyperlink w:anchor="Seif1" w:tooltip="הוראת שעה" w:history="1">
              <w:r>
                <w:rPr>
                  <w:rStyle w:val="Hyperlink"/>
                </w:rPr>
                <w:t>Go</w:t>
              </w:r>
            </w:hyperlink>
          </w:p>
        </w:tc>
        <w:tc>
          <w:tcPr>
            <w:tcW w:w="5669" w:type="dxa"/>
          </w:tcPr>
          <w:p w14:paraId="2BF21D10" w14:textId="77777777" w:rsidR="006770EB" w:rsidRDefault="006770EB">
            <w:pPr>
              <w:rPr>
                <w:rStyle w:val="big-number"/>
                <w:rFonts w:cs="FrankRuehl"/>
                <w:sz w:val="24"/>
                <w:szCs w:val="24"/>
                <w:rtl/>
              </w:rPr>
            </w:pPr>
            <w:r>
              <w:rPr>
                <w:rStyle w:val="big-number"/>
                <w:rFonts w:cs="FrankRuehl"/>
                <w:sz w:val="24"/>
                <w:szCs w:val="24"/>
                <w:rtl/>
              </w:rPr>
              <w:t>הוראת שעה</w:t>
            </w:r>
          </w:p>
        </w:tc>
        <w:tc>
          <w:tcPr>
            <w:tcW w:w="1247" w:type="dxa"/>
          </w:tcPr>
          <w:p w14:paraId="0251B207" w14:textId="77777777" w:rsidR="006770EB" w:rsidRDefault="006770EB">
            <w:pPr>
              <w:rPr>
                <w:rStyle w:val="big-number"/>
                <w:rFonts w:cs="FrankRuehl" w:hint="cs"/>
                <w:sz w:val="24"/>
                <w:szCs w:val="24"/>
              </w:rPr>
            </w:pPr>
            <w:r>
              <w:rPr>
                <w:rStyle w:val="big-number"/>
                <w:rFonts w:cs="FrankRuehl"/>
                <w:sz w:val="24"/>
                <w:szCs w:val="24"/>
                <w:rtl/>
              </w:rPr>
              <w:t xml:space="preserve">סעיף 2 </w:t>
            </w:r>
          </w:p>
        </w:tc>
      </w:tr>
    </w:tbl>
    <w:p w14:paraId="69B67804" w14:textId="77777777" w:rsidR="00B938C2" w:rsidRDefault="00B938C2" w:rsidP="00B938C2">
      <w:pPr>
        <w:pStyle w:val="big-header"/>
        <w:ind w:left="0" w:right="1134"/>
        <w:rPr>
          <w:rFonts w:cs="FrankRuehl" w:hint="cs"/>
          <w:sz w:val="32"/>
          <w:rtl/>
        </w:rPr>
      </w:pPr>
    </w:p>
    <w:p w14:paraId="182718A2" w14:textId="77777777" w:rsidR="00B938C2" w:rsidRDefault="00B938C2" w:rsidP="00CE6DB9">
      <w:pPr>
        <w:pStyle w:val="big-header"/>
        <w:ind w:left="0" w:right="1134"/>
        <w:rPr>
          <w:rFonts w:cs="FrankRuehl" w:hint="cs"/>
          <w:sz w:val="32"/>
          <w:rtl/>
        </w:rPr>
      </w:pPr>
      <w:r>
        <w:rPr>
          <w:rFonts w:cs="FrankRuehl"/>
          <w:sz w:val="32"/>
          <w:rtl/>
        </w:rPr>
        <w:br w:type="page"/>
      </w:r>
      <w:r>
        <w:rPr>
          <w:rFonts w:cs="FrankRuehl" w:hint="cs"/>
          <w:sz w:val="32"/>
          <w:rtl/>
        </w:rPr>
        <w:lastRenderedPageBreak/>
        <w:t>תקנות התקשורת (בזק ושידורים) (תמלוגים) (הוראת שעה), תשס"ה-2004</w:t>
      </w:r>
      <w:r>
        <w:rPr>
          <w:rStyle w:val="default"/>
          <w:sz w:val="22"/>
          <w:szCs w:val="22"/>
          <w:rtl/>
        </w:rPr>
        <w:footnoteReference w:customMarkFollows="1" w:id="1"/>
        <w:t>*</w:t>
      </w:r>
    </w:p>
    <w:p w14:paraId="2EE8B6E6"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בתוקף סמכותנו לפי סעיפים 54 ו-59 לחוק התקשורת (בזק ושידורים), התשמ"ב-1982, ובאישור ועדת הכספים של הכנסת, אנו מתקינים תקנות אלה:</w:t>
      </w:r>
    </w:p>
    <w:p w14:paraId="30BD6A4D" w14:textId="77777777" w:rsidR="006770EB" w:rsidRDefault="006770EB">
      <w:pPr>
        <w:pStyle w:val="P00"/>
        <w:spacing w:before="72"/>
        <w:ind w:left="0" w:right="1134"/>
        <w:rPr>
          <w:rStyle w:val="big-number"/>
          <w:rFonts w:cs="FrankRuehl" w:hint="cs"/>
          <w:sz w:val="26"/>
          <w:szCs w:val="26"/>
          <w:rtl/>
        </w:rPr>
      </w:pPr>
      <w:bookmarkStart w:id="0" w:name="Seif0"/>
      <w:bookmarkEnd w:id="0"/>
      <w:r>
        <w:rPr>
          <w:rFonts w:cs="Miriam"/>
          <w:lang w:val="he-IL"/>
        </w:rPr>
        <w:pict w14:anchorId="259607B8">
          <v:rect id="_x0000_s1026" style="position:absolute;left:0;text-align:left;margin-left:468pt;margin-top:8.05pt;width:70.55pt;height:8.95pt;z-index:251657216" filled="f" stroked="f" strokecolor="lime" strokeweight=".25pt">
            <v:textbox style="mso-next-textbox:#_x0000_s1026" inset="1mm,0,1mm,0">
              <w:txbxContent>
                <w:p w14:paraId="779DA400" w14:textId="77777777" w:rsidR="006770EB" w:rsidRDefault="006770E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14:paraId="6DA3D028"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"ההוראה הזמנית" </w:t>
      </w:r>
      <w:r>
        <w:rPr>
          <w:rStyle w:val="big-number"/>
          <w:rFonts w:cs="FrankRuehl"/>
          <w:sz w:val="26"/>
          <w:szCs w:val="26"/>
          <w:rtl/>
        </w:rPr>
        <w:t>–</w:t>
      </w:r>
      <w:r>
        <w:rPr>
          <w:rStyle w:val="big-number"/>
          <w:rFonts w:cs="FrankRuehl" w:hint="cs"/>
          <w:sz w:val="26"/>
          <w:szCs w:val="26"/>
          <w:rtl/>
        </w:rPr>
        <w:t xml:space="preserve"> הוראת השעה הקבועה בתקנה 10 לתיקון מס' 3;</w:t>
      </w:r>
    </w:p>
    <w:p w14:paraId="4075739C"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"הסכום המוכר" </w:t>
      </w:r>
      <w:r>
        <w:rPr>
          <w:rStyle w:val="big-number"/>
          <w:rFonts w:cs="FrankRuehl"/>
          <w:sz w:val="26"/>
          <w:szCs w:val="26"/>
          <w:rtl/>
        </w:rPr>
        <w:t>–</w:t>
      </w:r>
      <w:r>
        <w:rPr>
          <w:rStyle w:val="big-number"/>
          <w:rFonts w:cs="FrankRuehl" w:hint="cs"/>
          <w:sz w:val="26"/>
          <w:szCs w:val="26"/>
          <w:rtl/>
        </w:rPr>
        <w:t xml:space="preserve"> תשלום בעד קישור גומלין לפי תקנה 2(ג) לתקנות קישור גומלין, המחושב לפי פער דקות תנועה, אשר מפ"א היה אמור לשלם לחברת "בזק" אלמלא ההוראה הזמנית;</w:t>
      </w:r>
    </w:p>
    <w:p w14:paraId="74E102DB"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"חברת "בזק"" </w:t>
      </w:r>
      <w:r>
        <w:rPr>
          <w:rStyle w:val="big-number"/>
          <w:rFonts w:cs="FrankRuehl"/>
          <w:sz w:val="26"/>
          <w:szCs w:val="26"/>
          <w:rtl/>
        </w:rPr>
        <w:t>–</w:t>
      </w:r>
      <w:r>
        <w:rPr>
          <w:rStyle w:val="big-number"/>
          <w:rFonts w:cs="FrankRuehl" w:hint="cs"/>
          <w:sz w:val="26"/>
          <w:szCs w:val="26"/>
          <w:rtl/>
        </w:rPr>
        <w:t xml:space="preserve"> "בזק", החברה הישראלית לתקשורת בע"מ;</w:t>
      </w:r>
    </w:p>
    <w:p w14:paraId="77378DEE"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"מפ"א" </w:t>
      </w:r>
      <w:r>
        <w:rPr>
          <w:rStyle w:val="big-number"/>
          <w:rFonts w:cs="FrankRuehl"/>
          <w:sz w:val="26"/>
          <w:szCs w:val="26"/>
          <w:rtl/>
        </w:rPr>
        <w:t>–</w:t>
      </w:r>
      <w:r>
        <w:rPr>
          <w:rStyle w:val="big-number"/>
          <w:rFonts w:cs="FrankRuehl" w:hint="cs"/>
          <w:sz w:val="26"/>
          <w:szCs w:val="26"/>
          <w:rtl/>
        </w:rPr>
        <w:t xml:space="preserve"> כהגדרתו בהוראה הזמנית;</w:t>
      </w:r>
    </w:p>
    <w:p w14:paraId="294CE5C3"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"פער דקות תנועה" </w:t>
      </w:r>
      <w:r>
        <w:rPr>
          <w:rStyle w:val="big-number"/>
          <w:rFonts w:cs="FrankRuehl"/>
          <w:sz w:val="26"/>
          <w:szCs w:val="26"/>
          <w:rtl/>
        </w:rPr>
        <w:t>–</w:t>
      </w:r>
      <w:r>
        <w:rPr>
          <w:rStyle w:val="big-number"/>
          <w:rFonts w:cs="FrankRuehl" w:hint="cs"/>
          <w:sz w:val="26"/>
          <w:szCs w:val="26"/>
          <w:rtl/>
        </w:rPr>
        <w:t xml:space="preserve"> כמשמעו בתקנה 10(א)(2) לתיקון מס' 3;</w:t>
      </w:r>
    </w:p>
    <w:p w14:paraId="06173EE3"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"תיקון מס' 3" </w:t>
      </w:r>
      <w:r>
        <w:rPr>
          <w:rStyle w:val="big-number"/>
          <w:rFonts w:cs="FrankRuehl"/>
          <w:sz w:val="26"/>
          <w:szCs w:val="26"/>
          <w:rtl/>
        </w:rPr>
        <w:t>–</w:t>
      </w:r>
      <w:r>
        <w:rPr>
          <w:rStyle w:val="big-number"/>
          <w:rFonts w:cs="FrankRuehl" w:hint="cs"/>
          <w:sz w:val="26"/>
          <w:szCs w:val="26"/>
          <w:rtl/>
        </w:rPr>
        <w:t xml:space="preserve"> תקנות התקשורת (בזק ושידורים) (תשלומים בעד קישור גומלין) (תיקון מס' 3), התשס"ד-2004;</w:t>
      </w:r>
    </w:p>
    <w:p w14:paraId="44D44429"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"תקנות התמלוגים" </w:t>
      </w:r>
      <w:r>
        <w:rPr>
          <w:rStyle w:val="big-number"/>
          <w:rFonts w:cs="FrankRuehl"/>
          <w:sz w:val="26"/>
          <w:szCs w:val="26"/>
          <w:rtl/>
        </w:rPr>
        <w:t>–</w:t>
      </w:r>
      <w:r>
        <w:rPr>
          <w:rStyle w:val="big-number"/>
          <w:rFonts w:cs="FrankRuehl" w:hint="cs"/>
          <w:sz w:val="26"/>
          <w:szCs w:val="26"/>
          <w:rtl/>
        </w:rPr>
        <w:t xml:space="preserve"> תקנות הבזק (תמלוגים), התשס"א-2001;</w:t>
      </w:r>
    </w:p>
    <w:p w14:paraId="1E47AD7E" w14:textId="77777777" w:rsidR="006770EB" w:rsidRDefault="006770E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"תקנות קישור גומלין" </w:t>
      </w:r>
      <w:r>
        <w:rPr>
          <w:rStyle w:val="big-number"/>
          <w:rFonts w:cs="FrankRuehl"/>
          <w:sz w:val="26"/>
          <w:szCs w:val="26"/>
          <w:rtl/>
        </w:rPr>
        <w:t>–</w:t>
      </w:r>
      <w:r>
        <w:rPr>
          <w:rStyle w:val="big-number"/>
          <w:rFonts w:cs="FrankRuehl" w:hint="cs"/>
          <w:sz w:val="26"/>
          <w:szCs w:val="26"/>
          <w:rtl/>
        </w:rPr>
        <w:t xml:space="preserve"> תקנות התקשורת (בזק ושידורים) (תשלומים בעד קישור גומלין), התש"ס-2000.</w:t>
      </w:r>
    </w:p>
    <w:p w14:paraId="3ED77106" w14:textId="77777777" w:rsidR="006770EB" w:rsidRDefault="006770EB">
      <w:pPr>
        <w:pStyle w:val="P00"/>
        <w:spacing w:before="72"/>
        <w:ind w:left="0" w:right="1134"/>
        <w:rPr>
          <w:rStyle w:val="default"/>
          <w:rFonts w:cs="FrankRuehl" w:hint="cs"/>
          <w:rtl/>
        </w:rPr>
      </w:pPr>
      <w:bookmarkStart w:id="1" w:name="Seif1"/>
      <w:bookmarkEnd w:id="1"/>
      <w:r>
        <w:rPr>
          <w:rFonts w:cs="Miriam"/>
          <w:lang w:val="he-IL"/>
        </w:rPr>
        <w:pict w14:anchorId="07B2F7B0">
          <v:rect id="_x0000_s1215" style="position:absolute;left:0;text-align:left;margin-left:468pt;margin-top:8.05pt;width:70.55pt;height:12.9pt;z-index:251658240" filled="f" stroked="f" strokecolor="lime" strokeweight=".25pt">
            <v:textbox style="mso-next-textbox:#_x0000_s1215" inset="1mm,0,1mm,0">
              <w:txbxContent>
                <w:p w14:paraId="07BD4FE6" w14:textId="77777777" w:rsidR="006770EB" w:rsidRDefault="006770EB">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(א)</w:t>
      </w:r>
      <w:r>
        <w:rPr>
          <w:rStyle w:val="default"/>
          <w:rFonts w:cs="FrankRuehl" w:hint="cs"/>
          <w:rtl/>
        </w:rPr>
        <w:tab/>
        <w:t>עד תום תוקפה של ההוראה הזמנית, רשאית חברת "בזק" לנכות מסכום התמלוגים אשר עליה לשלם בהתאם להוראות תקנה 1 לתקנות התמלוגים, את הסכום המוכר.</w:t>
      </w:r>
    </w:p>
    <w:p w14:paraId="6A17BA22" w14:textId="77777777" w:rsidR="006770EB" w:rsidRDefault="00677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בטרם ביצוע ניכוי כאמור בתקנת משנה (א), תעביר חברת "בזק" לחשב משרד התקשורת את פירוט תחשיב הסכום המוכר, חשב משרד התקשורת רשאי, בתוך עשרה ימי עבודה, להורות לחברת "בזק" בדבר תיקונים שעליה לערוך בתחשיב לצורך הניכוי או בדבר הבהרות שעליה למסור, וחברת "בזק" תפעל בהתאם להוראות כאמור; לא הודיע חשב משרד התקשורת בדבר תיקונים או הבהרות כאמור, רשאית חברת "בזק" לבצע את הניכוי בהתאם לתחשיב שהעבירה.</w:t>
      </w:r>
    </w:p>
    <w:p w14:paraId="2B4CAB14" w14:textId="77777777" w:rsidR="006770EB" w:rsidRDefault="006770EB">
      <w:pPr>
        <w:pStyle w:val="P00"/>
        <w:spacing w:before="72"/>
        <w:ind w:left="0" w:right="1134"/>
        <w:rPr>
          <w:rStyle w:val="default"/>
          <w:rFonts w:cs="FrankRuehl" w:hint="cs"/>
          <w:rtl/>
        </w:rPr>
      </w:pPr>
    </w:p>
    <w:p w14:paraId="374BFA5A" w14:textId="77777777" w:rsidR="006770EB" w:rsidRDefault="006770EB">
      <w:pPr>
        <w:pStyle w:val="P00"/>
        <w:spacing w:before="72"/>
        <w:ind w:left="0" w:right="1134"/>
        <w:rPr>
          <w:rStyle w:val="default"/>
          <w:rFonts w:cs="FrankRuehl" w:hint="cs"/>
          <w:rtl/>
        </w:rPr>
      </w:pPr>
    </w:p>
    <w:p w14:paraId="78D03199" w14:textId="77777777" w:rsidR="006770EB" w:rsidRDefault="006770EB" w:rsidP="00B938C2">
      <w:pPr>
        <w:pStyle w:val="sig-1"/>
        <w:widowControl/>
        <w:tabs>
          <w:tab w:val="clear" w:pos="851"/>
          <w:tab w:val="clear" w:pos="2835"/>
          <w:tab w:val="clear" w:pos="4820"/>
          <w:tab w:val="center" w:pos="4536"/>
          <w:tab w:val="center" w:pos="6237"/>
        </w:tabs>
        <w:ind w:left="0" w:right="1134"/>
        <w:rPr>
          <w:rFonts w:cs="FrankRuehl" w:hint="cs"/>
          <w:sz w:val="26"/>
          <w:szCs w:val="26"/>
          <w:rtl/>
        </w:rPr>
      </w:pPr>
      <w:r>
        <w:rPr>
          <w:rFonts w:cs="FrankRuehl" w:hint="cs"/>
          <w:sz w:val="26"/>
          <w:szCs w:val="26"/>
          <w:rtl/>
        </w:rPr>
        <w:t>ה' בחשון התשס"ה (20 באוקטובר 2004)</w:t>
      </w:r>
      <w:r>
        <w:rPr>
          <w:rFonts w:cs="FrankRuehl" w:hint="cs"/>
          <w:sz w:val="26"/>
          <w:szCs w:val="26"/>
          <w:rtl/>
        </w:rPr>
        <w:tab/>
        <w:t>בנימין נתניהו</w:t>
      </w:r>
      <w:r>
        <w:rPr>
          <w:rFonts w:cs="FrankRuehl" w:hint="cs"/>
          <w:sz w:val="26"/>
          <w:szCs w:val="26"/>
          <w:rtl/>
        </w:rPr>
        <w:tab/>
        <w:t>אהוד אולמרט</w:t>
      </w:r>
    </w:p>
    <w:p w14:paraId="660BB1CA" w14:textId="77777777" w:rsidR="006770EB" w:rsidRDefault="006770EB" w:rsidP="00B938C2">
      <w:pPr>
        <w:pStyle w:val="sig-1"/>
        <w:widowControl/>
        <w:tabs>
          <w:tab w:val="clear" w:pos="851"/>
          <w:tab w:val="clear" w:pos="2835"/>
          <w:tab w:val="clear" w:pos="4820"/>
          <w:tab w:val="center" w:pos="4536"/>
          <w:tab w:val="center" w:pos="6237"/>
        </w:tabs>
        <w:ind w:left="0" w:right="1134"/>
        <w:rPr>
          <w:rFonts w:cs="FrankRuehl" w:hint="cs"/>
          <w:sz w:val="22"/>
          <w:rtl/>
        </w:rPr>
      </w:pPr>
      <w:r>
        <w:rPr>
          <w:rFonts w:cs="FrankRuehl" w:hint="cs"/>
          <w:sz w:val="22"/>
          <w:rtl/>
        </w:rPr>
        <w:tab/>
        <w:t>שר האוצר</w:t>
      </w:r>
      <w:r>
        <w:rPr>
          <w:rFonts w:cs="FrankRuehl" w:hint="cs"/>
          <w:sz w:val="22"/>
          <w:rtl/>
        </w:rPr>
        <w:tab/>
        <w:t>שר התקשורת</w:t>
      </w:r>
    </w:p>
    <w:p w14:paraId="69B09248" w14:textId="77777777" w:rsidR="006770EB" w:rsidRPr="00B938C2" w:rsidRDefault="006770EB" w:rsidP="00B938C2">
      <w:pPr>
        <w:pStyle w:val="P00"/>
        <w:spacing w:before="72"/>
        <w:ind w:left="0" w:right="1134"/>
        <w:rPr>
          <w:rStyle w:val="default"/>
          <w:rFonts w:cs="FrankRuehl" w:hint="cs"/>
          <w:rtl/>
        </w:rPr>
      </w:pPr>
    </w:p>
    <w:p w14:paraId="35E8D6AF" w14:textId="77777777" w:rsidR="00B938C2" w:rsidRPr="00B938C2" w:rsidRDefault="00B938C2" w:rsidP="00B938C2">
      <w:pPr>
        <w:pStyle w:val="P00"/>
        <w:spacing w:before="72"/>
        <w:ind w:left="0" w:right="1134"/>
        <w:rPr>
          <w:rStyle w:val="default"/>
          <w:rFonts w:cs="FrankRuehl" w:hint="cs"/>
          <w:rtl/>
        </w:rPr>
      </w:pPr>
    </w:p>
    <w:p w14:paraId="4080BB16" w14:textId="77777777" w:rsidR="00B938C2" w:rsidRPr="00B938C2" w:rsidRDefault="00B938C2" w:rsidP="00B938C2">
      <w:pPr>
        <w:pStyle w:val="P00"/>
        <w:spacing w:before="72"/>
        <w:ind w:left="0" w:right="1134"/>
        <w:rPr>
          <w:rStyle w:val="default"/>
          <w:rFonts w:cs="FrankRuehl" w:hint="cs"/>
          <w:rtl/>
        </w:rPr>
      </w:pPr>
    </w:p>
    <w:sectPr w:rsidR="00B938C2" w:rsidRPr="00B938C2">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82FE9" w14:textId="77777777" w:rsidR="00671984" w:rsidRDefault="00671984">
      <w:r>
        <w:separator/>
      </w:r>
    </w:p>
  </w:endnote>
  <w:endnote w:type="continuationSeparator" w:id="0">
    <w:p w14:paraId="1B2E5722" w14:textId="77777777" w:rsidR="00671984" w:rsidRDefault="0067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C8B8" w14:textId="77777777" w:rsidR="006770EB" w:rsidRDefault="006770E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282FAE8" w14:textId="77777777" w:rsidR="006770EB" w:rsidRDefault="006770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E07BBC" w14:textId="77777777" w:rsidR="006770EB" w:rsidRDefault="006770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38C2">
      <w:rPr>
        <w:rFonts w:cs="TopType Jerushalmi"/>
        <w:noProof/>
        <w:color w:val="000000"/>
        <w:sz w:val="14"/>
        <w:szCs w:val="14"/>
      </w:rPr>
      <w:t>D:\Yael\hakika\Revadim</w:t>
    </w:r>
    <w:r w:rsidR="00B938C2">
      <w:rPr>
        <w:rFonts w:cs="TopType Jerushalmi"/>
        <w:noProof/>
        <w:color w:val="000000"/>
        <w:sz w:val="14"/>
        <w:szCs w:val="14"/>
        <w:rtl/>
      </w:rPr>
      <w:t>\קישורים\999_362.</w:t>
    </w:r>
    <w:r w:rsidR="00B938C2">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9544" w14:textId="77777777" w:rsidR="006770EB" w:rsidRDefault="006770E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E6DB9">
      <w:rPr>
        <w:rFonts w:hAnsi="FrankRuehl" w:cs="FrankRuehl"/>
        <w:noProof/>
        <w:sz w:val="24"/>
        <w:szCs w:val="24"/>
        <w:rtl/>
      </w:rPr>
      <w:t>2</w:t>
    </w:r>
    <w:r>
      <w:rPr>
        <w:rFonts w:hAnsi="FrankRuehl" w:cs="FrankRuehl"/>
        <w:sz w:val="24"/>
        <w:szCs w:val="24"/>
        <w:rtl/>
      </w:rPr>
      <w:fldChar w:fldCharType="end"/>
    </w:r>
  </w:p>
  <w:p w14:paraId="17E933A3" w14:textId="77777777" w:rsidR="006770EB" w:rsidRDefault="006770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6EB733" w14:textId="77777777" w:rsidR="006770EB" w:rsidRDefault="006770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38C2">
      <w:rPr>
        <w:rFonts w:cs="TopType Jerushalmi"/>
        <w:noProof/>
        <w:color w:val="000000"/>
        <w:sz w:val="14"/>
        <w:szCs w:val="14"/>
      </w:rPr>
      <w:t>D:\Yael\hakika\Revadim</w:t>
    </w:r>
    <w:r w:rsidR="00B938C2">
      <w:rPr>
        <w:rFonts w:cs="TopType Jerushalmi"/>
        <w:noProof/>
        <w:color w:val="000000"/>
        <w:sz w:val="14"/>
        <w:szCs w:val="14"/>
        <w:rtl/>
      </w:rPr>
      <w:t>\קישורים\999_362.</w:t>
    </w:r>
    <w:r w:rsidR="00B938C2">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C63E" w14:textId="77777777" w:rsidR="00671984" w:rsidRDefault="00671984" w:rsidP="00B938C2">
      <w:pPr>
        <w:spacing w:before="60"/>
        <w:ind w:right="1134"/>
      </w:pPr>
      <w:r>
        <w:separator/>
      </w:r>
    </w:p>
  </w:footnote>
  <w:footnote w:type="continuationSeparator" w:id="0">
    <w:p w14:paraId="2769CA18" w14:textId="77777777" w:rsidR="00671984" w:rsidRDefault="00671984">
      <w:r>
        <w:continuationSeparator/>
      </w:r>
    </w:p>
  </w:footnote>
  <w:footnote w:id="1">
    <w:p w14:paraId="00F0A409" w14:textId="77777777" w:rsidR="00B938C2" w:rsidRDefault="00B938C2" w:rsidP="00B938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תשס"ה מס' 6348</w:t>
        </w:r>
      </w:hyperlink>
      <w:r>
        <w:rPr>
          <w:rFonts w:cs="FrankRuehl" w:hint="cs"/>
          <w:rtl/>
        </w:rPr>
        <w:t xml:space="preserve"> מיום 17.11.2004 עמ' 160.</w:t>
      </w:r>
    </w:p>
    <w:p w14:paraId="2AD19296" w14:textId="77777777" w:rsidR="00B938C2" w:rsidRDefault="00B938C2" w:rsidP="00B938C2">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CD27" w14:textId="77777777" w:rsidR="006770EB" w:rsidRDefault="006770E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864156D" w14:textId="77777777" w:rsidR="006770EB" w:rsidRDefault="006770E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96E2A5" w14:textId="77777777" w:rsidR="006770EB" w:rsidRDefault="006770E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683E" w14:textId="77777777" w:rsidR="006770EB" w:rsidRDefault="006770E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התקשורת (בזק ושידורים) (תמלוגים) (הוראת שעה), תשס"ה-2004</w:t>
    </w:r>
  </w:p>
  <w:p w14:paraId="23B6EF10" w14:textId="77777777" w:rsidR="006770EB" w:rsidRDefault="006770E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FDF8CD" w14:textId="77777777" w:rsidR="006770EB" w:rsidRDefault="006770E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2477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28A1"/>
    <w:rsid w:val="00221D55"/>
    <w:rsid w:val="004628A1"/>
    <w:rsid w:val="004732C6"/>
    <w:rsid w:val="00671984"/>
    <w:rsid w:val="006770EB"/>
    <w:rsid w:val="007704D8"/>
    <w:rsid w:val="00B938C2"/>
    <w:rsid w:val="00C35BF4"/>
    <w:rsid w:val="00C53376"/>
    <w:rsid w:val="00CE6D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6200DC2C"/>
  <w15:chartTrackingRefBased/>
  <w15:docId w15:val="{1D4C77D7-9462-48A3-8688-99700E25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1732</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8060931</vt:i4>
      </vt:variant>
      <vt:variant>
        <vt:i4>0</vt:i4>
      </vt:variant>
      <vt:variant>
        <vt:i4>0</vt:i4>
      </vt:variant>
      <vt:variant>
        <vt:i4>5</vt:i4>
      </vt:variant>
      <vt:variant>
        <vt:lpwstr>http://www.nevo.co.il/Law_word/law06/TAK-6348.pdf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התקשורת (בזק ושידורים) (תמלוגים) (הוראת שעה), תשס"ה-2004</vt:lpwstr>
  </property>
  <property fmtid="{D5CDD505-2E9C-101B-9397-08002B2CF9AE}" pid="4" name="LAWNUMBER">
    <vt:lpwstr>0362</vt:lpwstr>
  </property>
  <property fmtid="{D5CDD505-2E9C-101B-9397-08002B2CF9AE}" pid="5" name="TYPE">
    <vt:lpwstr>01</vt:lpwstr>
  </property>
  <property fmtid="{D5CDD505-2E9C-101B-9397-08002B2CF9AE}" pid="6" name="CHNAME">
    <vt:lpwstr>תשתיות</vt:lpwstr>
  </property>
  <property fmtid="{D5CDD505-2E9C-101B-9397-08002B2CF9AE}" pid="7" name="LINKK1">
    <vt:lpwstr>http://www.nevo.co.il/Law_word/law06/TAK-6348.pdf;רשומות - תקנות כלליות#פורסמו ק"ת תשס"ה מס' 6348#מיום 17.11.2004#עמ' 160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חוק התקשורת (בזק ושידורים)</vt:lpwstr>
  </property>
  <property fmtid="{D5CDD505-2E9C-101B-9397-08002B2CF9AE}" pid="18" name="MEKOR_SAIF1">
    <vt:lpwstr>54X;59X</vt:lpwstr>
  </property>
  <property fmtid="{D5CDD505-2E9C-101B-9397-08002B2CF9AE}" pid="19" name="NOSE11">
    <vt:lpwstr>רשויות ומשפט מנהלי</vt:lpwstr>
  </property>
  <property fmtid="{D5CDD505-2E9C-101B-9397-08002B2CF9AE}" pid="20" name="NOSE21">
    <vt:lpwstr>תקשורת</vt:lpwstr>
  </property>
  <property fmtid="{D5CDD505-2E9C-101B-9397-08002B2CF9AE}" pid="21" name="NOSE31">
    <vt:lpwstr>בזק ושידורים</vt:lpwstr>
  </property>
  <property fmtid="{D5CDD505-2E9C-101B-9397-08002B2CF9AE}" pid="22" name="NOSE41">
    <vt:lpwstr>תמלוגים</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