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AFF" w:rsidRDefault="00EE1AFF" w:rsidP="00D97D0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תקנות זכויות הדייר בדיור הציבורי (</w:t>
      </w:r>
      <w:r w:rsidR="00D97D0E">
        <w:rPr>
          <w:rFonts w:hint="cs"/>
          <w:rtl/>
          <w:lang w:eastAsia="en-US"/>
        </w:rPr>
        <w:t>מידע על זכויות), תשע"ז-2017</w:t>
      </w:r>
    </w:p>
    <w:p w:rsidR="00732090" w:rsidRDefault="00732090" w:rsidP="00732090">
      <w:pPr>
        <w:spacing w:line="320" w:lineRule="auto"/>
        <w:jc w:val="left"/>
        <w:rPr>
          <w:rFonts w:hint="cs"/>
          <w:rtl/>
          <w:lang w:eastAsia="en-US"/>
        </w:rPr>
      </w:pPr>
    </w:p>
    <w:p w:rsidR="007E1FC8" w:rsidRDefault="007E1FC8" w:rsidP="00732090">
      <w:pPr>
        <w:spacing w:line="320" w:lineRule="auto"/>
        <w:jc w:val="left"/>
        <w:rPr>
          <w:rFonts w:hint="cs"/>
          <w:rtl/>
          <w:lang w:eastAsia="en-US"/>
        </w:rPr>
      </w:pPr>
    </w:p>
    <w:p w:rsidR="00732090" w:rsidRDefault="00732090" w:rsidP="00732090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732090">
        <w:rPr>
          <w:rFonts w:cs="Miriam"/>
          <w:szCs w:val="22"/>
          <w:rtl/>
          <w:lang w:eastAsia="en-US"/>
        </w:rPr>
        <w:t>משפט פרטי וכלכלה</w:t>
      </w:r>
      <w:r w:rsidRPr="00732090">
        <w:rPr>
          <w:rFonts w:cs="FrankRuehl"/>
          <w:szCs w:val="26"/>
          <w:rtl/>
          <w:lang w:eastAsia="en-US"/>
        </w:rPr>
        <w:t xml:space="preserve"> – קניין – מקרקעין – דיור ציבורי</w:t>
      </w:r>
    </w:p>
    <w:p w:rsidR="00732090" w:rsidRPr="00732090" w:rsidRDefault="00732090" w:rsidP="00732090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732090">
        <w:rPr>
          <w:rFonts w:cs="Miriam"/>
          <w:szCs w:val="22"/>
          <w:rtl/>
          <w:lang w:eastAsia="en-US"/>
        </w:rPr>
        <w:t>משפט פרטי וכלכלה</w:t>
      </w:r>
      <w:r w:rsidRPr="00732090">
        <w:rPr>
          <w:rFonts w:cs="FrankRuehl"/>
          <w:szCs w:val="26"/>
          <w:rtl/>
          <w:lang w:eastAsia="en-US"/>
        </w:rPr>
        <w:t xml:space="preserve"> – קניין – שכירות והגנת הדייר</w:t>
      </w:r>
    </w:p>
    <w:p w:rsidR="00EE1AFF" w:rsidRDefault="00EE1AFF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61682" w:rsidRPr="00361682" w:rsidTr="003616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הוראות בדבר הצגת שלט</w:t>
            </w:r>
          </w:p>
        </w:tc>
        <w:tc>
          <w:tcPr>
            <w:tcW w:w="567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וראות בדבר הצגת שלט" w:history="1">
              <w:r w:rsidRPr="003616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61682" w:rsidRPr="00361682" w:rsidTr="003616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</w:t>
            </w:r>
          </w:p>
        </w:tc>
        <w:tc>
          <w:tcPr>
            <w:tcW w:w="567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3616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61682" w:rsidRPr="00361682" w:rsidTr="003616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  <w:tc>
          <w:tcPr>
            <w:tcW w:w="5669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תוספת ראשונה</w:t>
            </w:r>
          </w:p>
        </w:tc>
        <w:tc>
          <w:tcPr>
            <w:tcW w:w="567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 ראשונה" w:history="1">
              <w:r w:rsidRPr="003616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med0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61682" w:rsidRPr="00361682" w:rsidTr="003616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</w:p>
        </w:tc>
        <w:tc>
          <w:tcPr>
            <w:tcW w:w="5669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תוספת שנייה</w:t>
            </w:r>
          </w:p>
        </w:tc>
        <w:tc>
          <w:tcPr>
            <w:tcW w:w="567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1" w:tooltip="תוספת שנייה" w:history="1">
              <w:r w:rsidRPr="003616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1682" w:rsidRPr="00361682" w:rsidRDefault="00361682" w:rsidP="0036168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med1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EE1AFF" w:rsidRDefault="00EE1AFF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EE1AFF" w:rsidRDefault="00EE1AFF" w:rsidP="00D97D0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זכויות הדייר בדיור הציבורי (</w:t>
      </w:r>
      <w:r w:rsidR="00D97D0E">
        <w:rPr>
          <w:rFonts w:hint="cs"/>
          <w:rtl/>
          <w:lang w:eastAsia="en-US"/>
        </w:rPr>
        <w:t>מידע על זכויות),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EE1AFF" w:rsidRDefault="00EE1AFF" w:rsidP="00D97D0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סמכותי לפי </w:t>
      </w:r>
      <w:r>
        <w:rPr>
          <w:rStyle w:val="default"/>
          <w:rFonts w:cs="FrankRuehl" w:hint="cs"/>
          <w:rtl/>
          <w:lang w:eastAsia="en-US"/>
        </w:rPr>
        <w:t xml:space="preserve">סעיף </w:t>
      </w:r>
      <w:r w:rsidR="00D97D0E">
        <w:rPr>
          <w:rStyle w:val="default"/>
          <w:rFonts w:cs="FrankRuehl" w:hint="cs"/>
          <w:rtl/>
          <w:lang w:eastAsia="en-US"/>
        </w:rPr>
        <w:t>2(ה</w:t>
      </w:r>
      <w:r w:rsidR="00D62BB5"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 w:hint="cs"/>
          <w:rtl/>
          <w:lang w:eastAsia="en-US"/>
        </w:rPr>
        <w:t xml:space="preserve"> לחוק זכויות הדייר בדיור הציבורי, התשנ"ח-1998</w:t>
      </w:r>
      <w:r w:rsidR="00D62BB5">
        <w:rPr>
          <w:rStyle w:val="default"/>
          <w:rFonts w:cs="FrankRuehl" w:hint="cs"/>
          <w:rtl/>
          <w:lang w:eastAsia="en-US"/>
        </w:rPr>
        <w:t xml:space="preserve"> (להלן </w:t>
      </w:r>
      <w:r w:rsidR="00D62BB5">
        <w:rPr>
          <w:rStyle w:val="default"/>
          <w:rFonts w:cs="FrankRuehl"/>
          <w:rtl/>
          <w:lang w:eastAsia="en-US"/>
        </w:rPr>
        <w:t>–</w:t>
      </w:r>
      <w:r w:rsidR="00D62BB5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 w:hint="cs"/>
          <w:rtl/>
          <w:lang w:eastAsia="en-US"/>
        </w:rPr>
        <w:t xml:space="preserve">, </w:t>
      </w:r>
      <w:r>
        <w:rPr>
          <w:rStyle w:val="default"/>
          <w:rFonts w:cs="FrankRuehl"/>
          <w:rtl/>
          <w:lang w:eastAsia="en-US"/>
        </w:rPr>
        <w:t>אני מתקין תקנות אלה:</w:t>
      </w:r>
    </w:p>
    <w:p w:rsidR="00EE1AFF" w:rsidRDefault="00EE1AFF" w:rsidP="00D97D0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9.55pt;z-index:251657216" o:allowincell="f" filled="f" stroked="f" strokecolor="lime" strokeweight=".25pt">
            <v:textbox style="mso-next-textbox:#_x0000_s1026" inset="0,0,0,0">
              <w:txbxContent>
                <w:p w:rsidR="00EE1AFF" w:rsidRDefault="00D97D0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הוראות בדבר הצגת שלט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97D0E">
        <w:rPr>
          <w:rStyle w:val="default"/>
          <w:rFonts w:cs="FrankRuehl" w:hint="cs"/>
          <w:rtl/>
          <w:lang w:eastAsia="en-US"/>
        </w:rPr>
        <w:t>על שלט לפי סעיף 2(ה) לחוק יחולו הוראות אלה:</w:t>
      </w:r>
    </w:p>
    <w:p w:rsidR="00D97D0E" w:rsidRDefault="00D97D0E" w:rsidP="00D97D0E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נוסחו יהיה לפי הנוסח הקבוע בתוספת הראשונה;</w:t>
      </w:r>
    </w:p>
    <w:p w:rsidR="00D97D0E" w:rsidRDefault="00D97D0E" w:rsidP="00D97D0E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מיקומו של השלט, מידותיו וכמות השלטים שיש להציב יהיו כמפורט בתוספת השנייה;</w:t>
      </w:r>
    </w:p>
    <w:p w:rsidR="00D97D0E" w:rsidRDefault="00D97D0E" w:rsidP="00D97D0E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>השלט יהיה בשפות העברית, הערבית והרוסית כאמור בחוק.</w:t>
      </w:r>
    </w:p>
    <w:p w:rsidR="00EE1AFF" w:rsidRDefault="00EE1AFF" w:rsidP="00D97D0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0.6pt;z-index:251658240" filled="f" stroked="f">
            <v:textbox inset="1mm,0,1mm,0">
              <w:txbxContent>
                <w:p w:rsidR="00EE1AFF" w:rsidRDefault="00D97D0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D97D0E">
        <w:rPr>
          <w:rStyle w:val="default"/>
          <w:rFonts w:cs="FrankRuehl" w:hint="cs"/>
          <w:rtl/>
          <w:lang w:eastAsia="en-US"/>
        </w:rPr>
        <w:t>תחילתן של תקנות אלה 45 ימים מיום פרסומן</w:t>
      </w:r>
      <w:r>
        <w:rPr>
          <w:rStyle w:val="default"/>
          <w:rFonts w:cs="FrankRuehl" w:hint="cs"/>
          <w:rtl/>
          <w:lang w:eastAsia="en-US"/>
        </w:rPr>
        <w:t>.</w:t>
      </w:r>
    </w:p>
    <w:p w:rsidR="00D97D0E" w:rsidRDefault="00D97D0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D97D0E" w:rsidRDefault="00D97D0E" w:rsidP="00D97D0E">
      <w:pPr>
        <w:pStyle w:val="medium2-header"/>
        <w:keepLines w:val="0"/>
        <w:spacing w:before="72"/>
        <w:ind w:left="0" w:right="1134"/>
        <w:outlineLvl w:val="0"/>
        <w:rPr>
          <w:rFonts w:hint="cs"/>
          <w:noProof/>
          <w:rtl/>
        </w:rPr>
      </w:pPr>
      <w:bookmarkStart w:id="2" w:name="med0"/>
      <w:bookmarkEnd w:id="2"/>
      <w:r>
        <w:rPr>
          <w:rFonts w:hint="cs"/>
          <w:noProof/>
          <w:rtl/>
        </w:rPr>
        <w:t>תוספת ראשונה</w:t>
      </w:r>
    </w:p>
    <w:p w:rsidR="00D97D0E" w:rsidRPr="00D97D0E" w:rsidRDefault="00D97D0E" w:rsidP="00D97D0E">
      <w:pPr>
        <w:pStyle w:val="P00"/>
        <w:spacing w:before="72"/>
        <w:ind w:left="0" w:right="1134"/>
        <w:jc w:val="center"/>
        <w:rPr>
          <w:rFonts w:hint="cs"/>
          <w:sz w:val="24"/>
          <w:szCs w:val="24"/>
          <w:rtl/>
          <w:lang w:eastAsia="en-US"/>
        </w:rPr>
      </w:pPr>
      <w:r w:rsidRPr="00D97D0E">
        <w:rPr>
          <w:rFonts w:hint="cs"/>
          <w:sz w:val="24"/>
          <w:szCs w:val="24"/>
          <w:rtl/>
          <w:lang w:eastAsia="en-US"/>
        </w:rPr>
        <w:t>(תקנה 1(1))</w:t>
      </w:r>
    </w:p>
    <w:p w:rsidR="00D97D0E" w:rsidRDefault="00D97D0E">
      <w:pPr>
        <w:pStyle w:val="P00"/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שם החברה לדיור ציבורי: </w:t>
      </w:r>
      <w:r>
        <w:rPr>
          <w:rtl/>
          <w:lang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" w:name="Text1"/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FORMTEXT</w:instrText>
      </w:r>
      <w:r>
        <w:rPr>
          <w:rtl/>
          <w:lang w:eastAsia="en-US"/>
        </w:rPr>
        <w:instrText xml:space="preserve"> </w:instrText>
      </w:r>
      <w:r w:rsidR="00D2447F">
        <w:rPr>
          <w:lang w:eastAsia="en-US"/>
        </w:rPr>
      </w:r>
      <w:r>
        <w:rPr>
          <w:rtl/>
          <w:lang w:eastAsia="en-US"/>
        </w:rPr>
        <w:fldChar w:fldCharType="separate"/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>
        <w:rPr>
          <w:rtl/>
          <w:lang w:eastAsia="en-US"/>
        </w:rPr>
        <w:fldChar w:fldCharType="end"/>
      </w:r>
      <w:bookmarkEnd w:id="3"/>
    </w:p>
    <w:p w:rsidR="00D97D0E" w:rsidRDefault="00D97D0E">
      <w:pPr>
        <w:pStyle w:val="P00"/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לפי חוק זכויות הדייר בדיור הציבורי, התשנ"ח-1998, לצורך מימוש זכויותיך כדייר בדיור ציבורי הנך זכאי לפנות אל החברה לדיור ציבורי ולקבל מידע על זכויותיך.</w:t>
      </w:r>
    </w:p>
    <w:p w:rsidR="00D97D0E" w:rsidRDefault="00D97D0E">
      <w:pPr>
        <w:pStyle w:val="P00"/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לבדיקת זכויותיך ניתן לפנות אל החברה בדרכים האלה:</w:t>
      </w:r>
    </w:p>
    <w:p w:rsidR="00D97D0E" w:rsidRDefault="00D97D0E">
      <w:pPr>
        <w:pStyle w:val="P00"/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כתובת לקבלת פניות: </w:t>
      </w:r>
      <w:r>
        <w:rPr>
          <w:rtl/>
          <w:lang w:eastAsia="en-US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FORMTEXT</w:instrText>
      </w:r>
      <w:r>
        <w:rPr>
          <w:rtl/>
          <w:lang w:eastAsia="en-US"/>
        </w:rPr>
        <w:instrText xml:space="preserve"> </w:instrText>
      </w:r>
      <w:r w:rsidR="00D2447F">
        <w:rPr>
          <w:lang w:eastAsia="en-US"/>
        </w:rPr>
      </w:r>
      <w:r>
        <w:rPr>
          <w:rtl/>
          <w:lang w:eastAsia="en-US"/>
        </w:rPr>
        <w:fldChar w:fldCharType="separate"/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>
        <w:rPr>
          <w:rtl/>
          <w:lang w:eastAsia="en-US"/>
        </w:rPr>
        <w:fldChar w:fldCharType="end"/>
      </w:r>
      <w:bookmarkEnd w:id="4"/>
      <w:r>
        <w:rPr>
          <w:rFonts w:hint="cs"/>
          <w:rtl/>
          <w:lang w:eastAsia="en-US"/>
        </w:rPr>
        <w:t xml:space="preserve">; טלפון: </w:t>
      </w:r>
      <w:r>
        <w:rPr>
          <w:rtl/>
          <w:lang w:eastAsia="en-US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FORMTEXT</w:instrText>
      </w:r>
      <w:r>
        <w:rPr>
          <w:rtl/>
          <w:lang w:eastAsia="en-US"/>
        </w:rPr>
        <w:instrText xml:space="preserve"> </w:instrText>
      </w:r>
      <w:r w:rsidR="00D2447F">
        <w:rPr>
          <w:lang w:eastAsia="en-US"/>
        </w:rPr>
      </w:r>
      <w:r>
        <w:rPr>
          <w:rtl/>
          <w:lang w:eastAsia="en-US"/>
        </w:rPr>
        <w:fldChar w:fldCharType="separate"/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>
        <w:rPr>
          <w:rtl/>
          <w:lang w:eastAsia="en-US"/>
        </w:rPr>
        <w:fldChar w:fldCharType="end"/>
      </w:r>
      <w:bookmarkEnd w:id="5"/>
      <w:r>
        <w:rPr>
          <w:rFonts w:hint="cs"/>
          <w:rtl/>
          <w:lang w:eastAsia="en-US"/>
        </w:rPr>
        <w:t xml:space="preserve">; פקס: </w:t>
      </w:r>
      <w:r>
        <w:rPr>
          <w:rtl/>
          <w:lang w:eastAsia="en-US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6" w:name="Text4"/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FORMTEXT</w:instrText>
      </w:r>
      <w:r>
        <w:rPr>
          <w:rtl/>
          <w:lang w:eastAsia="en-US"/>
        </w:rPr>
        <w:instrText xml:space="preserve"> </w:instrText>
      </w:r>
      <w:r w:rsidR="00D2447F">
        <w:rPr>
          <w:lang w:eastAsia="en-US"/>
        </w:rPr>
      </w:r>
      <w:r>
        <w:rPr>
          <w:rtl/>
          <w:lang w:eastAsia="en-US"/>
        </w:rPr>
        <w:fldChar w:fldCharType="separate"/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>
        <w:rPr>
          <w:rtl/>
          <w:lang w:eastAsia="en-US"/>
        </w:rPr>
        <w:fldChar w:fldCharType="end"/>
      </w:r>
      <w:bookmarkEnd w:id="6"/>
      <w:r>
        <w:rPr>
          <w:rFonts w:hint="cs"/>
          <w:rtl/>
          <w:lang w:eastAsia="en-US"/>
        </w:rPr>
        <w:t xml:space="preserve">; דואר אלקטרוני: </w:t>
      </w:r>
      <w:r>
        <w:rPr>
          <w:rtl/>
          <w:lang w:eastAsia="en-US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7" w:name="Text5"/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FORMTEXT</w:instrText>
      </w:r>
      <w:r>
        <w:rPr>
          <w:rtl/>
          <w:lang w:eastAsia="en-US"/>
        </w:rPr>
        <w:instrText xml:space="preserve"> </w:instrText>
      </w:r>
      <w:r w:rsidR="00D2447F">
        <w:rPr>
          <w:lang w:eastAsia="en-US"/>
        </w:rPr>
      </w:r>
      <w:r>
        <w:rPr>
          <w:rtl/>
          <w:lang w:eastAsia="en-US"/>
        </w:rPr>
        <w:fldChar w:fldCharType="separate"/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>
        <w:rPr>
          <w:rtl/>
          <w:lang w:eastAsia="en-US"/>
        </w:rPr>
        <w:fldChar w:fldCharType="end"/>
      </w:r>
      <w:bookmarkEnd w:id="7"/>
      <w:r>
        <w:rPr>
          <w:rFonts w:hint="cs"/>
          <w:rtl/>
          <w:lang w:eastAsia="en-US"/>
        </w:rPr>
        <w:t xml:space="preserve">; שעות מענה טלפוני: </w:t>
      </w:r>
      <w:r>
        <w:rPr>
          <w:rtl/>
          <w:lang w:eastAsia="en-US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FORMTEXT</w:instrText>
      </w:r>
      <w:r>
        <w:rPr>
          <w:rtl/>
          <w:lang w:eastAsia="en-US"/>
        </w:rPr>
        <w:instrText xml:space="preserve"> </w:instrText>
      </w:r>
      <w:r w:rsidR="00D2447F">
        <w:rPr>
          <w:lang w:eastAsia="en-US"/>
        </w:rPr>
      </w:r>
      <w:r>
        <w:rPr>
          <w:rtl/>
          <w:lang w:eastAsia="en-US"/>
        </w:rPr>
        <w:fldChar w:fldCharType="separate"/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>
        <w:rPr>
          <w:rtl/>
          <w:lang w:eastAsia="en-US"/>
        </w:rPr>
        <w:fldChar w:fldCharType="end"/>
      </w:r>
      <w:bookmarkEnd w:id="8"/>
      <w:r>
        <w:rPr>
          <w:rFonts w:hint="cs"/>
          <w:rtl/>
          <w:lang w:eastAsia="en-US"/>
        </w:rPr>
        <w:t xml:space="preserve">; שעות קבלת קבל: </w:t>
      </w:r>
      <w:r>
        <w:rPr>
          <w:rtl/>
          <w:lang w:eastAsia="en-US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FORMTEXT</w:instrText>
      </w:r>
      <w:r>
        <w:rPr>
          <w:rtl/>
          <w:lang w:eastAsia="en-US"/>
        </w:rPr>
        <w:instrText xml:space="preserve"> </w:instrText>
      </w:r>
      <w:r w:rsidR="00D2447F">
        <w:rPr>
          <w:lang w:eastAsia="en-US"/>
        </w:rPr>
      </w:r>
      <w:r>
        <w:rPr>
          <w:rtl/>
          <w:lang w:eastAsia="en-US"/>
        </w:rPr>
        <w:fldChar w:fldCharType="separate"/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>
        <w:rPr>
          <w:rtl/>
          <w:lang w:eastAsia="en-US"/>
        </w:rPr>
        <w:fldChar w:fldCharType="end"/>
      </w:r>
      <w:bookmarkEnd w:id="9"/>
      <w:r>
        <w:rPr>
          <w:rFonts w:hint="cs"/>
          <w:rtl/>
          <w:lang w:eastAsia="en-US"/>
        </w:rPr>
        <w:t>;</w:t>
      </w:r>
    </w:p>
    <w:p w:rsidR="00D97D0E" w:rsidRDefault="00D97D0E">
      <w:pPr>
        <w:pStyle w:val="P00"/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למידע נוסף על זכויות דיירים בדיור הציבורי ניתן לפנות למחלקת פניות הציבור במשרד הבינוי והשיכון בכתובת: </w:t>
      </w:r>
      <w:r>
        <w:rPr>
          <w:rtl/>
          <w:lang w:eastAsia="en-US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FORMTEXT</w:instrText>
      </w:r>
      <w:r>
        <w:rPr>
          <w:rtl/>
          <w:lang w:eastAsia="en-US"/>
        </w:rPr>
        <w:instrText xml:space="preserve"> </w:instrText>
      </w:r>
      <w:r w:rsidR="00D2447F">
        <w:rPr>
          <w:lang w:eastAsia="en-US"/>
        </w:rPr>
      </w:r>
      <w:r>
        <w:rPr>
          <w:rtl/>
          <w:lang w:eastAsia="en-US"/>
        </w:rPr>
        <w:fldChar w:fldCharType="separate"/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>
        <w:rPr>
          <w:rtl/>
          <w:lang w:eastAsia="en-US"/>
        </w:rPr>
        <w:fldChar w:fldCharType="end"/>
      </w:r>
      <w:bookmarkEnd w:id="10"/>
      <w:r>
        <w:rPr>
          <w:rFonts w:hint="cs"/>
          <w:rtl/>
          <w:lang w:eastAsia="en-US"/>
        </w:rPr>
        <w:t xml:space="preserve">; טלפון: </w:t>
      </w:r>
      <w:r>
        <w:rPr>
          <w:rtl/>
          <w:lang w:eastAsia="en-US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1" w:name="Text9"/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FORMTEXT</w:instrText>
      </w:r>
      <w:r>
        <w:rPr>
          <w:rtl/>
          <w:lang w:eastAsia="en-US"/>
        </w:rPr>
        <w:instrText xml:space="preserve"> </w:instrText>
      </w:r>
      <w:r w:rsidR="00D2447F">
        <w:rPr>
          <w:lang w:eastAsia="en-US"/>
        </w:rPr>
      </w:r>
      <w:r>
        <w:rPr>
          <w:rtl/>
          <w:lang w:eastAsia="en-US"/>
        </w:rPr>
        <w:fldChar w:fldCharType="separate"/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>
        <w:rPr>
          <w:rtl/>
          <w:lang w:eastAsia="en-US"/>
        </w:rPr>
        <w:fldChar w:fldCharType="end"/>
      </w:r>
      <w:bookmarkEnd w:id="11"/>
      <w:r>
        <w:rPr>
          <w:rFonts w:hint="cs"/>
          <w:rtl/>
          <w:lang w:eastAsia="en-US"/>
        </w:rPr>
        <w:t xml:space="preserve">; פקס: </w:t>
      </w:r>
      <w:r>
        <w:rPr>
          <w:rtl/>
          <w:lang w:eastAsia="en-US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2" w:name="Text10"/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FORMTEXT</w:instrText>
      </w:r>
      <w:r>
        <w:rPr>
          <w:rtl/>
          <w:lang w:eastAsia="en-US"/>
        </w:rPr>
        <w:instrText xml:space="preserve"> </w:instrText>
      </w:r>
      <w:r w:rsidR="00D2447F">
        <w:rPr>
          <w:lang w:eastAsia="en-US"/>
        </w:rPr>
      </w:r>
      <w:r>
        <w:rPr>
          <w:rtl/>
          <w:lang w:eastAsia="en-US"/>
        </w:rPr>
        <w:fldChar w:fldCharType="separate"/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>
        <w:rPr>
          <w:rtl/>
          <w:lang w:eastAsia="en-US"/>
        </w:rPr>
        <w:fldChar w:fldCharType="end"/>
      </w:r>
      <w:bookmarkEnd w:id="12"/>
      <w:r>
        <w:rPr>
          <w:rFonts w:hint="cs"/>
          <w:rtl/>
          <w:lang w:eastAsia="en-US"/>
        </w:rPr>
        <w:t xml:space="preserve">; דואר אלקטרוני: </w:t>
      </w:r>
      <w:r>
        <w:rPr>
          <w:rtl/>
          <w:lang w:eastAsia="en-US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3" w:name="Text11"/>
      <w:r>
        <w:rPr>
          <w:rtl/>
          <w:lang w:eastAsia="en-US"/>
        </w:rPr>
        <w:instrText xml:space="preserve"> </w:instrText>
      </w:r>
      <w:r>
        <w:rPr>
          <w:rFonts w:hint="cs"/>
          <w:lang w:eastAsia="en-US"/>
        </w:rPr>
        <w:instrText>FORMTEXT</w:instrText>
      </w:r>
      <w:r>
        <w:rPr>
          <w:rtl/>
          <w:lang w:eastAsia="en-US"/>
        </w:rPr>
        <w:instrText xml:space="preserve"> </w:instrText>
      </w:r>
      <w:r w:rsidR="00D2447F">
        <w:rPr>
          <w:lang w:eastAsia="en-US"/>
        </w:rPr>
      </w:r>
      <w:r>
        <w:rPr>
          <w:rtl/>
          <w:lang w:eastAsia="en-US"/>
        </w:rPr>
        <w:fldChar w:fldCharType="separate"/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 w:rsidR="00361682">
        <w:rPr>
          <w:rtl/>
          <w:lang w:eastAsia="en-US"/>
        </w:rPr>
        <w:t> </w:t>
      </w:r>
      <w:r>
        <w:rPr>
          <w:rtl/>
          <w:lang w:eastAsia="en-US"/>
        </w:rPr>
        <w:fldChar w:fldCharType="end"/>
      </w:r>
      <w:bookmarkEnd w:id="13"/>
    </w:p>
    <w:p w:rsidR="00D97D0E" w:rsidRDefault="00D97D0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D97D0E" w:rsidRDefault="00D97D0E" w:rsidP="00D97D0E">
      <w:pPr>
        <w:pStyle w:val="medium2-header"/>
        <w:keepLines w:val="0"/>
        <w:spacing w:before="72"/>
        <w:ind w:left="0" w:right="1134"/>
        <w:outlineLvl w:val="0"/>
        <w:rPr>
          <w:rFonts w:hint="cs"/>
          <w:noProof/>
          <w:rtl/>
        </w:rPr>
      </w:pPr>
      <w:bookmarkStart w:id="14" w:name="med1"/>
      <w:bookmarkEnd w:id="14"/>
      <w:r>
        <w:rPr>
          <w:rFonts w:hint="cs"/>
          <w:noProof/>
          <w:rtl/>
        </w:rPr>
        <w:t>תוספת שנייה</w:t>
      </w:r>
    </w:p>
    <w:p w:rsidR="00D97D0E" w:rsidRPr="00D97D0E" w:rsidRDefault="00D97D0E" w:rsidP="00D97D0E">
      <w:pPr>
        <w:pStyle w:val="P00"/>
        <w:spacing w:before="72"/>
        <w:ind w:left="0" w:right="1134"/>
        <w:jc w:val="center"/>
        <w:rPr>
          <w:rFonts w:hint="cs"/>
          <w:sz w:val="24"/>
          <w:szCs w:val="24"/>
          <w:rtl/>
          <w:lang w:eastAsia="en-US"/>
        </w:rPr>
      </w:pPr>
      <w:r w:rsidRPr="00D97D0E">
        <w:rPr>
          <w:rFonts w:hint="cs"/>
          <w:sz w:val="24"/>
          <w:szCs w:val="24"/>
          <w:rtl/>
          <w:lang w:eastAsia="en-US"/>
        </w:rPr>
        <w:t>(תקנה 1(</w:t>
      </w:r>
      <w:r>
        <w:rPr>
          <w:rFonts w:hint="cs"/>
          <w:sz w:val="24"/>
          <w:szCs w:val="24"/>
          <w:rtl/>
          <w:lang w:eastAsia="en-US"/>
        </w:rPr>
        <w:t>2</w:t>
      </w:r>
      <w:r w:rsidRPr="00D97D0E">
        <w:rPr>
          <w:rFonts w:hint="cs"/>
          <w:sz w:val="24"/>
          <w:szCs w:val="24"/>
          <w:rtl/>
          <w:lang w:eastAsia="en-US"/>
        </w:rPr>
        <w:t>))</w:t>
      </w:r>
    </w:p>
    <w:p w:rsidR="00D97D0E" w:rsidRDefault="004758E3" w:rsidP="004758E3">
      <w:pPr>
        <w:pStyle w:val="P00"/>
        <w:spacing w:before="72"/>
        <w:ind w:left="624" w:right="1134" w:hanging="62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(1)</w:t>
      </w:r>
      <w:r>
        <w:rPr>
          <w:rFonts w:hint="cs"/>
          <w:rtl/>
          <w:lang w:eastAsia="en-US"/>
        </w:rPr>
        <w:tab/>
        <w:t xml:space="preserve">מיקום השלט: בכניסה הראשית למתחם שבו החברה נותנת שירותים או מידע לציבור (להלן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מתחם קבלת קבל) במקום בולט לעין.</w:t>
      </w:r>
    </w:p>
    <w:p w:rsidR="00D97D0E" w:rsidRDefault="004758E3" w:rsidP="004758E3">
      <w:pPr>
        <w:pStyle w:val="P00"/>
        <w:spacing w:before="72"/>
        <w:ind w:left="624" w:right="1134" w:hanging="62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(2)</w:t>
      </w:r>
      <w:r>
        <w:rPr>
          <w:rFonts w:hint="cs"/>
          <w:rtl/>
          <w:lang w:eastAsia="en-US"/>
        </w:rPr>
        <w:tab/>
        <w:t>מידות השלט: רוחבו לא יפחת מ-80 סנטימטרים ואורכו לא יפחת מ-100 סנטימטרים.</w:t>
      </w:r>
    </w:p>
    <w:p w:rsidR="004758E3" w:rsidRDefault="004758E3" w:rsidP="004758E3">
      <w:pPr>
        <w:pStyle w:val="P00"/>
        <w:spacing w:before="72"/>
        <w:ind w:left="624" w:right="1134" w:hanging="62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(3)</w:t>
      </w:r>
      <w:r>
        <w:rPr>
          <w:rFonts w:hint="cs"/>
          <w:rtl/>
          <w:lang w:eastAsia="en-US"/>
        </w:rPr>
        <w:tab/>
        <w:t xml:space="preserve">כמות השלטים: לפי מספר הכניסות הראשיות למתחם קבלת הקהל; אם מתחם קבלת הקהל כולל כמה מפלסים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בכל כניסה למפלס.</w:t>
      </w:r>
    </w:p>
    <w:p w:rsidR="00D97D0E" w:rsidRDefault="00D97D0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EE1AFF" w:rsidRDefault="00EE1AFF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EE1AFF" w:rsidRDefault="004758E3" w:rsidP="004758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כ"ז בניסן התשע"ז (23 באפריל 2017</w:t>
      </w:r>
      <w:r w:rsidR="00EE1AFF">
        <w:rPr>
          <w:rFonts w:hint="cs"/>
          <w:rtl/>
          <w:lang w:eastAsia="en-US"/>
        </w:rPr>
        <w:t>)</w:t>
      </w:r>
      <w:r w:rsidR="00EE1AFF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יואב גלנט</w:t>
      </w:r>
    </w:p>
    <w:p w:rsidR="00EE1AFF" w:rsidRDefault="00EE1AFF" w:rsidP="007E1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 הבינוי והשיכון</w:t>
      </w:r>
    </w:p>
    <w:p w:rsidR="00EE1AFF" w:rsidRDefault="00EE1AF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7B1F9F" w:rsidRDefault="007B1F9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61682" w:rsidRDefault="0036168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61682" w:rsidRDefault="0036168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61682" w:rsidRDefault="00361682" w:rsidP="0036168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7B1F9F" w:rsidRPr="00361682" w:rsidRDefault="007B1F9F" w:rsidP="0036168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7B1F9F" w:rsidRPr="0036168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675" w:rsidRDefault="00E80675">
      <w:r>
        <w:separator/>
      </w:r>
    </w:p>
  </w:endnote>
  <w:endnote w:type="continuationSeparator" w:id="0">
    <w:p w:rsidR="00E80675" w:rsidRDefault="00E8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AFF" w:rsidRDefault="00EE1AFF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EE1AFF" w:rsidRDefault="00EE1AF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EE1AFF" w:rsidRDefault="00EE1AF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1F9F">
      <w:rPr>
        <w:rFonts w:cs="TopType Jerushalmi"/>
        <w:noProof/>
        <w:color w:val="000000"/>
        <w:sz w:val="14"/>
        <w:szCs w:val="14"/>
        <w:lang w:eastAsia="en-US"/>
      </w:rPr>
      <w:t>Z:\000-law\yael\2014\2014-12-05\tav\501_140.doc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AFF" w:rsidRDefault="00EE1AFF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6168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EE1AFF" w:rsidRDefault="00EE1AF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EE1AFF" w:rsidRDefault="00EE1AF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1F9F">
      <w:rPr>
        <w:rFonts w:cs="TopType Jerushalmi"/>
        <w:noProof/>
        <w:color w:val="000000"/>
        <w:sz w:val="14"/>
        <w:szCs w:val="14"/>
        <w:lang w:eastAsia="en-US"/>
      </w:rPr>
      <w:t>Z:\000-law\yael\2014\2014-12-05\tav\501_140.doc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675" w:rsidRDefault="00E8067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80675" w:rsidRDefault="00E80675">
      <w:pPr>
        <w:spacing w:before="60" w:line="240" w:lineRule="auto"/>
        <w:ind w:right="1134"/>
      </w:pPr>
      <w:r>
        <w:separator/>
      </w:r>
    </w:p>
  </w:footnote>
  <w:footnote w:id="1">
    <w:p w:rsidR="00A71369" w:rsidRDefault="00EE1AFF" w:rsidP="00A713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</w:t>
      </w:r>
      <w:r w:rsidRPr="007E1FC8">
        <w:rPr>
          <w:rFonts w:hint="cs"/>
          <w:sz w:val="20"/>
          <w:rtl/>
          <w:lang w:eastAsia="en-US"/>
        </w:rPr>
        <w:t xml:space="preserve">פורסמו </w:t>
      </w:r>
      <w:hyperlink r:id="rId1" w:history="1">
        <w:r w:rsidRPr="00A71369">
          <w:rPr>
            <w:rStyle w:val="Hyperlink"/>
            <w:rFonts w:hint="eastAsia"/>
            <w:rtl/>
            <w:lang w:eastAsia="en-US"/>
          </w:rPr>
          <w:t>ק</w:t>
        </w:r>
        <w:r w:rsidRPr="00A71369">
          <w:rPr>
            <w:rStyle w:val="Hyperlink"/>
            <w:rtl/>
            <w:lang w:eastAsia="en-US"/>
          </w:rPr>
          <w:t>"ת תש</w:t>
        </w:r>
        <w:r w:rsidR="007E1FC8" w:rsidRPr="00A71369">
          <w:rPr>
            <w:rStyle w:val="Hyperlink"/>
            <w:rFonts w:hint="cs"/>
            <w:rtl/>
            <w:lang w:eastAsia="en-US"/>
          </w:rPr>
          <w:t>ע"</w:t>
        </w:r>
        <w:r w:rsidR="00D97D0E" w:rsidRPr="00A71369">
          <w:rPr>
            <w:rStyle w:val="Hyperlink"/>
            <w:rFonts w:hint="cs"/>
            <w:rtl/>
            <w:lang w:eastAsia="en-US"/>
          </w:rPr>
          <w:t>ז</w:t>
        </w:r>
        <w:r w:rsidRPr="00A71369">
          <w:rPr>
            <w:rStyle w:val="Hyperlink"/>
            <w:rtl/>
            <w:lang w:eastAsia="en-US"/>
          </w:rPr>
          <w:t xml:space="preserve"> מס' </w:t>
        </w:r>
        <w:r w:rsidR="00D97D0E" w:rsidRPr="00A71369">
          <w:rPr>
            <w:rStyle w:val="Hyperlink"/>
            <w:rFonts w:hint="cs"/>
            <w:rtl/>
            <w:lang w:eastAsia="en-US"/>
          </w:rPr>
          <w:t>7811</w:t>
        </w:r>
      </w:hyperlink>
      <w:r>
        <w:rPr>
          <w:rFonts w:hint="cs"/>
          <w:rtl/>
          <w:lang w:eastAsia="en-US"/>
        </w:rPr>
        <w:t xml:space="preserve"> מיום </w:t>
      </w:r>
      <w:r w:rsidR="00D97D0E">
        <w:rPr>
          <w:rFonts w:hint="cs"/>
          <w:rtl/>
          <w:lang w:eastAsia="en-US"/>
        </w:rPr>
        <w:t>11.5.2017</w:t>
      </w:r>
      <w:r>
        <w:rPr>
          <w:rFonts w:hint="cs"/>
          <w:rtl/>
          <w:lang w:eastAsia="en-US"/>
        </w:rPr>
        <w:t xml:space="preserve"> עמ' </w:t>
      </w:r>
      <w:r w:rsidR="00D97D0E">
        <w:rPr>
          <w:rFonts w:hint="cs"/>
          <w:rtl/>
          <w:lang w:eastAsia="en-US"/>
        </w:rPr>
        <w:t>1042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AFF" w:rsidRDefault="00EE1AFF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EE1AFF" w:rsidRDefault="00EE1AF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EE1AFF" w:rsidRDefault="00EE1AF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AFF" w:rsidRDefault="00EE1AFF" w:rsidP="00D97D0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זכויות הדייר בדיור הציבורי (</w:t>
    </w:r>
    <w:r w:rsidR="00D97D0E">
      <w:rPr>
        <w:rFonts w:hint="cs"/>
        <w:color w:val="000000"/>
        <w:sz w:val="28"/>
        <w:szCs w:val="28"/>
        <w:rtl/>
        <w:lang w:eastAsia="en-US"/>
      </w:rPr>
      <w:t>מידע על זכויות), תשע"ז-2017</w:t>
    </w:r>
  </w:p>
  <w:p w:rsidR="00EE1AFF" w:rsidRDefault="00EE1AF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EE1AFF" w:rsidRDefault="00EE1AF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0EE"/>
    <w:rsid w:val="00361682"/>
    <w:rsid w:val="003C55B0"/>
    <w:rsid w:val="004758E3"/>
    <w:rsid w:val="006E0151"/>
    <w:rsid w:val="00732090"/>
    <w:rsid w:val="007B1F9F"/>
    <w:rsid w:val="007E1FC8"/>
    <w:rsid w:val="00867357"/>
    <w:rsid w:val="009E4A54"/>
    <w:rsid w:val="00A1330D"/>
    <w:rsid w:val="00A71369"/>
    <w:rsid w:val="00A85737"/>
    <w:rsid w:val="00C340EE"/>
    <w:rsid w:val="00C53D6C"/>
    <w:rsid w:val="00D2447F"/>
    <w:rsid w:val="00D62BB5"/>
    <w:rsid w:val="00D668F5"/>
    <w:rsid w:val="00D84E3C"/>
    <w:rsid w:val="00D97D0E"/>
    <w:rsid w:val="00E80675"/>
    <w:rsid w:val="00E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C2CFA84-78F4-48D7-ABB1-27D8384F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2183</CharactersWithSpaces>
  <SharedDoc>false</SharedDoc>
  <HLinks>
    <vt:vector size="36" baseType="variant">
      <vt:variant>
        <vt:i4>393283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5505033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דיור ציבורי</vt:lpwstr>
  </property>
  <property fmtid="{D5CDD505-2E9C-101B-9397-08002B2CF9AE}" pid="4" name="LAWNAME">
    <vt:lpwstr>תקנות זכויות הדייר בדיור הציבורי (מידע על זכויות), תשע"ז-2017</vt:lpwstr>
  </property>
  <property fmtid="{D5CDD505-2E9C-101B-9397-08002B2CF9AE}" pid="5" name="LAWNUMBER">
    <vt:lpwstr>0601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זכויות הדייר בדיור הציבורי</vt:lpwstr>
  </property>
  <property fmtid="{D5CDD505-2E9C-101B-9397-08002B2CF9AE}" pid="22" name="MEKOR_SAIF1">
    <vt:lpwstr>2XהX</vt:lpwstr>
  </property>
  <property fmtid="{D5CDD505-2E9C-101B-9397-08002B2CF9AE}" pid="23" name="NOSE11">
    <vt:lpwstr>משפט פרטי וכלכלה</vt:lpwstr>
  </property>
  <property fmtid="{D5CDD505-2E9C-101B-9397-08002B2CF9AE}" pid="24" name="NOSE21">
    <vt:lpwstr>קניין</vt:lpwstr>
  </property>
  <property fmtid="{D5CDD505-2E9C-101B-9397-08002B2CF9AE}" pid="25" name="NOSE31">
    <vt:lpwstr>מקרקעין</vt:lpwstr>
  </property>
  <property fmtid="{D5CDD505-2E9C-101B-9397-08002B2CF9AE}" pid="26" name="NOSE41">
    <vt:lpwstr>דיור ציבורי</vt:lpwstr>
  </property>
  <property fmtid="{D5CDD505-2E9C-101B-9397-08002B2CF9AE}" pid="27" name="NOSE12">
    <vt:lpwstr>משפט פרטי וכלכלה</vt:lpwstr>
  </property>
  <property fmtid="{D5CDD505-2E9C-101B-9397-08002B2CF9AE}" pid="28" name="NOSE22">
    <vt:lpwstr>קניין</vt:lpwstr>
  </property>
  <property fmtid="{D5CDD505-2E9C-101B-9397-08002B2CF9AE}" pid="29" name="NOSE32">
    <vt:lpwstr>שכירות והגנת הדייר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http://www.nevo.co.il/Law_word/law06/tak-7811.pdf;‎רשומות - תקנות כלליות#פורסמו ק"ת ‏תשע"ז מס' 7811 #מיום 11.5.2017 עמ' 1042‏</vt:lpwstr>
  </property>
</Properties>
</file>