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9F381" w14:textId="77777777" w:rsidR="00AD4177" w:rsidRDefault="00AD4177">
      <w:pPr>
        <w:pStyle w:val="big-header"/>
        <w:ind w:left="0" w:right="1134"/>
        <w:rPr>
          <w:rFonts w:cs="FrankRuehl"/>
          <w:sz w:val="32"/>
        </w:rPr>
      </w:pPr>
      <w:r>
        <w:rPr>
          <w:rFonts w:cs="FrankRuehl"/>
          <w:sz w:val="32"/>
          <w:rtl/>
        </w:rPr>
        <w:t>תקנות זכויות התלמיד (תנאים לבחינות הבגרות), תשס"ב-2002</w:t>
      </w:r>
    </w:p>
    <w:p w14:paraId="2F1F7F4B" w14:textId="77777777" w:rsidR="001C306A" w:rsidRPr="001C306A" w:rsidRDefault="001C306A" w:rsidP="001C306A">
      <w:pPr>
        <w:spacing w:line="320" w:lineRule="auto"/>
        <w:rPr>
          <w:rFonts w:cs="FrankRuehl"/>
          <w:szCs w:val="26"/>
          <w:rtl/>
        </w:rPr>
      </w:pPr>
    </w:p>
    <w:p w14:paraId="66633B82" w14:textId="77777777" w:rsidR="001C306A" w:rsidRDefault="001C306A" w:rsidP="001C306A">
      <w:pPr>
        <w:spacing w:line="320" w:lineRule="auto"/>
        <w:rPr>
          <w:rtl/>
        </w:rPr>
      </w:pPr>
    </w:p>
    <w:p w14:paraId="07EECD36" w14:textId="77777777" w:rsidR="001C306A" w:rsidRPr="001C306A" w:rsidRDefault="001C306A" w:rsidP="001C306A">
      <w:pPr>
        <w:spacing w:line="320" w:lineRule="auto"/>
        <w:rPr>
          <w:rFonts w:cs="Miriam"/>
          <w:szCs w:val="22"/>
          <w:rtl/>
        </w:rPr>
      </w:pPr>
      <w:r w:rsidRPr="001C306A">
        <w:rPr>
          <w:rFonts w:cs="Miriam"/>
          <w:szCs w:val="22"/>
          <w:rtl/>
        </w:rPr>
        <w:t>רשויות ומשפט מנהלי</w:t>
      </w:r>
      <w:r w:rsidRPr="001C306A">
        <w:rPr>
          <w:rFonts w:cs="FrankRuehl"/>
          <w:szCs w:val="26"/>
          <w:rtl/>
        </w:rPr>
        <w:t xml:space="preserve"> – חינוך – זכויות התלמיד</w:t>
      </w:r>
    </w:p>
    <w:p w14:paraId="6F434211" w14:textId="77777777" w:rsidR="00AD4177" w:rsidRDefault="00AD417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F6AB7" w:rsidRPr="003F6AB7" w14:paraId="08EC3933" w14:textId="77777777">
        <w:tblPrEx>
          <w:tblCellMar>
            <w:top w:w="0" w:type="dxa"/>
            <w:bottom w:w="0" w:type="dxa"/>
          </w:tblCellMar>
        </w:tblPrEx>
        <w:tc>
          <w:tcPr>
            <w:tcW w:w="1247" w:type="dxa"/>
          </w:tcPr>
          <w:p w14:paraId="024A81E3" w14:textId="77777777" w:rsidR="003F6AB7" w:rsidRPr="003F6AB7" w:rsidRDefault="003F6AB7" w:rsidP="003F6AB7">
            <w:pPr>
              <w:rPr>
                <w:rFonts w:cs="Frankruhel"/>
                <w:rtl/>
              </w:rPr>
            </w:pPr>
            <w:r>
              <w:rPr>
                <w:rtl/>
              </w:rPr>
              <w:t xml:space="preserve">סעיף 1 </w:t>
            </w:r>
          </w:p>
        </w:tc>
        <w:tc>
          <w:tcPr>
            <w:tcW w:w="5669" w:type="dxa"/>
          </w:tcPr>
          <w:p w14:paraId="7F6590BE" w14:textId="77777777" w:rsidR="003F6AB7" w:rsidRPr="003F6AB7" w:rsidRDefault="003F6AB7" w:rsidP="003F6AB7">
            <w:pPr>
              <w:rPr>
                <w:rFonts w:cs="Frankruhel"/>
                <w:rtl/>
              </w:rPr>
            </w:pPr>
            <w:r>
              <w:rPr>
                <w:rtl/>
              </w:rPr>
              <w:t>זכות להיבחן</w:t>
            </w:r>
          </w:p>
        </w:tc>
        <w:tc>
          <w:tcPr>
            <w:tcW w:w="567" w:type="dxa"/>
          </w:tcPr>
          <w:p w14:paraId="766EBA77" w14:textId="77777777" w:rsidR="003F6AB7" w:rsidRPr="003F6AB7" w:rsidRDefault="003F6AB7" w:rsidP="003F6AB7">
            <w:pPr>
              <w:rPr>
                <w:rStyle w:val="Hyperlink"/>
                <w:rtl/>
              </w:rPr>
            </w:pPr>
            <w:hyperlink w:anchor="Seif1" w:tooltip="זכות להיבחן" w:history="1">
              <w:r w:rsidRPr="003F6AB7">
                <w:rPr>
                  <w:rStyle w:val="Hyperlink"/>
                </w:rPr>
                <w:t>Go</w:t>
              </w:r>
            </w:hyperlink>
          </w:p>
        </w:tc>
        <w:tc>
          <w:tcPr>
            <w:tcW w:w="850" w:type="dxa"/>
          </w:tcPr>
          <w:p w14:paraId="10F4584D" w14:textId="77777777" w:rsidR="003F6AB7" w:rsidRPr="003F6AB7" w:rsidRDefault="003F6AB7" w:rsidP="003F6AB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3F6AB7" w:rsidRPr="003F6AB7" w14:paraId="426CF5CB" w14:textId="77777777">
        <w:tblPrEx>
          <w:tblCellMar>
            <w:top w:w="0" w:type="dxa"/>
            <w:bottom w:w="0" w:type="dxa"/>
          </w:tblCellMar>
        </w:tblPrEx>
        <w:tc>
          <w:tcPr>
            <w:tcW w:w="1247" w:type="dxa"/>
          </w:tcPr>
          <w:p w14:paraId="695B07FB" w14:textId="77777777" w:rsidR="003F6AB7" w:rsidRPr="003F6AB7" w:rsidRDefault="003F6AB7" w:rsidP="003F6AB7">
            <w:pPr>
              <w:rPr>
                <w:rFonts w:cs="Frankruhel"/>
                <w:rtl/>
              </w:rPr>
            </w:pPr>
            <w:r>
              <w:rPr>
                <w:rtl/>
              </w:rPr>
              <w:t xml:space="preserve">סעיף 2 </w:t>
            </w:r>
          </w:p>
        </w:tc>
        <w:tc>
          <w:tcPr>
            <w:tcW w:w="5669" w:type="dxa"/>
          </w:tcPr>
          <w:p w14:paraId="644E19B3" w14:textId="77777777" w:rsidR="003F6AB7" w:rsidRPr="003F6AB7" w:rsidRDefault="003F6AB7" w:rsidP="003F6AB7">
            <w:pPr>
              <w:rPr>
                <w:rFonts w:cs="Frankruhel"/>
                <w:rtl/>
              </w:rPr>
            </w:pPr>
            <w:r>
              <w:rPr>
                <w:rtl/>
              </w:rPr>
              <w:t>סייג לזכות</w:t>
            </w:r>
          </w:p>
        </w:tc>
        <w:tc>
          <w:tcPr>
            <w:tcW w:w="567" w:type="dxa"/>
          </w:tcPr>
          <w:p w14:paraId="233CC8FD" w14:textId="77777777" w:rsidR="003F6AB7" w:rsidRPr="003F6AB7" w:rsidRDefault="003F6AB7" w:rsidP="003F6AB7">
            <w:pPr>
              <w:rPr>
                <w:rStyle w:val="Hyperlink"/>
                <w:rtl/>
              </w:rPr>
            </w:pPr>
            <w:hyperlink w:anchor="Seif2" w:tooltip="סייג לזכות" w:history="1">
              <w:r w:rsidRPr="003F6AB7">
                <w:rPr>
                  <w:rStyle w:val="Hyperlink"/>
                </w:rPr>
                <w:t>Go</w:t>
              </w:r>
            </w:hyperlink>
          </w:p>
        </w:tc>
        <w:tc>
          <w:tcPr>
            <w:tcW w:w="850" w:type="dxa"/>
          </w:tcPr>
          <w:p w14:paraId="6DF74708" w14:textId="77777777" w:rsidR="003F6AB7" w:rsidRPr="003F6AB7" w:rsidRDefault="003F6AB7" w:rsidP="003F6AB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3F6AB7" w:rsidRPr="003F6AB7" w14:paraId="5590C250" w14:textId="77777777">
        <w:tblPrEx>
          <w:tblCellMar>
            <w:top w:w="0" w:type="dxa"/>
            <w:bottom w:w="0" w:type="dxa"/>
          </w:tblCellMar>
        </w:tblPrEx>
        <w:tc>
          <w:tcPr>
            <w:tcW w:w="1247" w:type="dxa"/>
          </w:tcPr>
          <w:p w14:paraId="691E3832" w14:textId="77777777" w:rsidR="003F6AB7" w:rsidRPr="003F6AB7" w:rsidRDefault="003F6AB7" w:rsidP="003F6AB7">
            <w:pPr>
              <w:rPr>
                <w:rFonts w:cs="Frankruhel"/>
                <w:rtl/>
              </w:rPr>
            </w:pPr>
            <w:r>
              <w:rPr>
                <w:rtl/>
              </w:rPr>
              <w:t xml:space="preserve">סעיף 3 </w:t>
            </w:r>
          </w:p>
        </w:tc>
        <w:tc>
          <w:tcPr>
            <w:tcW w:w="5669" w:type="dxa"/>
          </w:tcPr>
          <w:p w14:paraId="475ED2FF" w14:textId="77777777" w:rsidR="003F6AB7" w:rsidRPr="003F6AB7" w:rsidRDefault="003F6AB7" w:rsidP="003F6AB7">
            <w:pPr>
              <w:rPr>
                <w:rFonts w:cs="Frankruhel"/>
                <w:rtl/>
              </w:rPr>
            </w:pPr>
            <w:r>
              <w:rPr>
                <w:rtl/>
              </w:rPr>
              <w:t>סמכות המנהל במקרים חריגים</w:t>
            </w:r>
          </w:p>
        </w:tc>
        <w:tc>
          <w:tcPr>
            <w:tcW w:w="567" w:type="dxa"/>
          </w:tcPr>
          <w:p w14:paraId="1BD14BA4" w14:textId="77777777" w:rsidR="003F6AB7" w:rsidRPr="003F6AB7" w:rsidRDefault="003F6AB7" w:rsidP="003F6AB7">
            <w:pPr>
              <w:rPr>
                <w:rStyle w:val="Hyperlink"/>
                <w:rtl/>
              </w:rPr>
            </w:pPr>
            <w:hyperlink w:anchor="Seif3" w:tooltip="סמכות המנהל במקרים חריגים" w:history="1">
              <w:r w:rsidRPr="003F6AB7">
                <w:rPr>
                  <w:rStyle w:val="Hyperlink"/>
                </w:rPr>
                <w:t>Go</w:t>
              </w:r>
            </w:hyperlink>
          </w:p>
        </w:tc>
        <w:tc>
          <w:tcPr>
            <w:tcW w:w="850" w:type="dxa"/>
          </w:tcPr>
          <w:p w14:paraId="474FA599" w14:textId="77777777" w:rsidR="003F6AB7" w:rsidRPr="003F6AB7" w:rsidRDefault="003F6AB7" w:rsidP="003F6AB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bl>
    <w:p w14:paraId="2D7B47D6" w14:textId="77777777" w:rsidR="00AD4177" w:rsidRDefault="00AD4177">
      <w:pPr>
        <w:pStyle w:val="big-header"/>
        <w:ind w:left="0" w:right="2835"/>
        <w:rPr>
          <w:rFonts w:cs="FrankRuehl"/>
          <w:sz w:val="32"/>
          <w:rtl/>
        </w:rPr>
      </w:pPr>
    </w:p>
    <w:p w14:paraId="6D7FAF3C" w14:textId="77777777" w:rsidR="00AD4177" w:rsidRDefault="00AD4177" w:rsidP="001C306A">
      <w:pPr>
        <w:pStyle w:val="big-header"/>
        <w:ind w:left="0" w:right="1134"/>
        <w:rPr>
          <w:rStyle w:val="default"/>
          <w:rFonts w:cs="FrankRuehl"/>
          <w:rtl/>
        </w:rPr>
      </w:pPr>
      <w:r>
        <w:rPr>
          <w:rFonts w:cs="FrankRuehl"/>
          <w:sz w:val="32"/>
          <w:rtl/>
        </w:rPr>
        <w:br w:type="page"/>
      </w:r>
      <w:bookmarkStart w:id="0" w:name="LawPartStart"/>
      <w:bookmarkStart w:id="1" w:name="LawHeaderEnd"/>
      <w:bookmarkEnd w:id="0"/>
      <w:bookmarkEnd w:id="1"/>
      <w:r>
        <w:rPr>
          <w:rFonts w:cs="FrankRuehl"/>
          <w:sz w:val="32"/>
          <w:rtl/>
        </w:rPr>
        <w:lastRenderedPageBreak/>
        <w:t>ת</w:t>
      </w:r>
      <w:r>
        <w:rPr>
          <w:rFonts w:cs="FrankRuehl" w:hint="cs"/>
          <w:sz w:val="32"/>
          <w:rtl/>
        </w:rPr>
        <w:t>ק</w:t>
      </w:r>
      <w:r>
        <w:rPr>
          <w:rFonts w:cs="FrankRuehl"/>
          <w:sz w:val="32"/>
          <w:rtl/>
        </w:rPr>
        <w:t>נ</w:t>
      </w:r>
      <w:r>
        <w:rPr>
          <w:rFonts w:cs="FrankRuehl" w:hint="cs"/>
          <w:sz w:val="32"/>
          <w:rtl/>
        </w:rPr>
        <w:t>ות זכויות התלמיד (תנאים לבחינות הבגרות), תשס"ב-2002</w:t>
      </w:r>
      <w:r>
        <w:rPr>
          <w:rStyle w:val="default"/>
          <w:sz w:val="22"/>
          <w:szCs w:val="22"/>
          <w:rtl/>
        </w:rPr>
        <w:footnoteReference w:customMarkFollows="1" w:id="1"/>
        <w:t>*</w:t>
      </w:r>
    </w:p>
    <w:p w14:paraId="56729079" w14:textId="77777777" w:rsidR="00AD4177" w:rsidRDefault="00AD417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ת</w:t>
      </w:r>
      <w:r>
        <w:rPr>
          <w:rStyle w:val="default"/>
          <w:rFonts w:cs="FrankRuehl"/>
          <w:rtl/>
        </w:rPr>
        <w:t>ו</w:t>
      </w:r>
      <w:r>
        <w:rPr>
          <w:rStyle w:val="default"/>
          <w:rFonts w:cs="FrankRuehl" w:hint="cs"/>
          <w:rtl/>
        </w:rPr>
        <w:t xml:space="preserve">קף סמכותי לפי סעיף 9 לחוק זכויות התלמיד, תשס"א-2000 (להלן </w:t>
      </w:r>
      <w:r>
        <w:rPr>
          <w:rStyle w:val="default"/>
          <w:rFonts w:cs="FrankRuehl"/>
          <w:rtl/>
        </w:rPr>
        <w:t>–</w:t>
      </w:r>
      <w:r>
        <w:rPr>
          <w:rStyle w:val="default"/>
          <w:rFonts w:cs="FrankRuehl" w:hint="cs"/>
          <w:rtl/>
        </w:rPr>
        <w:t xml:space="preserve"> החוק), ובהתייעצות עם ועדת החינוך והתרבות של הכנסת, אני מתקינה תקנות אלה:</w:t>
      </w:r>
    </w:p>
    <w:p w14:paraId="041D5F95" w14:textId="77777777" w:rsidR="00AD4177" w:rsidRDefault="00AD4177">
      <w:pPr>
        <w:pStyle w:val="P00"/>
        <w:spacing w:before="72"/>
        <w:ind w:left="0" w:right="1134"/>
        <w:rPr>
          <w:rStyle w:val="default"/>
          <w:rFonts w:cs="FrankRuehl"/>
          <w:rtl/>
        </w:rPr>
      </w:pPr>
      <w:bookmarkStart w:id="2" w:name="Seif1"/>
      <w:bookmarkEnd w:id="2"/>
      <w:r>
        <w:rPr>
          <w:rFonts w:cs="Miriam"/>
          <w:lang w:val="he-IL"/>
        </w:rPr>
        <w:pict w14:anchorId="6298DFD4">
          <v:rect id="_x0000_s1026" style="position:absolute;left:0;text-align:left;margin-left:464.5pt;margin-top:8.05pt;width:75.05pt;height:10pt;z-index:251656704" o:allowincell="f" filled="f" stroked="f" strokecolor="lime" strokeweight=".25pt">
            <v:textbox style="mso-next-textbox:#_x0000_s1026" inset="0,0,0,0">
              <w:txbxContent>
                <w:p w14:paraId="22A71146" w14:textId="77777777" w:rsidR="00AD4177" w:rsidRDefault="00AD4177">
                  <w:pPr>
                    <w:spacing w:line="160" w:lineRule="exact"/>
                    <w:rPr>
                      <w:rFonts w:cs="Miriam"/>
                      <w:noProof/>
                      <w:sz w:val="18"/>
                      <w:szCs w:val="18"/>
                      <w:rtl/>
                    </w:rPr>
                  </w:pPr>
                  <w:r>
                    <w:rPr>
                      <w:rFonts w:cs="Miriam"/>
                      <w:sz w:val="18"/>
                      <w:szCs w:val="18"/>
                      <w:rtl/>
                    </w:rPr>
                    <w:t>ז</w:t>
                  </w:r>
                  <w:r>
                    <w:rPr>
                      <w:rFonts w:cs="Miriam" w:hint="cs"/>
                      <w:sz w:val="18"/>
                      <w:szCs w:val="18"/>
                      <w:rtl/>
                    </w:rPr>
                    <w:t>כ</w:t>
                  </w:r>
                  <w:r>
                    <w:rPr>
                      <w:rFonts w:cs="Miriam"/>
                      <w:sz w:val="18"/>
                      <w:szCs w:val="18"/>
                      <w:rtl/>
                    </w:rPr>
                    <w:t>ו</w:t>
                  </w:r>
                  <w:r>
                    <w:rPr>
                      <w:rFonts w:cs="Miriam" w:hint="cs"/>
                      <w:sz w:val="18"/>
                      <w:szCs w:val="18"/>
                      <w:rtl/>
                    </w:rPr>
                    <w:t>ת להיבחן</w:t>
                  </w:r>
                </w:p>
              </w:txbxContent>
            </v:textbox>
            <w10:anchorlock/>
          </v:rect>
        </w:pict>
      </w:r>
      <w:r>
        <w:rPr>
          <w:rStyle w:val="big-number"/>
          <w:rtl/>
        </w:rPr>
        <w:t>1</w:t>
      </w:r>
      <w:r>
        <w:rPr>
          <w:rStyle w:val="big-number"/>
          <w:rFonts w:cs="FrankRuehl"/>
          <w:sz w:val="26"/>
          <w:szCs w:val="26"/>
          <w:rtl/>
        </w:rPr>
        <w:t>.</w:t>
      </w:r>
      <w:r>
        <w:rPr>
          <w:rStyle w:val="big-number"/>
          <w:rFonts w:cs="FrankRuehl"/>
          <w:sz w:val="26"/>
          <w:szCs w:val="26"/>
          <w:rtl/>
        </w:rPr>
        <w:tab/>
      </w:r>
      <w:r>
        <w:rPr>
          <w:rStyle w:val="default"/>
          <w:rFonts w:cs="FrankRuehl"/>
          <w:rtl/>
        </w:rPr>
        <w:t>ת</w:t>
      </w:r>
      <w:r>
        <w:rPr>
          <w:rStyle w:val="default"/>
          <w:rFonts w:cs="FrankRuehl" w:hint="cs"/>
          <w:rtl/>
        </w:rPr>
        <w:t>ל</w:t>
      </w:r>
      <w:r>
        <w:rPr>
          <w:rStyle w:val="default"/>
          <w:rFonts w:cs="FrankRuehl"/>
          <w:rtl/>
        </w:rPr>
        <w:t>מ</w:t>
      </w:r>
      <w:r>
        <w:rPr>
          <w:rStyle w:val="default"/>
          <w:rFonts w:cs="FrankRuehl" w:hint="cs"/>
          <w:rtl/>
        </w:rPr>
        <w:t xml:space="preserve">יד יהיה זכאי להיבחן בבחינת בגרות </w:t>
      </w:r>
      <w:r>
        <w:rPr>
          <w:rStyle w:val="default"/>
          <w:rFonts w:cs="FrankRuehl"/>
          <w:rtl/>
        </w:rPr>
        <w:t>מ</w:t>
      </w:r>
      <w:r>
        <w:rPr>
          <w:rStyle w:val="default"/>
          <w:rFonts w:cs="FrankRuehl" w:hint="cs"/>
          <w:rtl/>
        </w:rPr>
        <w:t>מ</w:t>
      </w:r>
      <w:r>
        <w:rPr>
          <w:rStyle w:val="default"/>
          <w:rFonts w:cs="FrankRuehl"/>
          <w:rtl/>
        </w:rPr>
        <w:t>ש</w:t>
      </w:r>
      <w:r>
        <w:rPr>
          <w:rStyle w:val="default"/>
          <w:rFonts w:cs="FrankRuehl" w:hint="cs"/>
          <w:rtl/>
        </w:rPr>
        <w:t>לתית במסגרת מוסד החינוך שבו הוא לומד במקצוע הבחינה וברמת הבחינה שבה בחר, אלא אם כן לא נתקיימו לגביו תנאים אלה:</w:t>
      </w:r>
    </w:p>
    <w:p w14:paraId="75E880A3" w14:textId="77777777" w:rsidR="00AD4177" w:rsidRDefault="00AD4177">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w:t>
      </w:r>
      <w:r>
        <w:rPr>
          <w:rStyle w:val="default"/>
          <w:rFonts w:cs="FrankRuehl"/>
          <w:rtl/>
        </w:rPr>
        <w:t>ק</w:t>
      </w:r>
      <w:r>
        <w:rPr>
          <w:rStyle w:val="default"/>
          <w:rFonts w:cs="FrankRuehl" w:hint="cs"/>
          <w:rtl/>
        </w:rPr>
        <w:t>צוע הבחינה נלמד במוסד החינוך שבו הוא לומד לפי תכנית הלימודים שקבע משרד ה</w:t>
      </w:r>
      <w:r>
        <w:rPr>
          <w:rStyle w:val="default"/>
          <w:rFonts w:cs="FrankRuehl"/>
          <w:rtl/>
        </w:rPr>
        <w:t>חי</w:t>
      </w:r>
      <w:r>
        <w:rPr>
          <w:rStyle w:val="default"/>
          <w:rFonts w:cs="FrankRuehl" w:hint="cs"/>
          <w:rtl/>
        </w:rPr>
        <w:t>נוך</w:t>
      </w:r>
      <w:r>
        <w:rPr>
          <w:rStyle w:val="default"/>
          <w:rFonts w:cs="FrankRuehl"/>
          <w:rtl/>
        </w:rPr>
        <w:t xml:space="preserve"> </w:t>
      </w:r>
      <w:r>
        <w:rPr>
          <w:rStyle w:val="default"/>
          <w:rFonts w:cs="FrankRuehl" w:hint="cs"/>
          <w:rtl/>
        </w:rPr>
        <w:t>למקצוע הבחינה ולרמת הבחינה;</w:t>
      </w:r>
    </w:p>
    <w:p w14:paraId="739BDF2E" w14:textId="77777777" w:rsidR="00AD4177" w:rsidRDefault="00AD4177">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ת</w:t>
      </w:r>
      <w:r>
        <w:rPr>
          <w:rStyle w:val="default"/>
          <w:rFonts w:cs="FrankRuehl" w:hint="cs"/>
          <w:rtl/>
        </w:rPr>
        <w:t>למיד בחר ולמד את מקצוע ה</w:t>
      </w:r>
      <w:r>
        <w:rPr>
          <w:rStyle w:val="default"/>
          <w:rFonts w:cs="FrankRuehl"/>
          <w:rtl/>
        </w:rPr>
        <w:t>ב</w:t>
      </w:r>
      <w:r>
        <w:rPr>
          <w:rStyle w:val="default"/>
          <w:rFonts w:cs="FrankRuehl" w:hint="cs"/>
          <w:rtl/>
        </w:rPr>
        <w:t>ח</w:t>
      </w:r>
      <w:r>
        <w:rPr>
          <w:rStyle w:val="default"/>
          <w:rFonts w:cs="FrankRuehl"/>
          <w:rtl/>
        </w:rPr>
        <w:t>י</w:t>
      </w:r>
      <w:r>
        <w:rPr>
          <w:rStyle w:val="default"/>
          <w:rFonts w:cs="FrankRuehl" w:hint="cs"/>
          <w:rtl/>
        </w:rPr>
        <w:t>נה וברמת הבחינה שבהם בחר להיבחן, ותכנית הלימודים במקצוע הבחינה של הכיתה שבה למד, תואמת את דרישות תכנית הלימודים שקבע משרד החינוך, לצורך בחינת הבגרות במקצוע שבו בחר להיבחן.</w:t>
      </w:r>
    </w:p>
    <w:p w14:paraId="3DCDCC31" w14:textId="77777777" w:rsidR="00AD4177" w:rsidRDefault="00AD4177">
      <w:pPr>
        <w:pStyle w:val="P00"/>
        <w:spacing w:before="72"/>
        <w:ind w:left="0" w:right="1134"/>
        <w:rPr>
          <w:rStyle w:val="default"/>
          <w:rFonts w:cs="FrankRuehl"/>
          <w:rtl/>
        </w:rPr>
      </w:pPr>
      <w:bookmarkStart w:id="3" w:name="Seif2"/>
      <w:bookmarkEnd w:id="3"/>
      <w:r>
        <w:rPr>
          <w:rFonts w:cs="Miriam"/>
          <w:lang w:val="he-IL"/>
        </w:rPr>
        <w:pict w14:anchorId="1DCFB005">
          <v:rect id="_x0000_s1027" style="position:absolute;left:0;text-align:left;margin-left:464.5pt;margin-top:8.05pt;width:75.05pt;height:10pt;z-index:251657728" o:allowincell="f" filled="f" stroked="f" strokecolor="lime" strokeweight=".25pt">
            <v:textbox style="mso-next-textbox:#_x0000_s1027" inset="0,0,0,0">
              <w:txbxContent>
                <w:p w14:paraId="22F6369B" w14:textId="77777777" w:rsidR="00AD4177" w:rsidRDefault="00AD4177">
                  <w:pPr>
                    <w:spacing w:line="160" w:lineRule="exact"/>
                    <w:rPr>
                      <w:rFonts w:cs="Miriam"/>
                      <w:noProof/>
                      <w:sz w:val="18"/>
                      <w:szCs w:val="18"/>
                      <w:rtl/>
                    </w:rPr>
                  </w:pPr>
                  <w:r>
                    <w:rPr>
                      <w:rFonts w:cs="Miriam"/>
                      <w:sz w:val="18"/>
                      <w:szCs w:val="18"/>
                      <w:rtl/>
                    </w:rPr>
                    <w:t>ס</w:t>
                  </w:r>
                  <w:r>
                    <w:rPr>
                      <w:rFonts w:cs="Miriam" w:hint="cs"/>
                      <w:sz w:val="18"/>
                      <w:szCs w:val="18"/>
                      <w:rtl/>
                    </w:rPr>
                    <w:t>י</w:t>
                  </w:r>
                  <w:r>
                    <w:rPr>
                      <w:rFonts w:cs="Miriam"/>
                      <w:sz w:val="18"/>
                      <w:szCs w:val="18"/>
                      <w:rtl/>
                    </w:rPr>
                    <w:t>י</w:t>
                  </w:r>
                  <w:r>
                    <w:rPr>
                      <w:rFonts w:cs="Miriam" w:hint="cs"/>
                      <w:sz w:val="18"/>
                      <w:szCs w:val="18"/>
                      <w:rtl/>
                    </w:rPr>
                    <w:t>ג לזכות</w:t>
                  </w:r>
                </w:p>
              </w:txbxContent>
            </v:textbox>
            <w10:anchorlock/>
          </v:rect>
        </w:pict>
      </w:r>
      <w:r>
        <w:rPr>
          <w:rStyle w:val="big-number"/>
          <w:rtl/>
        </w:rPr>
        <w:t>2</w:t>
      </w:r>
      <w:r>
        <w:rPr>
          <w:rStyle w:val="big-number"/>
          <w:rFonts w:cs="FrankRuehl"/>
          <w:sz w:val="26"/>
          <w:szCs w:val="26"/>
          <w:rtl/>
        </w:rPr>
        <w:t>.</w:t>
      </w:r>
      <w:r>
        <w:rPr>
          <w:rStyle w:val="big-number"/>
          <w:rFonts w:cs="FrankRuehl"/>
          <w:sz w:val="26"/>
          <w:szCs w:val="26"/>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מ</w:t>
      </w:r>
      <w:r>
        <w:rPr>
          <w:rStyle w:val="default"/>
          <w:rFonts w:cs="FrankRuehl" w:hint="cs"/>
          <w:rtl/>
        </w:rPr>
        <w:t>ד התלמיד בשני התנאים שבתקנה 1, יהיה זכאי להיבחן בבחינת בגר</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במקצוע הבחינה וברמת הבחינה שבהם בחר להיבחן, זולת אם הצוות המקצועי במוסד החינוך, הכולל את מנהל המוסד, היועץ החינוכי, מחנך הכיתה, המורה המקצועי המלמד את התלמיד את מקצוע הבחינה ורכז השכבה אם ק</w:t>
      </w:r>
      <w:r>
        <w:rPr>
          <w:rStyle w:val="default"/>
          <w:rFonts w:cs="FrankRuehl"/>
          <w:rtl/>
        </w:rPr>
        <w:t>יי</w:t>
      </w:r>
      <w:r>
        <w:rPr>
          <w:rStyle w:val="default"/>
          <w:rFonts w:cs="FrankRuehl" w:hint="cs"/>
          <w:rtl/>
        </w:rPr>
        <w:t>ם כ</w:t>
      </w:r>
      <w:r>
        <w:rPr>
          <w:rStyle w:val="default"/>
          <w:rFonts w:cs="FrankRuehl"/>
          <w:rtl/>
        </w:rPr>
        <w:t>ז</w:t>
      </w:r>
      <w:r>
        <w:rPr>
          <w:rStyle w:val="default"/>
          <w:rFonts w:cs="FrankRuehl" w:hint="cs"/>
          <w:rtl/>
        </w:rPr>
        <w:t>ה (להלן - הצוות המקצועי), לא אישר לו להיבחן בבחינת הבגרות</w:t>
      </w:r>
      <w:r>
        <w:rPr>
          <w:rStyle w:val="default"/>
          <w:rFonts w:cs="FrankRuehl"/>
          <w:rtl/>
        </w:rPr>
        <w:t xml:space="preserve"> מני</w:t>
      </w:r>
      <w:r>
        <w:rPr>
          <w:rStyle w:val="default"/>
          <w:rFonts w:cs="FrankRuehl" w:hint="cs"/>
          <w:rtl/>
        </w:rPr>
        <w:t>מוקים מיוחדים שיפורטו בכתב.</w:t>
      </w:r>
    </w:p>
    <w:p w14:paraId="1B1F3D9C" w14:textId="77777777" w:rsidR="00AD4177" w:rsidRDefault="00AD417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ת</w:t>
      </w:r>
      <w:r>
        <w:rPr>
          <w:rStyle w:val="default"/>
          <w:rFonts w:cs="FrankRuehl" w:hint="cs"/>
          <w:rtl/>
        </w:rPr>
        <w:t>למיד יהיה רשאי לערור על החלטת הצוות המקצועי שלא לאפשר לו להיבחן במקצוע הבחינה שבו בחר, לפני המפקח הכולל של משרד החינוך; החלטת המפקח הכולל סופית; בתקנה זו,</w:t>
      </w:r>
      <w:r>
        <w:rPr>
          <w:rStyle w:val="default"/>
          <w:rFonts w:cs="FrankRuehl"/>
          <w:rtl/>
        </w:rPr>
        <w:t xml:space="preserve"> "מ</w:t>
      </w:r>
      <w:r>
        <w:rPr>
          <w:rStyle w:val="default"/>
          <w:rFonts w:cs="FrankRuehl" w:hint="cs"/>
          <w:rtl/>
        </w:rPr>
        <w:t>פק</w:t>
      </w:r>
      <w:r>
        <w:rPr>
          <w:rStyle w:val="default"/>
          <w:rFonts w:cs="FrankRuehl"/>
          <w:rtl/>
        </w:rPr>
        <w:t>ח</w:t>
      </w:r>
      <w:r>
        <w:rPr>
          <w:rStyle w:val="default"/>
          <w:rFonts w:cs="FrankRuehl" w:hint="cs"/>
          <w:rtl/>
        </w:rPr>
        <w:t xml:space="preserve"> כולל" -  כהגדרתו בתקנות חינוך ממלכתי (סדרי הפיקוח), תשי"ז</w:t>
      </w:r>
      <w:r>
        <w:rPr>
          <w:rStyle w:val="default"/>
          <w:rFonts w:cs="FrankRuehl"/>
          <w:rtl/>
        </w:rPr>
        <w:t>-1956.</w:t>
      </w:r>
    </w:p>
    <w:p w14:paraId="188B39EE" w14:textId="77777777" w:rsidR="00AD4177" w:rsidRDefault="00AD4177">
      <w:pPr>
        <w:pStyle w:val="P00"/>
        <w:spacing w:before="72"/>
        <w:ind w:left="0" w:right="1134"/>
        <w:rPr>
          <w:rStyle w:val="default"/>
          <w:rFonts w:cs="FrankRuehl" w:hint="cs"/>
          <w:rtl/>
        </w:rPr>
      </w:pPr>
      <w:bookmarkStart w:id="4" w:name="Seif3"/>
      <w:bookmarkEnd w:id="4"/>
      <w:r>
        <w:rPr>
          <w:rFonts w:cs="Miriam"/>
          <w:lang w:val="he-IL"/>
        </w:rPr>
        <w:pict w14:anchorId="43A067CA">
          <v:rect id="_x0000_s1028" style="position:absolute;left:0;text-align:left;margin-left:464.5pt;margin-top:8.05pt;width:75.05pt;height:20pt;z-index:251658752" o:allowincell="f" filled="f" stroked="f" strokecolor="lime" strokeweight=".25pt">
            <v:textbox style="mso-next-textbox:#_x0000_s1028" inset="0,0,0,0">
              <w:txbxContent>
                <w:p w14:paraId="5251D023" w14:textId="77777777" w:rsidR="00AD4177" w:rsidRDefault="00AD4177">
                  <w:pPr>
                    <w:spacing w:line="160" w:lineRule="exact"/>
                    <w:rPr>
                      <w:rFonts w:cs="Miriam"/>
                      <w:noProof/>
                      <w:sz w:val="18"/>
                      <w:szCs w:val="18"/>
                      <w:rtl/>
                    </w:rPr>
                  </w:pPr>
                  <w:r>
                    <w:rPr>
                      <w:rFonts w:cs="Miriam"/>
                      <w:sz w:val="18"/>
                      <w:szCs w:val="18"/>
                      <w:rtl/>
                    </w:rPr>
                    <w:t>ס</w:t>
                  </w:r>
                  <w:r>
                    <w:rPr>
                      <w:rFonts w:cs="Miriam" w:hint="cs"/>
                      <w:sz w:val="18"/>
                      <w:szCs w:val="18"/>
                      <w:rtl/>
                    </w:rPr>
                    <w:t>מ</w:t>
                  </w:r>
                  <w:r>
                    <w:rPr>
                      <w:rFonts w:cs="Miriam"/>
                      <w:sz w:val="18"/>
                      <w:szCs w:val="18"/>
                      <w:rtl/>
                    </w:rPr>
                    <w:t>כ</w:t>
                  </w:r>
                  <w:r>
                    <w:rPr>
                      <w:rFonts w:cs="Miriam" w:hint="cs"/>
                      <w:sz w:val="18"/>
                      <w:szCs w:val="18"/>
                      <w:rtl/>
                    </w:rPr>
                    <w:t>ות המנהל במקרים חריגים</w:t>
                  </w:r>
                </w:p>
              </w:txbxContent>
            </v:textbox>
            <w10:anchorlock/>
          </v:rect>
        </w:pict>
      </w:r>
      <w:r>
        <w:rPr>
          <w:rStyle w:val="big-number"/>
          <w:rtl/>
        </w:rPr>
        <w:t>3</w:t>
      </w:r>
      <w:r>
        <w:rPr>
          <w:rStyle w:val="big-number"/>
          <w:rFonts w:cs="FrankRuehl"/>
          <w:sz w:val="26"/>
          <w:szCs w:val="26"/>
          <w:rtl/>
        </w:rPr>
        <w:t>.</w:t>
      </w:r>
      <w:r>
        <w:rPr>
          <w:rStyle w:val="big-number"/>
          <w:rFonts w:cs="FrankRuehl"/>
          <w:sz w:val="26"/>
          <w:szCs w:val="26"/>
          <w:rtl/>
        </w:rPr>
        <w:tab/>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אף האמור בתקנות 1 ו-2(א) רשאי מנהל מוסד חינוך, במקרים חריגים ובהסכמת רוב חברי הצוות המקצועי, להתיר את השתתפות התלמיד בבחינות הבגרות גם אם לא נתקיימו התנא</w:t>
      </w:r>
      <w:r>
        <w:rPr>
          <w:rStyle w:val="default"/>
          <w:rFonts w:cs="FrankRuehl"/>
          <w:rtl/>
        </w:rPr>
        <w:t>י</w:t>
      </w:r>
      <w:r>
        <w:rPr>
          <w:rStyle w:val="default"/>
          <w:rFonts w:cs="FrankRuehl" w:hint="cs"/>
          <w:rtl/>
        </w:rPr>
        <w:t>ם לכך, כולם או מקצתם.</w:t>
      </w:r>
    </w:p>
    <w:p w14:paraId="303A120A" w14:textId="77777777" w:rsidR="00AD4177" w:rsidRDefault="00AD4177">
      <w:pPr>
        <w:pStyle w:val="P00"/>
        <w:spacing w:before="72"/>
        <w:ind w:left="0" w:right="1134"/>
        <w:rPr>
          <w:rStyle w:val="default"/>
          <w:rFonts w:cs="FrankRuehl" w:hint="cs"/>
          <w:rtl/>
        </w:rPr>
      </w:pPr>
    </w:p>
    <w:p w14:paraId="3ED2D469" w14:textId="77777777" w:rsidR="00AD4177" w:rsidRDefault="00AD4177">
      <w:pPr>
        <w:pStyle w:val="P00"/>
        <w:spacing w:before="72"/>
        <w:ind w:left="0" w:right="1134"/>
        <w:rPr>
          <w:rStyle w:val="default"/>
          <w:rFonts w:cs="FrankRuehl"/>
          <w:rtl/>
        </w:rPr>
      </w:pPr>
    </w:p>
    <w:p w14:paraId="392BA4A0" w14:textId="77777777" w:rsidR="00AD4177" w:rsidRDefault="00AD4177">
      <w:pPr>
        <w:pStyle w:val="P00"/>
        <w:spacing w:before="72"/>
        <w:ind w:left="0" w:right="1134"/>
        <w:rPr>
          <w:rStyle w:val="default"/>
          <w:rFonts w:cs="FrankRuehl"/>
          <w:rtl/>
        </w:rPr>
      </w:pPr>
    </w:p>
    <w:p w14:paraId="5A5757DA" w14:textId="77777777" w:rsidR="00AD4177" w:rsidRDefault="00AD4177">
      <w:pPr>
        <w:pStyle w:val="sig-0"/>
        <w:ind w:left="0" w:right="1134"/>
        <w:rPr>
          <w:rFonts w:cs="FrankRuehl"/>
          <w:sz w:val="26"/>
          <w:rtl/>
        </w:rPr>
      </w:pPr>
      <w:r>
        <w:rPr>
          <w:rFonts w:cs="FrankRuehl"/>
          <w:sz w:val="26"/>
          <w:rtl/>
        </w:rPr>
        <w:t>כ</w:t>
      </w:r>
      <w:r>
        <w:rPr>
          <w:rFonts w:cs="FrankRuehl" w:hint="cs"/>
          <w:sz w:val="26"/>
          <w:rtl/>
        </w:rPr>
        <w:t>"</w:t>
      </w:r>
      <w:r>
        <w:rPr>
          <w:rFonts w:cs="FrankRuehl"/>
          <w:sz w:val="26"/>
          <w:rtl/>
        </w:rPr>
        <w:t>א</w:t>
      </w:r>
      <w:r>
        <w:rPr>
          <w:rFonts w:cs="FrankRuehl" w:hint="cs"/>
          <w:sz w:val="26"/>
          <w:rtl/>
        </w:rPr>
        <w:t xml:space="preserve"> בתמוז תשס"ב (1 ביולי 2002)</w:t>
      </w:r>
      <w:r>
        <w:rPr>
          <w:rFonts w:cs="FrankRuehl"/>
          <w:sz w:val="26"/>
          <w:rtl/>
        </w:rPr>
        <w:tab/>
      </w:r>
      <w:r>
        <w:rPr>
          <w:rFonts w:cs="FrankRuehl" w:hint="cs"/>
          <w:sz w:val="26"/>
          <w:rtl/>
        </w:rPr>
        <w:t>ל</w:t>
      </w:r>
      <w:r>
        <w:rPr>
          <w:rFonts w:cs="FrankRuehl"/>
          <w:sz w:val="26"/>
          <w:rtl/>
        </w:rPr>
        <w:t>י</w:t>
      </w:r>
      <w:r>
        <w:rPr>
          <w:rFonts w:cs="FrankRuehl" w:hint="cs"/>
          <w:sz w:val="26"/>
          <w:rtl/>
        </w:rPr>
        <w:t>מו</w:t>
      </w:r>
      <w:r>
        <w:rPr>
          <w:rFonts w:cs="FrankRuehl"/>
          <w:sz w:val="26"/>
          <w:rtl/>
        </w:rPr>
        <w:t>ר</w:t>
      </w:r>
      <w:r>
        <w:rPr>
          <w:rFonts w:cs="FrankRuehl" w:hint="cs"/>
          <w:sz w:val="26"/>
          <w:rtl/>
        </w:rPr>
        <w:t xml:space="preserve"> </w:t>
      </w:r>
      <w:r>
        <w:rPr>
          <w:rFonts w:cs="FrankRuehl"/>
          <w:sz w:val="26"/>
          <w:rtl/>
        </w:rPr>
        <w:t>ל</w:t>
      </w:r>
      <w:r>
        <w:rPr>
          <w:rFonts w:cs="FrankRuehl" w:hint="cs"/>
          <w:sz w:val="26"/>
          <w:rtl/>
        </w:rPr>
        <w:t>בנת</w:t>
      </w:r>
    </w:p>
    <w:p w14:paraId="63D23C35" w14:textId="77777777" w:rsidR="00AD4177" w:rsidRDefault="00AD4177">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r>
      <w:r>
        <w:rPr>
          <w:rFonts w:cs="FrankRuehl" w:hint="cs"/>
          <w:sz w:val="22"/>
          <w:rtl/>
        </w:rPr>
        <w:t>ש</w:t>
      </w:r>
      <w:r>
        <w:rPr>
          <w:rFonts w:cs="FrankRuehl"/>
          <w:sz w:val="22"/>
          <w:rtl/>
        </w:rPr>
        <w:t>ר</w:t>
      </w:r>
      <w:r>
        <w:rPr>
          <w:rFonts w:cs="FrankRuehl" w:hint="cs"/>
          <w:sz w:val="22"/>
          <w:rtl/>
        </w:rPr>
        <w:t>ת החינוך</w:t>
      </w:r>
    </w:p>
    <w:p w14:paraId="135C9A51" w14:textId="77777777" w:rsidR="00AD4177" w:rsidRDefault="00AD4177">
      <w:pPr>
        <w:pStyle w:val="P00"/>
        <w:spacing w:before="72"/>
        <w:ind w:left="0" w:right="1134"/>
        <w:rPr>
          <w:rFonts w:cs="FrankRuehl"/>
          <w:sz w:val="26"/>
          <w:rtl/>
        </w:rPr>
      </w:pPr>
    </w:p>
    <w:sectPr w:rsidR="00AD4177">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B0DB7" w14:textId="77777777" w:rsidR="00061DD3" w:rsidRDefault="00061DD3">
      <w:r>
        <w:separator/>
      </w:r>
    </w:p>
  </w:endnote>
  <w:endnote w:type="continuationSeparator" w:id="0">
    <w:p w14:paraId="2B89ED51" w14:textId="77777777" w:rsidR="00061DD3" w:rsidRDefault="00061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A4070" w14:textId="77777777" w:rsidR="00AD4177" w:rsidRDefault="00AD4177">
    <w:pPr>
      <w:pStyle w:val="a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7976B4F8" w14:textId="77777777" w:rsidR="00AD4177" w:rsidRDefault="00AD4177">
    <w:pPr>
      <w:pStyle w:val="a4"/>
      <w:pBdr>
        <w:top w:val="single" w:sz="4" w:space="1" w:color="auto"/>
        <w:between w:val="single" w:sz="4" w:space="0" w:color="auto"/>
      </w:pBdr>
      <w:spacing w:after="60"/>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A097558" w14:textId="77777777" w:rsidR="00AD4177" w:rsidRDefault="00AD4177">
    <w:pPr>
      <w:pStyle w:val="a4"/>
      <w:pBdr>
        <w:top w:val="single" w:sz="4" w:space="1" w:color="auto"/>
        <w:between w:val="single" w:sz="4" w:space="0" w:color="auto"/>
      </w:pBdr>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F6AB7">
      <w:rPr>
        <w:rFonts w:cs="TopType Jerushalmi"/>
        <w:noProof/>
        <w:color w:val="000000"/>
        <w:sz w:val="14"/>
        <w:szCs w:val="14"/>
      </w:rPr>
      <w:t>Z:\000000000000-law\yael\09-04-12\tav\133m1_002.doc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564B2" w14:textId="77777777" w:rsidR="00AD4177" w:rsidRDefault="00AD4177">
    <w:pPr>
      <w:pStyle w:val="a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1C306A">
      <w:rPr>
        <w:rFonts w:hAnsi="FrankRuehl" w:cs="FrankRuehl"/>
        <w:noProof/>
        <w:rtl/>
      </w:rPr>
      <w:t>2</w:t>
    </w:r>
    <w:r>
      <w:rPr>
        <w:rFonts w:hAnsi="FrankRuehl" w:cs="FrankRuehl"/>
        <w:rtl/>
      </w:rPr>
      <w:fldChar w:fldCharType="end"/>
    </w:r>
  </w:p>
  <w:p w14:paraId="7A74E357" w14:textId="77777777" w:rsidR="00AD4177" w:rsidRDefault="00AD4177">
    <w:pPr>
      <w:pStyle w:val="a4"/>
      <w:pBdr>
        <w:top w:val="single" w:sz="4" w:space="1" w:color="auto"/>
        <w:between w:val="single" w:sz="4" w:space="0" w:color="auto"/>
      </w:pBdr>
      <w:spacing w:after="60"/>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1428946" w14:textId="77777777" w:rsidR="00AD4177" w:rsidRDefault="00AD4177">
    <w:pPr>
      <w:pStyle w:val="a4"/>
      <w:pBdr>
        <w:top w:val="single" w:sz="4" w:space="1" w:color="auto"/>
        <w:between w:val="single" w:sz="4" w:space="0" w:color="auto"/>
      </w:pBdr>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F6AB7">
      <w:rPr>
        <w:rFonts w:cs="TopType Jerushalmi"/>
        <w:noProof/>
        <w:color w:val="000000"/>
        <w:sz w:val="14"/>
        <w:szCs w:val="14"/>
      </w:rPr>
      <w:t>Z:\000000000000-law\yael\09-04-12\tav\133m1_002.doc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A7E28" w14:textId="77777777" w:rsidR="00061DD3" w:rsidRDefault="00061DD3" w:rsidP="008B1EAF">
      <w:pPr>
        <w:spacing w:before="60"/>
        <w:ind w:right="1134"/>
      </w:pPr>
      <w:r>
        <w:separator/>
      </w:r>
    </w:p>
  </w:footnote>
  <w:footnote w:type="continuationSeparator" w:id="0">
    <w:p w14:paraId="1695904F" w14:textId="77777777" w:rsidR="00061DD3" w:rsidRDefault="00061DD3">
      <w:r>
        <w:continuationSeparator/>
      </w:r>
    </w:p>
  </w:footnote>
  <w:footnote w:id="1">
    <w:p w14:paraId="546ABE6D" w14:textId="77777777" w:rsidR="00AD4177" w:rsidRDefault="00AD417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w:t>
      </w:r>
      <w:r>
        <w:rPr>
          <w:rFonts w:cs="FrankRuehl"/>
          <w:rtl/>
        </w:rPr>
        <w:t>ר</w:t>
      </w:r>
      <w:r>
        <w:rPr>
          <w:rFonts w:cs="FrankRuehl" w:hint="cs"/>
          <w:rtl/>
        </w:rPr>
        <w:t xml:space="preserve">סמו </w:t>
      </w:r>
      <w:hyperlink r:id="rId1" w:history="1">
        <w:r w:rsidRPr="008A6518">
          <w:rPr>
            <w:rStyle w:val="Hyperlink"/>
            <w:rFonts w:cs="FrankRuehl" w:hint="cs"/>
            <w:rtl/>
          </w:rPr>
          <w:t>ק"ת תשס"ב מס' 6184</w:t>
        </w:r>
      </w:hyperlink>
      <w:r>
        <w:rPr>
          <w:rFonts w:cs="FrankRuehl" w:hint="cs"/>
          <w:rtl/>
        </w:rPr>
        <w:t xml:space="preserve"> מיום 16.7.2002 עמ' 999.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0168" w14:textId="77777777" w:rsidR="00AD4177" w:rsidRDefault="00AD4177">
    <w:pPr>
      <w:pStyle w:val="a3"/>
      <w:spacing w:line="220" w:lineRule="exact"/>
      <w:jc w:val="center"/>
      <w:rPr>
        <w:rFonts w:hAnsi="FrankRuehl" w:cs="FrankRuehl"/>
        <w:color w:val="000000"/>
        <w:sz w:val="28"/>
        <w:szCs w:val="28"/>
        <w:rtl/>
      </w:rPr>
    </w:pPr>
    <w:r>
      <w:rPr>
        <w:rFonts w:hAnsi="FrankRuehl" w:cs="FrankRuehl"/>
        <w:color w:val="000000"/>
        <w:sz w:val="28"/>
        <w:szCs w:val="28"/>
        <w:rtl/>
      </w:rPr>
      <w:t>תקנות זכויות התלמיד (תנאים לבחינות הבגרות), תשס"ב- 2002</w:t>
    </w:r>
  </w:p>
  <w:p w14:paraId="58D0ED23" w14:textId="77777777" w:rsidR="00AD4177" w:rsidRDefault="00AD4177">
    <w:pPr>
      <w:pStyle w:val="a3"/>
      <w:pBdr>
        <w:top w:val="single" w:sz="4" w:space="0" w:color="auto"/>
      </w:pBdr>
      <w:spacing w:line="220" w:lineRule="exact"/>
      <w:jc w:val="center"/>
      <w:rPr>
        <w:rFonts w:hAnsi="FrankRuehl" w:cs="FrankRuehl"/>
        <w:color w:val="000000"/>
        <w:sz w:val="26"/>
        <w:szCs w:val="26"/>
        <w:rtl/>
      </w:rPr>
    </w:pPr>
    <w:r>
      <w:rPr>
        <w:rFonts w:hAnsi="FrankRuehl" w:cs="FrankRuehl"/>
        <w:color w:val="000000"/>
        <w:sz w:val="26"/>
        <w:szCs w:val="26"/>
        <w:rtl/>
      </w:rPr>
      <w:t>נוסח מלא ומעודכן</w:t>
    </w:r>
  </w:p>
  <w:p w14:paraId="62264961" w14:textId="77777777" w:rsidR="00AD4177" w:rsidRDefault="00AD4177">
    <w:pPr>
      <w:pStyle w:val="a3"/>
      <w:pBdr>
        <w:top w:val="single" w:sz="4" w:space="0" w:color="auto"/>
      </w:pBdr>
      <w:spacing w:line="220" w:lineRule="exact"/>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0D499" w14:textId="77777777" w:rsidR="00AD4177" w:rsidRDefault="00AD417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זכויות התלמיד (תנאים לבחינות הבגרות), תשס"ב-2002</w:t>
    </w:r>
  </w:p>
  <w:p w14:paraId="3078C3EE" w14:textId="77777777" w:rsidR="00AD4177" w:rsidRDefault="00AD417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4014CD7" w14:textId="77777777" w:rsidR="00AD4177" w:rsidRDefault="00AD417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6518"/>
    <w:rsid w:val="00061DD3"/>
    <w:rsid w:val="001C306A"/>
    <w:rsid w:val="003F6AB7"/>
    <w:rsid w:val="004E5691"/>
    <w:rsid w:val="00502B6F"/>
    <w:rsid w:val="008A6518"/>
    <w:rsid w:val="008B1EAF"/>
    <w:rsid w:val="00AD417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D3FBF43"/>
  <w15:chartTrackingRefBased/>
  <w15:docId w15:val="{EB5868C8-AB28-4048-8FEF-617FC3583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Miriam"/>
      <w:sz w:val="32"/>
      <w:szCs w:val="32"/>
    </w:rPr>
  </w:style>
  <w:style w:type="character" w:customStyle="1" w:styleId="super">
    <w:name w:val="super"/>
    <w:basedOn w:val="default"/>
    <w:rPr>
      <w:rFonts w:ascii="Times New Roman" w:hAnsi="Times New Roman" w:cs="Miriam"/>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18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Are You suprised ?</vt:lpstr>
    </vt:vector>
  </TitlesOfParts>
  <Company/>
  <LinksUpToDate>false</LinksUpToDate>
  <CharactersWithSpaces>1895</CharactersWithSpaces>
  <SharedDoc>false</SharedDoc>
  <HLinks>
    <vt:vector size="24" baseType="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7798797</vt:i4>
      </vt:variant>
      <vt:variant>
        <vt:i4>0</vt:i4>
      </vt:variant>
      <vt:variant>
        <vt:i4>0</vt:i4>
      </vt:variant>
      <vt:variant>
        <vt:i4>5</vt:i4>
      </vt:variant>
      <vt:variant>
        <vt:lpwstr>http://www.nevo.co.il/Law_word/law06/TAK-6184.pdf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 </dc:subject>
  <dc:creator>comp99</dc:creator>
  <cp:keywords>Birthday</cp:keywords>
  <dc:description>Shankar's Birthday falls on 25th July.  Don't Forget to wish him</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133m1</vt:lpwstr>
  </property>
  <property fmtid="{D5CDD505-2E9C-101B-9397-08002B2CF9AE}" pid="3" name="CHNAME">
    <vt:lpwstr>זכויות התלמיד</vt:lpwstr>
  </property>
  <property fmtid="{D5CDD505-2E9C-101B-9397-08002B2CF9AE}" pid="4" name="LAWNAME">
    <vt:lpwstr>תקנות זכויות התלמיד (תנאים לבחינות הבגרות), תשס"ב-2002</vt:lpwstr>
  </property>
  <property fmtid="{D5CDD505-2E9C-101B-9397-08002B2CF9AE}" pid="5" name="LAWNUMBER">
    <vt:lpwstr>0002</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חינוך</vt:lpwstr>
  </property>
  <property fmtid="{D5CDD505-2E9C-101B-9397-08002B2CF9AE}" pid="9" name="NOSE31">
    <vt:lpwstr>זכויות התלמיד</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