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3373DF" w:rsidP="001A1B4B">
      <w:pPr>
        <w:pStyle w:val="big-header"/>
        <w:ind w:left="0" w:right="1134"/>
        <w:rPr>
          <w:rFonts w:cs="FrankRuehl" w:hint="cs"/>
          <w:sz w:val="32"/>
          <w:rtl/>
        </w:rPr>
      </w:pPr>
      <w:r>
        <w:rPr>
          <w:rFonts w:cs="FrankRuehl" w:hint="cs"/>
          <w:sz w:val="32"/>
          <w:rtl/>
        </w:rPr>
        <w:t>תקנות חוקרים פרטיים ושירותי שמירה (ערבות בנקאית ערובה אחרת או ביטוח</w:t>
      </w:r>
      <w:r w:rsidR="000E7C6D">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"א</w:t>
      </w:r>
      <w:r w:rsidR="006A0293">
        <w:rPr>
          <w:rFonts w:cs="FrankRuehl" w:hint="cs"/>
          <w:sz w:val="32"/>
          <w:rtl/>
        </w:rPr>
        <w:t>-2010</w:t>
      </w:r>
    </w:p>
    <w:p w:rsidR="003373DF" w:rsidRPr="003373DF" w:rsidRDefault="003373DF" w:rsidP="003373DF">
      <w:pPr>
        <w:spacing w:line="320" w:lineRule="auto"/>
        <w:rPr>
          <w:rFonts w:cs="FrankRuehl"/>
          <w:szCs w:val="26"/>
          <w:rtl/>
        </w:rPr>
      </w:pPr>
    </w:p>
    <w:p w:rsidR="003373DF" w:rsidRDefault="003373DF" w:rsidP="003373DF">
      <w:pPr>
        <w:spacing w:line="320" w:lineRule="auto"/>
        <w:rPr>
          <w:rtl/>
        </w:rPr>
      </w:pPr>
    </w:p>
    <w:p w:rsidR="003373DF" w:rsidRDefault="003373DF" w:rsidP="003373DF">
      <w:pPr>
        <w:spacing w:line="320" w:lineRule="auto"/>
        <w:rPr>
          <w:rFonts w:cs="Miriam"/>
          <w:szCs w:val="22"/>
          <w:rtl/>
        </w:rPr>
      </w:pPr>
      <w:r w:rsidRPr="003373DF">
        <w:rPr>
          <w:rFonts w:cs="Miriam"/>
          <w:szCs w:val="22"/>
          <w:rtl/>
        </w:rPr>
        <w:t>בטחון</w:t>
      </w:r>
      <w:r w:rsidRPr="003373DF">
        <w:rPr>
          <w:rFonts w:cs="FrankRuehl"/>
          <w:szCs w:val="26"/>
          <w:rtl/>
        </w:rPr>
        <w:t xml:space="preserve"> – חוקרים פרטיים ושמירה – רשיון ומתאמנים</w:t>
      </w:r>
    </w:p>
    <w:p w:rsidR="003373DF" w:rsidRPr="003373DF" w:rsidRDefault="003373DF" w:rsidP="003373DF">
      <w:pPr>
        <w:spacing w:line="320" w:lineRule="auto"/>
        <w:rPr>
          <w:rFonts w:cs="Miriam" w:hint="cs"/>
          <w:szCs w:val="22"/>
          <w:rtl/>
        </w:rPr>
      </w:pPr>
      <w:r w:rsidRPr="003373DF">
        <w:rPr>
          <w:rFonts w:cs="Miriam"/>
          <w:szCs w:val="22"/>
          <w:rtl/>
        </w:rPr>
        <w:t>משפט פרטי וכלכלה</w:t>
      </w:r>
      <w:r w:rsidRPr="003373DF">
        <w:rPr>
          <w:rFonts w:cs="FrankRuehl"/>
          <w:szCs w:val="26"/>
          <w:rtl/>
        </w:rPr>
        <w:t xml:space="preserve"> – הסדרת עיסוק – חוקרים פרטיים ושמירה – רשיון ומתאמנים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1 </w:t>
            </w:r>
          </w:p>
        </w:tc>
        <w:tc>
          <w:tcPr>
            <w:tcW w:w="5669" w:type="dxa"/>
          </w:tcPr>
          <w:p w:rsidR="00DC189F" w:rsidRPr="00DC189F" w:rsidRDefault="00DC189F" w:rsidP="00DC189F">
            <w:pPr>
              <w:rPr>
                <w:rFonts w:cs="Frankruhel" w:hint="cs"/>
                <w:rtl/>
              </w:rPr>
            </w:pPr>
            <w:r>
              <w:rPr>
                <w:rtl/>
              </w:rPr>
              <w:t>הגדרות</w:t>
            </w:r>
          </w:p>
        </w:tc>
        <w:tc>
          <w:tcPr>
            <w:tcW w:w="567" w:type="dxa"/>
          </w:tcPr>
          <w:p w:rsidR="00DC189F" w:rsidRPr="00DC189F" w:rsidRDefault="00DC189F" w:rsidP="00DC189F">
            <w:pPr>
              <w:rPr>
                <w:rStyle w:val="Hyperlink"/>
                <w:rFonts w:hint="cs"/>
                <w:rtl/>
              </w:rPr>
            </w:pPr>
            <w:hyperlink w:anchor="Seif1" w:tooltip="הגדרות"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2 </w:t>
            </w:r>
          </w:p>
        </w:tc>
        <w:tc>
          <w:tcPr>
            <w:tcW w:w="5669" w:type="dxa"/>
          </w:tcPr>
          <w:p w:rsidR="00DC189F" w:rsidRPr="00DC189F" w:rsidRDefault="00DC189F" w:rsidP="00DC189F">
            <w:pPr>
              <w:rPr>
                <w:rFonts w:cs="Frankruhel" w:hint="cs"/>
                <w:rtl/>
              </w:rPr>
            </w:pPr>
            <w:r>
              <w:rPr>
                <w:rtl/>
              </w:rPr>
              <w:t>חובת הפקדת ערבות בנקאית או ערובה אחרת או ביטוח</w:t>
            </w:r>
          </w:p>
        </w:tc>
        <w:tc>
          <w:tcPr>
            <w:tcW w:w="567" w:type="dxa"/>
          </w:tcPr>
          <w:p w:rsidR="00DC189F" w:rsidRPr="00DC189F" w:rsidRDefault="00DC189F" w:rsidP="00DC189F">
            <w:pPr>
              <w:rPr>
                <w:rStyle w:val="Hyperlink"/>
                <w:rFonts w:hint="cs"/>
                <w:rtl/>
              </w:rPr>
            </w:pPr>
            <w:hyperlink w:anchor="Seif2" w:tooltip="חובת הפקדת ערבות בנקאית או ערובה אחרת או ביטוח"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3 </w:t>
            </w:r>
          </w:p>
        </w:tc>
        <w:tc>
          <w:tcPr>
            <w:tcW w:w="5669" w:type="dxa"/>
          </w:tcPr>
          <w:p w:rsidR="00DC189F" w:rsidRPr="00DC189F" w:rsidRDefault="00DC189F" w:rsidP="00DC189F">
            <w:pPr>
              <w:rPr>
                <w:rFonts w:cs="Frankruhel" w:hint="cs"/>
                <w:rtl/>
              </w:rPr>
            </w:pPr>
            <w:r>
              <w:rPr>
                <w:rtl/>
              </w:rPr>
              <w:t>ערבות בנקאית</w:t>
            </w:r>
          </w:p>
        </w:tc>
        <w:tc>
          <w:tcPr>
            <w:tcW w:w="567" w:type="dxa"/>
          </w:tcPr>
          <w:p w:rsidR="00DC189F" w:rsidRPr="00DC189F" w:rsidRDefault="00DC189F" w:rsidP="00DC189F">
            <w:pPr>
              <w:rPr>
                <w:rStyle w:val="Hyperlink"/>
                <w:rFonts w:hint="cs"/>
                <w:rtl/>
              </w:rPr>
            </w:pPr>
            <w:hyperlink w:anchor="Seif3" w:tooltip="ערבות בנקאית"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4 </w:t>
            </w:r>
          </w:p>
        </w:tc>
        <w:tc>
          <w:tcPr>
            <w:tcW w:w="5669" w:type="dxa"/>
          </w:tcPr>
          <w:p w:rsidR="00DC189F" w:rsidRPr="00DC189F" w:rsidRDefault="00DC189F" w:rsidP="00DC189F">
            <w:pPr>
              <w:rPr>
                <w:rFonts w:cs="Frankruhel" w:hint="cs"/>
                <w:rtl/>
              </w:rPr>
            </w:pPr>
            <w:r>
              <w:rPr>
                <w:rtl/>
              </w:rPr>
              <w:t>ערובה אחרת</w:t>
            </w:r>
          </w:p>
        </w:tc>
        <w:tc>
          <w:tcPr>
            <w:tcW w:w="567" w:type="dxa"/>
          </w:tcPr>
          <w:p w:rsidR="00DC189F" w:rsidRPr="00DC189F" w:rsidRDefault="00DC189F" w:rsidP="00DC189F">
            <w:pPr>
              <w:rPr>
                <w:rStyle w:val="Hyperlink"/>
                <w:rFonts w:hint="cs"/>
                <w:rtl/>
              </w:rPr>
            </w:pPr>
            <w:hyperlink w:anchor="Seif4" w:tooltip="ערובה אחרת"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5 </w:t>
            </w:r>
          </w:p>
        </w:tc>
        <w:tc>
          <w:tcPr>
            <w:tcW w:w="5669" w:type="dxa"/>
          </w:tcPr>
          <w:p w:rsidR="00DC189F" w:rsidRPr="00DC189F" w:rsidRDefault="00DC189F" w:rsidP="00DC189F">
            <w:pPr>
              <w:rPr>
                <w:rFonts w:cs="Frankruhel" w:hint="cs"/>
                <w:rtl/>
              </w:rPr>
            </w:pPr>
            <w:r>
              <w:rPr>
                <w:rtl/>
              </w:rPr>
              <w:t>ביטוח</w:t>
            </w:r>
          </w:p>
        </w:tc>
        <w:tc>
          <w:tcPr>
            <w:tcW w:w="567" w:type="dxa"/>
          </w:tcPr>
          <w:p w:rsidR="00DC189F" w:rsidRPr="00DC189F" w:rsidRDefault="00DC189F" w:rsidP="00DC189F">
            <w:pPr>
              <w:rPr>
                <w:rStyle w:val="Hyperlink"/>
                <w:rFonts w:hint="cs"/>
                <w:rtl/>
              </w:rPr>
            </w:pPr>
            <w:hyperlink w:anchor="Seif5" w:tooltip="ביטוח"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6 </w:t>
            </w:r>
          </w:p>
        </w:tc>
        <w:tc>
          <w:tcPr>
            <w:tcW w:w="5669" w:type="dxa"/>
          </w:tcPr>
          <w:p w:rsidR="00DC189F" w:rsidRPr="00DC189F" w:rsidRDefault="00DC189F" w:rsidP="00DC189F">
            <w:pPr>
              <w:rPr>
                <w:rFonts w:cs="Frankruhel" w:hint="cs"/>
                <w:rtl/>
              </w:rPr>
            </w:pPr>
            <w:r>
              <w:rPr>
                <w:rtl/>
              </w:rPr>
              <w:t>מימוש הערבות הבנקאית, ערובה אחרת או תשלום תגמולי ביטוח</w:t>
            </w:r>
          </w:p>
        </w:tc>
        <w:tc>
          <w:tcPr>
            <w:tcW w:w="567" w:type="dxa"/>
          </w:tcPr>
          <w:p w:rsidR="00DC189F" w:rsidRPr="00DC189F" w:rsidRDefault="00DC189F" w:rsidP="00DC189F">
            <w:pPr>
              <w:rPr>
                <w:rStyle w:val="Hyperlink"/>
                <w:rFonts w:hint="cs"/>
                <w:rtl/>
              </w:rPr>
            </w:pPr>
            <w:hyperlink w:anchor="Seif6" w:tooltip="מימוש הערבות הבנקאית, ערובה אחרת או תשלום תגמולי ביטוח"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DC189F" w:rsidRPr="00DC189F">
        <w:tblPrEx>
          <w:tblCellMar>
            <w:top w:w="0" w:type="dxa"/>
            <w:bottom w:w="0" w:type="dxa"/>
          </w:tblCellMar>
        </w:tblPrEx>
        <w:tc>
          <w:tcPr>
            <w:tcW w:w="1247" w:type="dxa"/>
          </w:tcPr>
          <w:p w:rsidR="00DC189F" w:rsidRPr="00DC189F" w:rsidRDefault="00DC189F" w:rsidP="00DC189F">
            <w:pPr>
              <w:rPr>
                <w:rFonts w:cs="Frankruhel" w:hint="cs"/>
                <w:rtl/>
              </w:rPr>
            </w:pPr>
            <w:r>
              <w:rPr>
                <w:rtl/>
              </w:rPr>
              <w:t xml:space="preserve">סעיף 7 </w:t>
            </w:r>
          </w:p>
        </w:tc>
        <w:tc>
          <w:tcPr>
            <w:tcW w:w="5669" w:type="dxa"/>
          </w:tcPr>
          <w:p w:rsidR="00DC189F" w:rsidRPr="00DC189F" w:rsidRDefault="00DC189F" w:rsidP="00DC189F">
            <w:pPr>
              <w:rPr>
                <w:rFonts w:cs="Frankruhel" w:hint="cs"/>
                <w:rtl/>
              </w:rPr>
            </w:pPr>
            <w:r>
              <w:rPr>
                <w:rtl/>
              </w:rPr>
              <w:t>תחילה</w:t>
            </w:r>
          </w:p>
        </w:tc>
        <w:tc>
          <w:tcPr>
            <w:tcW w:w="567" w:type="dxa"/>
          </w:tcPr>
          <w:p w:rsidR="00DC189F" w:rsidRPr="00DC189F" w:rsidRDefault="00DC189F" w:rsidP="00DC189F">
            <w:pPr>
              <w:rPr>
                <w:rStyle w:val="Hyperlink"/>
                <w:rFonts w:hint="cs"/>
                <w:rtl/>
              </w:rPr>
            </w:pPr>
            <w:hyperlink w:anchor="Seif7" w:tooltip="תחילה" w:history="1">
              <w:r w:rsidRPr="00DC189F">
                <w:rPr>
                  <w:rStyle w:val="Hyperlink"/>
                </w:rPr>
                <w:t>Go</w:t>
              </w:r>
            </w:hyperlink>
          </w:p>
        </w:tc>
        <w:tc>
          <w:tcPr>
            <w:tcW w:w="850" w:type="dxa"/>
          </w:tcPr>
          <w:p w:rsidR="00DC189F" w:rsidRPr="00DC189F" w:rsidRDefault="00DC189F" w:rsidP="00DC189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3373DF">
      <w:pPr>
        <w:pStyle w:val="big-header"/>
        <w:ind w:left="0" w:right="1134"/>
        <w:rPr>
          <w:rStyle w:val="default"/>
          <w:rFonts w:hint="cs"/>
          <w:sz w:val="22"/>
          <w:szCs w:val="22"/>
          <w:rtl/>
        </w:rPr>
      </w:pPr>
      <w:r>
        <w:rPr>
          <w:rFonts w:cs="FrankRuehl"/>
          <w:sz w:val="32"/>
          <w:rtl/>
        </w:rPr>
        <w:br w:type="page"/>
      </w:r>
      <w:r w:rsidR="003373DF">
        <w:rPr>
          <w:rFonts w:cs="FrankRuehl" w:hint="cs"/>
          <w:sz w:val="32"/>
          <w:rtl/>
        </w:rPr>
        <w:lastRenderedPageBreak/>
        <w:t>תקנות חוקרים פרטיים ושירותי שמירה (ערבות בנקאית ערובה אחרת או ביטוח), תשע"א-2010</w:t>
      </w:r>
      <w:r>
        <w:rPr>
          <w:rStyle w:val="default"/>
          <w:sz w:val="22"/>
          <w:szCs w:val="22"/>
          <w:rtl/>
        </w:rPr>
        <w:footnoteReference w:customMarkFollows="1" w:id="1"/>
        <w:t>*</w:t>
      </w:r>
    </w:p>
    <w:p w:rsidR="000A51DD" w:rsidRDefault="000A51DD" w:rsidP="003373DF">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0E7C6D">
        <w:rPr>
          <w:rStyle w:val="default"/>
          <w:rFonts w:cs="FrankRuehl" w:hint="cs"/>
          <w:rtl/>
        </w:rPr>
        <w:t xml:space="preserve">סעיף </w:t>
      </w:r>
      <w:r w:rsidR="003373DF">
        <w:rPr>
          <w:rStyle w:val="default"/>
          <w:rFonts w:cs="FrankRuehl" w:hint="cs"/>
          <w:rtl/>
        </w:rPr>
        <w:t xml:space="preserve">19(א1) לחוק חוקרים פרטיים ושירותי שמירה, התשל"ב-1972 (להלן </w:t>
      </w:r>
      <w:r w:rsidR="003373DF">
        <w:rPr>
          <w:rStyle w:val="default"/>
          <w:rFonts w:cs="FrankRuehl"/>
          <w:rtl/>
        </w:rPr>
        <w:t>–</w:t>
      </w:r>
      <w:r w:rsidR="003373DF">
        <w:rPr>
          <w:rStyle w:val="default"/>
          <w:rFonts w:cs="FrankRuehl" w:hint="cs"/>
          <w:rtl/>
        </w:rPr>
        <w:t xml:space="preserve"> החוק), ולאחר התייעצות עם המפקח, אני מתקין תקנות אלה</w:t>
      </w:r>
      <w:r>
        <w:rPr>
          <w:rStyle w:val="default"/>
          <w:rFonts w:cs="FrankRuehl"/>
          <w:rtl/>
        </w:rPr>
        <w:t>:</w:t>
      </w:r>
    </w:p>
    <w:p w:rsidR="000A51DD" w:rsidRDefault="000A51DD" w:rsidP="00323F67">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35pt;margin-top:7.1pt;width:75.05pt;height:9.95pt;z-index:251654656" o:allowincell="f" filled="f" stroked="f" strokecolor="lime" strokeweight=".25pt">
            <v:textbox style="mso-next-textbox:#_x0000_s2050" inset="0,0,0,0">
              <w:txbxContent>
                <w:p w:rsidR="000A51DD" w:rsidRDefault="00323F6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23F67">
        <w:rPr>
          <w:rStyle w:val="default"/>
          <w:rFonts w:cs="FrankRuehl" w:hint="cs"/>
          <w:rtl/>
        </w:rPr>
        <w:t xml:space="preserve">בתקנות אלה </w:t>
      </w:r>
      <w:r w:rsidR="00323F67">
        <w:rPr>
          <w:rStyle w:val="default"/>
          <w:rFonts w:cs="FrankRuehl"/>
          <w:rtl/>
        </w:rPr>
        <w:t>–</w:t>
      </w:r>
    </w:p>
    <w:p w:rsidR="00323F67" w:rsidRDefault="00323F67" w:rsidP="00323F67">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הרישוי שלפי סעיף 2 לחוק;</w:t>
      </w:r>
    </w:p>
    <w:p w:rsidR="00323F67" w:rsidRDefault="00323F67" w:rsidP="00323F67">
      <w:pPr>
        <w:pStyle w:val="P00"/>
        <w:spacing w:before="72"/>
        <w:ind w:left="0" w:right="1134"/>
        <w:rPr>
          <w:rStyle w:val="default"/>
          <w:rFonts w:cs="FrankRuehl" w:hint="cs"/>
          <w:rtl/>
        </w:rPr>
      </w:pPr>
      <w:r>
        <w:rPr>
          <w:rStyle w:val="default"/>
          <w:rFonts w:cs="FrankRuehl" w:hint="cs"/>
          <w:rtl/>
        </w:rPr>
        <w:tab/>
        <w:t xml:space="preserve">"מבקש רישיון" </w:t>
      </w:r>
      <w:r>
        <w:rPr>
          <w:rStyle w:val="default"/>
          <w:rFonts w:cs="FrankRuehl"/>
          <w:rtl/>
        </w:rPr>
        <w:t>–</w:t>
      </w:r>
      <w:r>
        <w:rPr>
          <w:rStyle w:val="default"/>
          <w:rFonts w:cs="FrankRuehl" w:hint="cs"/>
          <w:rtl/>
        </w:rPr>
        <w:t xml:space="preserve"> מבקש רישיון לקיים משרד לשירותי שמירה או לארגן שירותי שמירה;</w:t>
      </w:r>
    </w:p>
    <w:p w:rsidR="00323F67" w:rsidRDefault="00323F67" w:rsidP="00323F67">
      <w:pPr>
        <w:pStyle w:val="P00"/>
        <w:spacing w:before="72"/>
        <w:ind w:left="0" w:right="1134"/>
        <w:rPr>
          <w:rStyle w:val="default"/>
          <w:rFonts w:cs="FrankRuehl" w:hint="cs"/>
          <w:rtl/>
        </w:rPr>
      </w:pPr>
      <w:r>
        <w:rPr>
          <w:rStyle w:val="default"/>
          <w:rFonts w:cs="FrankRuehl" w:hint="cs"/>
          <w:rtl/>
        </w:rPr>
        <w:tab/>
        <w:t xml:space="preserve">"המפקח" ו"מבטח" </w:t>
      </w:r>
      <w:r>
        <w:rPr>
          <w:rStyle w:val="default"/>
          <w:rFonts w:cs="FrankRuehl"/>
          <w:rtl/>
        </w:rPr>
        <w:t>–</w:t>
      </w:r>
      <w:r>
        <w:rPr>
          <w:rStyle w:val="default"/>
          <w:rFonts w:cs="FrankRuehl" w:hint="cs"/>
          <w:rtl/>
        </w:rPr>
        <w:t xml:space="preserve"> כהגדרתם בסעיף 19 לחוק.</w:t>
      </w:r>
    </w:p>
    <w:p w:rsidR="001E4F60" w:rsidRDefault="001E4F60" w:rsidP="00922CAE">
      <w:pPr>
        <w:pStyle w:val="P00"/>
        <w:spacing w:before="72"/>
        <w:ind w:left="0" w:right="1134"/>
        <w:rPr>
          <w:rStyle w:val="default"/>
          <w:rFonts w:cs="FrankRuehl" w:hint="cs"/>
          <w:rtl/>
        </w:rPr>
      </w:pPr>
      <w:bookmarkStart w:id="1" w:name="Seif2"/>
      <w:bookmarkEnd w:id="1"/>
      <w:r>
        <w:rPr>
          <w:rFonts w:cs="Miriam"/>
          <w:lang w:val="he-IL"/>
        </w:rPr>
        <w:pict>
          <v:rect id="_x0000_s2381" style="position:absolute;left:0;text-align:left;margin-left:464.35pt;margin-top:7.1pt;width:75.05pt;height:30.25pt;z-index:251655680" o:allowincell="f" filled="f" stroked="f" strokecolor="lime" strokeweight=".25pt">
            <v:textbox style="mso-next-textbox:#_x0000_s2381" inset="0,0,0,0">
              <w:txbxContent>
                <w:p w:rsidR="001E4F60" w:rsidRDefault="00323F67" w:rsidP="001E4F60">
                  <w:pPr>
                    <w:spacing w:line="160" w:lineRule="exact"/>
                    <w:rPr>
                      <w:rFonts w:cs="Miriam" w:hint="cs"/>
                      <w:noProof/>
                      <w:sz w:val="18"/>
                      <w:szCs w:val="18"/>
                      <w:rtl/>
                    </w:rPr>
                  </w:pPr>
                  <w:r>
                    <w:rPr>
                      <w:rFonts w:cs="Miriam" w:hint="cs"/>
                      <w:sz w:val="18"/>
                      <w:szCs w:val="18"/>
                      <w:rtl/>
                    </w:rPr>
                    <w:t>חובת הפקדת ערבות בנקאית או ערובה אחרת או ביטוח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2CAE">
        <w:rPr>
          <w:rStyle w:val="default"/>
          <w:rFonts w:cs="FrankRuehl" w:hint="cs"/>
          <w:rtl/>
        </w:rPr>
        <w:t>מבקש רישיון יפקיד בידי הוועדה, ערבות בנקאית או ערובה מתאימה אחרת או אישור על שעשה ביטוח לשם הבטחת פיצויו של מי שנפגע עקב מעשה או מחדל של מבקש הרישיון או של שומרים המועסקים על ידו בשירותי שמירה, הכל להנחת דעתה של הוועדה</w:t>
      </w:r>
      <w:r w:rsidR="000E7C6D">
        <w:rPr>
          <w:rStyle w:val="default"/>
          <w:rFonts w:cs="FrankRuehl" w:hint="cs"/>
          <w:rtl/>
        </w:rPr>
        <w:t>.</w:t>
      </w:r>
    </w:p>
    <w:p w:rsidR="003373DF" w:rsidRDefault="003373DF" w:rsidP="00922CAE">
      <w:pPr>
        <w:pStyle w:val="P00"/>
        <w:spacing w:before="72"/>
        <w:ind w:left="0" w:right="1134"/>
        <w:rPr>
          <w:rStyle w:val="default"/>
          <w:rFonts w:cs="FrankRuehl" w:hint="cs"/>
          <w:rtl/>
        </w:rPr>
      </w:pPr>
      <w:bookmarkStart w:id="2" w:name="Seif3"/>
      <w:bookmarkEnd w:id="2"/>
      <w:r>
        <w:rPr>
          <w:rFonts w:cs="Miriam"/>
          <w:lang w:val="he-IL"/>
        </w:rPr>
        <w:pict>
          <v:rect id="_x0000_s2388" style="position:absolute;left:0;text-align:left;margin-left:464.35pt;margin-top:7.1pt;width:75.05pt;height:16.95pt;z-index:251656704" o:allowincell="f" filled="f" stroked="f" strokecolor="lime" strokeweight=".25pt">
            <v:textbox style="mso-next-textbox:#_x0000_s2388" inset="0,0,0,0">
              <w:txbxContent>
                <w:p w:rsidR="003373DF" w:rsidRDefault="00922CAE" w:rsidP="003373DF">
                  <w:pPr>
                    <w:spacing w:line="160" w:lineRule="exact"/>
                    <w:rPr>
                      <w:rFonts w:cs="Miriam" w:hint="cs"/>
                      <w:noProof/>
                      <w:sz w:val="18"/>
                      <w:szCs w:val="18"/>
                      <w:rtl/>
                    </w:rPr>
                  </w:pPr>
                  <w:r>
                    <w:rPr>
                      <w:rFonts w:cs="Miriam" w:hint="cs"/>
                      <w:sz w:val="18"/>
                      <w:szCs w:val="18"/>
                      <w:rtl/>
                    </w:rPr>
                    <w:t>ערבות בנקאית</w:t>
                  </w:r>
                </w:p>
              </w:txbxContent>
            </v:textbox>
            <w10:anchorlock/>
          </v:rect>
        </w:pict>
      </w:r>
      <w:r w:rsidR="00922CAE">
        <w:rPr>
          <w:rStyle w:val="big-number"/>
          <w:rFonts w:cs="Miriam" w:hint="cs"/>
          <w:rtl/>
        </w:rPr>
        <w:t>3</w:t>
      </w:r>
      <w:r>
        <w:rPr>
          <w:rStyle w:val="big-number"/>
          <w:rFonts w:cs="FrankRuehl"/>
          <w:sz w:val="26"/>
          <w:szCs w:val="26"/>
          <w:rtl/>
        </w:rPr>
        <w:t>.</w:t>
      </w:r>
      <w:r>
        <w:rPr>
          <w:rStyle w:val="big-number"/>
          <w:rFonts w:cs="FrankRuehl"/>
          <w:sz w:val="26"/>
          <w:szCs w:val="26"/>
          <w:rtl/>
        </w:rPr>
        <w:tab/>
      </w:r>
      <w:r w:rsidR="00922CAE">
        <w:rPr>
          <w:rStyle w:val="default"/>
          <w:rFonts w:cs="FrankRuehl" w:hint="cs"/>
          <w:rtl/>
        </w:rPr>
        <w:t>(א)</w:t>
      </w:r>
      <w:r w:rsidR="00922CAE">
        <w:rPr>
          <w:rStyle w:val="default"/>
          <w:rFonts w:cs="FrankRuehl" w:hint="cs"/>
          <w:rtl/>
        </w:rPr>
        <w:tab/>
        <w:t>החליט מבקש הרישיון להפקיד ערבות בנקאית בידי הוועדה, תהיה הערבות הבנקאית בסכום שלא יפחת משישה מיליון שקלים חדשים, לטובת יושב ראש הוועדה</w:t>
      </w:r>
      <w:r>
        <w:rPr>
          <w:rStyle w:val="default"/>
          <w:rFonts w:cs="FrankRuehl" w:hint="cs"/>
          <w:rtl/>
        </w:rPr>
        <w:t>.</w:t>
      </w:r>
    </w:p>
    <w:p w:rsidR="00922CAE" w:rsidRDefault="00922CAE" w:rsidP="00922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ערבות בנקאית תהיה בלתי מותנית, ולא תהיה ניתנת לביטול, שעבוד או עיקול.</w:t>
      </w:r>
    </w:p>
    <w:p w:rsidR="00922CAE" w:rsidRDefault="00922CAE" w:rsidP="00922C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נוסח כתב הערבות הבקאית יהיה לפי נוסח להנחת דעתה של הוועדה ובלבד שיכלול לפחות את הפרטים האמורים בתקנת משנה (א) ו-(ב).</w:t>
      </w:r>
    </w:p>
    <w:p w:rsidR="00922CAE" w:rsidRDefault="00922CAE" w:rsidP="00922C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ראתה הוועדה כי נסיבות העניין מצדיקות זאת, רשאית היא, מטעמים שיירשמו, לדרוש ממבקש הרישיון לשנות את סכום הערבות הבנקאית, ובלבד שיושב ראש הוועדה השתכנע כי הפקדת ערבות כאמור תבטיח את פיצויו של מי שנפגע עקב מעשה או מחדל של מבקש הרישיון או של שומרים המועסקים על ידו בשירותי שמירה.</w:t>
      </w:r>
    </w:p>
    <w:p w:rsidR="00922CAE" w:rsidRDefault="00922CAE" w:rsidP="00922CAE">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הוועדה לא תקבל ערבות בנקאית שסכומה נמוך מהסכום הקבוע בתקנת משנה (א</w:t>
      </w:r>
      <w:r w:rsidR="00A8375D">
        <w:rPr>
          <w:rStyle w:val="default"/>
          <w:rFonts w:cs="FrankRuehl" w:hint="cs"/>
          <w:rtl/>
        </w:rPr>
        <w:t xml:space="preserve">) או </w:t>
      </w:r>
      <w:r>
        <w:rPr>
          <w:rStyle w:val="default"/>
          <w:rFonts w:cs="FrankRuehl" w:hint="cs"/>
          <w:rtl/>
        </w:rPr>
        <w:t>מהסכום ששונה לפי תקנת משנה (ד).</w:t>
      </w:r>
    </w:p>
    <w:p w:rsidR="003373DF" w:rsidRDefault="003373DF" w:rsidP="00922CAE">
      <w:pPr>
        <w:pStyle w:val="P00"/>
        <w:spacing w:before="72"/>
        <w:ind w:left="0" w:right="1134"/>
        <w:rPr>
          <w:rStyle w:val="default"/>
          <w:rFonts w:cs="FrankRuehl" w:hint="cs"/>
          <w:rtl/>
        </w:rPr>
      </w:pPr>
      <w:bookmarkStart w:id="3" w:name="Seif4"/>
      <w:bookmarkEnd w:id="3"/>
      <w:r>
        <w:rPr>
          <w:rFonts w:cs="Miriam"/>
          <w:lang w:val="he-IL"/>
        </w:rPr>
        <w:pict>
          <v:rect id="_x0000_s2389" style="position:absolute;left:0;text-align:left;margin-left:464.35pt;margin-top:7.1pt;width:75.05pt;height:16.95pt;z-index:251657728" o:allowincell="f" filled="f" stroked="f" strokecolor="lime" strokeweight=".25pt">
            <v:textbox style="mso-next-textbox:#_x0000_s2389" inset="0,0,0,0">
              <w:txbxContent>
                <w:p w:rsidR="003373DF" w:rsidRDefault="00922CAE" w:rsidP="003373DF">
                  <w:pPr>
                    <w:spacing w:line="160" w:lineRule="exact"/>
                    <w:rPr>
                      <w:rFonts w:cs="Miriam" w:hint="cs"/>
                      <w:noProof/>
                      <w:sz w:val="18"/>
                      <w:szCs w:val="18"/>
                      <w:rtl/>
                    </w:rPr>
                  </w:pPr>
                  <w:r>
                    <w:rPr>
                      <w:rFonts w:cs="Miriam" w:hint="cs"/>
                      <w:sz w:val="18"/>
                      <w:szCs w:val="18"/>
                      <w:rtl/>
                    </w:rPr>
                    <w:t>ערובה אחרת</w:t>
                  </w:r>
                </w:p>
              </w:txbxContent>
            </v:textbox>
            <w10:anchorlock/>
          </v:rect>
        </w:pict>
      </w:r>
      <w:r w:rsidR="00922CAE">
        <w:rPr>
          <w:rStyle w:val="big-number"/>
          <w:rFonts w:cs="Miriam" w:hint="cs"/>
          <w:rtl/>
        </w:rPr>
        <w:t>4</w:t>
      </w:r>
      <w:r>
        <w:rPr>
          <w:rStyle w:val="big-number"/>
          <w:rFonts w:cs="FrankRuehl"/>
          <w:sz w:val="26"/>
          <w:szCs w:val="26"/>
          <w:rtl/>
        </w:rPr>
        <w:t>.</w:t>
      </w:r>
      <w:r>
        <w:rPr>
          <w:rStyle w:val="big-number"/>
          <w:rFonts w:cs="FrankRuehl"/>
          <w:sz w:val="26"/>
          <w:szCs w:val="26"/>
          <w:rtl/>
        </w:rPr>
        <w:tab/>
      </w:r>
      <w:r w:rsidR="00922CAE">
        <w:rPr>
          <w:rStyle w:val="default"/>
          <w:rFonts w:cs="FrankRuehl" w:hint="cs"/>
          <w:rtl/>
        </w:rPr>
        <w:t>(א)</w:t>
      </w:r>
      <w:r w:rsidR="00922CAE">
        <w:rPr>
          <w:rStyle w:val="default"/>
          <w:rFonts w:cs="FrankRuehl" w:hint="cs"/>
          <w:rtl/>
        </w:rPr>
        <w:tab/>
        <w:t>הוועדה רשאית להורות למבקש רישיון להפקיד ערובה מתאימה אחרת במקום ערבות בנקאית.</w:t>
      </w:r>
    </w:p>
    <w:p w:rsidR="00922CAE" w:rsidRDefault="00922CAE" w:rsidP="00922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הורתה הוועדה כאמור בתקנת משנה (א), רשאית היא להתנות תנאים להפקדת ערובה מתאימה אחרת.</w:t>
      </w:r>
    </w:p>
    <w:p w:rsidR="00922CAE" w:rsidRDefault="00922CAE" w:rsidP="00922C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ערובה מתאימה אחרת כאמור תחול תקנה 3(ב) עד (ה), בשינויים המחויבים.</w:t>
      </w:r>
    </w:p>
    <w:p w:rsidR="003373DF" w:rsidRDefault="003373DF" w:rsidP="00922CAE">
      <w:pPr>
        <w:pStyle w:val="P00"/>
        <w:spacing w:before="72"/>
        <w:ind w:left="0" w:right="1134"/>
        <w:rPr>
          <w:rStyle w:val="default"/>
          <w:rFonts w:cs="FrankRuehl" w:hint="cs"/>
          <w:rtl/>
        </w:rPr>
      </w:pPr>
      <w:bookmarkStart w:id="4" w:name="Seif5"/>
      <w:bookmarkEnd w:id="4"/>
      <w:r>
        <w:rPr>
          <w:rFonts w:cs="Miriam"/>
          <w:lang w:val="he-IL"/>
        </w:rPr>
        <w:pict>
          <v:rect id="_x0000_s2390" style="position:absolute;left:0;text-align:left;margin-left:464.35pt;margin-top:7.1pt;width:75.05pt;height:16.95pt;z-index:251658752" o:allowincell="f" filled="f" stroked="f" strokecolor="lime" strokeweight=".25pt">
            <v:textbox style="mso-next-textbox:#_x0000_s2390" inset="0,0,0,0">
              <w:txbxContent>
                <w:p w:rsidR="003373DF" w:rsidRDefault="00922CAE" w:rsidP="003373DF">
                  <w:pPr>
                    <w:spacing w:line="160" w:lineRule="exact"/>
                    <w:rPr>
                      <w:rFonts w:cs="Miriam" w:hint="cs"/>
                      <w:noProof/>
                      <w:sz w:val="18"/>
                      <w:szCs w:val="18"/>
                      <w:rtl/>
                    </w:rPr>
                  </w:pPr>
                  <w:r>
                    <w:rPr>
                      <w:rFonts w:cs="Miriam" w:hint="cs"/>
                      <w:sz w:val="18"/>
                      <w:szCs w:val="18"/>
                      <w:rtl/>
                    </w:rPr>
                    <w:t>ביטוח</w:t>
                  </w:r>
                </w:p>
              </w:txbxContent>
            </v:textbox>
            <w10:anchorlock/>
          </v:rect>
        </w:pict>
      </w:r>
      <w:r w:rsidR="00922CAE">
        <w:rPr>
          <w:rStyle w:val="big-number"/>
          <w:rFonts w:cs="Miriam" w:hint="cs"/>
          <w:rtl/>
        </w:rPr>
        <w:t>5</w:t>
      </w:r>
      <w:r>
        <w:rPr>
          <w:rStyle w:val="big-number"/>
          <w:rFonts w:cs="FrankRuehl"/>
          <w:sz w:val="26"/>
          <w:szCs w:val="26"/>
          <w:rtl/>
        </w:rPr>
        <w:t>.</w:t>
      </w:r>
      <w:r>
        <w:rPr>
          <w:rStyle w:val="big-number"/>
          <w:rFonts w:cs="FrankRuehl"/>
          <w:sz w:val="26"/>
          <w:szCs w:val="26"/>
          <w:rtl/>
        </w:rPr>
        <w:tab/>
      </w:r>
      <w:r w:rsidR="00922CAE">
        <w:rPr>
          <w:rStyle w:val="default"/>
          <w:rFonts w:cs="FrankRuehl" w:hint="cs"/>
          <w:rtl/>
        </w:rPr>
        <w:t>(א)</w:t>
      </w:r>
      <w:r w:rsidR="00922CAE">
        <w:rPr>
          <w:rStyle w:val="default"/>
          <w:rFonts w:cs="FrankRuehl" w:hint="cs"/>
          <w:rtl/>
        </w:rPr>
        <w:tab/>
        <w:t>בחר מבקש רישיון לעשות ביטוח, יהיה הביטוח למשרד לשירותי שמירה או לארגון שירותי שמירה ולשומרים המועסקים במשרד או בארגון, אצל מבטח כמפורט להלן:</w:t>
      </w:r>
    </w:p>
    <w:p w:rsidR="00922CAE" w:rsidRDefault="00922CAE" w:rsidP="00922C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ביטוח אחריות מקצועית </w:t>
      </w:r>
      <w:r>
        <w:rPr>
          <w:rStyle w:val="default"/>
          <w:rFonts w:cs="FrankRuehl"/>
          <w:rtl/>
        </w:rPr>
        <w:t>–</w:t>
      </w:r>
      <w:r>
        <w:rPr>
          <w:rStyle w:val="default"/>
          <w:rFonts w:cs="FrankRuehl" w:hint="cs"/>
          <w:rtl/>
        </w:rPr>
        <w:t xml:space="preserve"> בסכום ביטוח שלא יפחת משני מיליון שקלים חדשים למקרה ביטוח ולתקופת ביטוח;</w:t>
      </w:r>
    </w:p>
    <w:p w:rsidR="00922CAE" w:rsidRDefault="00922CAE" w:rsidP="00922C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ביטוח כלפי נזקי צד שלישי </w:t>
      </w:r>
      <w:r>
        <w:rPr>
          <w:rStyle w:val="default"/>
          <w:rFonts w:cs="FrankRuehl"/>
          <w:rtl/>
        </w:rPr>
        <w:t>–</w:t>
      </w:r>
      <w:r>
        <w:rPr>
          <w:rStyle w:val="default"/>
          <w:rFonts w:cs="FrankRuehl" w:hint="cs"/>
          <w:rtl/>
        </w:rPr>
        <w:t xml:space="preserve"> בסכום שלא יפחת מארבעה מיליון שקלים חדשים למקרה ביטוח ולתקופת ביטוח.</w:t>
      </w:r>
    </w:p>
    <w:p w:rsidR="00922CAE" w:rsidRDefault="00922CAE" w:rsidP="00922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ראתה הוועדה כי נסיבות העניין מצדיקות זאת, רשאית היא, מטעמים שיירשמו, לדרוש ממבקש הרישיון לשנות את סכום הביטוח ובלבד שיושב ראש הוועדה השתכנע כי סכום הביטוח כאמור יבטיח את פיצויו של מי שנפגע עקב מעשה או מחדל של מבקש הרישיון או של שומרים המועסקים על ידו בשירותי שמירה.</w:t>
      </w:r>
    </w:p>
    <w:p w:rsidR="003373DF" w:rsidRDefault="003373DF" w:rsidP="00922CAE">
      <w:pPr>
        <w:pStyle w:val="P00"/>
        <w:spacing w:before="72"/>
        <w:ind w:left="0" w:right="1134"/>
        <w:rPr>
          <w:rStyle w:val="default"/>
          <w:rFonts w:cs="FrankRuehl" w:hint="cs"/>
          <w:rtl/>
        </w:rPr>
      </w:pPr>
      <w:bookmarkStart w:id="5" w:name="Seif6"/>
      <w:bookmarkEnd w:id="5"/>
      <w:r>
        <w:rPr>
          <w:rFonts w:cs="Miriam"/>
          <w:lang w:val="he-IL"/>
        </w:rPr>
        <w:pict>
          <v:rect id="_x0000_s2391" style="position:absolute;left:0;text-align:left;margin-left:464.35pt;margin-top:7.1pt;width:75.05pt;height:34.15pt;z-index:251659776" o:allowincell="f" filled="f" stroked="f" strokecolor="lime" strokeweight=".25pt">
            <v:textbox style="mso-next-textbox:#_x0000_s2391" inset="0,0,0,0">
              <w:txbxContent>
                <w:p w:rsidR="003373DF" w:rsidRDefault="00922CAE" w:rsidP="00922CAE">
                  <w:pPr>
                    <w:spacing w:line="160" w:lineRule="exact"/>
                    <w:rPr>
                      <w:rFonts w:cs="Miriam" w:hint="cs"/>
                      <w:noProof/>
                      <w:sz w:val="18"/>
                      <w:szCs w:val="18"/>
                      <w:rtl/>
                    </w:rPr>
                  </w:pPr>
                  <w:r>
                    <w:rPr>
                      <w:rFonts w:cs="Miriam" w:hint="cs"/>
                      <w:sz w:val="18"/>
                      <w:szCs w:val="18"/>
                      <w:rtl/>
                    </w:rPr>
                    <w:t>מימוש הערבות הבנקאית, ערובה אחרת או תשלום תגמולי ביטוח</w:t>
                  </w:r>
                </w:p>
              </w:txbxContent>
            </v:textbox>
            <w10:anchorlock/>
          </v:rect>
        </w:pict>
      </w:r>
      <w:r w:rsidR="00922CAE">
        <w:rPr>
          <w:rStyle w:val="big-number"/>
          <w:rFonts w:cs="Miriam" w:hint="cs"/>
          <w:rtl/>
        </w:rPr>
        <w:t>6</w:t>
      </w:r>
      <w:r>
        <w:rPr>
          <w:rStyle w:val="big-number"/>
          <w:rFonts w:cs="FrankRuehl"/>
          <w:sz w:val="26"/>
          <w:szCs w:val="26"/>
          <w:rtl/>
        </w:rPr>
        <w:t>.</w:t>
      </w:r>
      <w:r>
        <w:rPr>
          <w:rStyle w:val="big-number"/>
          <w:rFonts w:cs="FrankRuehl"/>
          <w:sz w:val="26"/>
          <w:szCs w:val="26"/>
          <w:rtl/>
        </w:rPr>
        <w:tab/>
      </w:r>
      <w:r w:rsidR="00922CAE">
        <w:rPr>
          <w:rStyle w:val="default"/>
          <w:rFonts w:cs="FrankRuehl" w:hint="cs"/>
          <w:rtl/>
        </w:rPr>
        <w:t>(א)</w:t>
      </w:r>
      <w:r w:rsidR="00922CAE">
        <w:rPr>
          <w:rStyle w:val="default"/>
          <w:rFonts w:cs="FrankRuehl" w:hint="cs"/>
          <w:rtl/>
        </w:rPr>
        <w:tab/>
        <w:t xml:space="preserve">מימוש ערבות בנקאית או ערובה מתאימה אחרת שאישרה הוועדה, או תשלום תגמולי ביטוח, לזכות מי שנפגע ממעשה או מחדל של משרד לשירותי שמירה של ארגון שמירה או של שומר המועסק אצל אחד מאלה, יהיה לפי קביעת בית המשפט זולת אם קיים המשרד לשירותי </w:t>
      </w:r>
      <w:r w:rsidR="00922CAE">
        <w:rPr>
          <w:rStyle w:val="default"/>
          <w:rFonts w:cs="FrankRuehl" w:hint="cs"/>
          <w:rtl/>
        </w:rPr>
        <w:lastRenderedPageBreak/>
        <w:t>שמירה או ארגון השמירה או השומר המועסק אצל אחד מאלה את חיובו כלפי הנפגע בדרך אחרת.</w:t>
      </w:r>
    </w:p>
    <w:p w:rsidR="00922CAE" w:rsidRDefault="00922CAE" w:rsidP="00922C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 בית המשפט, כאמור בתקנת משנה (א), את מימוש הערבות הבנקאית, הערובה האחרת או תגמולי הביטוח, ישלם יושב ראש הוועדה את התשלום, עם הצגת אחד מאלה:</w:t>
      </w:r>
    </w:p>
    <w:p w:rsidR="00922CAE" w:rsidRDefault="00922CAE" w:rsidP="00922C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פסק דין של בית משפט בתובענה של הנפגע נגד משרד לשירותי שמירה או ארגון שירותי שמירה או שומר המועסק במשרד לשירותי שמירה או בארגון שירותי שמירה;</w:t>
      </w:r>
    </w:p>
    <w:p w:rsidR="00922CAE" w:rsidRDefault="00922CAE" w:rsidP="00922C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הסכם פשרה בין נפגע ובין משרד לשירותי שמירה או ארגון שירותי שמירה או שומר שאחד מאלה מעסיק שקיבל תוקף של פסק דין;</w:t>
      </w:r>
    </w:p>
    <w:p w:rsidR="00922CAE" w:rsidRDefault="00922CAE" w:rsidP="00922CA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פסק בורר שאישר בית המשפט בסכסוך בין נפגע ובין משרד לשירותי שמירה או ארגון שירותי שמירה או שומר שאחד מאלה מעסיק.</w:t>
      </w:r>
    </w:p>
    <w:p w:rsidR="003373DF" w:rsidRDefault="003373DF" w:rsidP="00F64662">
      <w:pPr>
        <w:pStyle w:val="P00"/>
        <w:spacing w:before="72"/>
        <w:ind w:left="0" w:right="1134"/>
        <w:rPr>
          <w:rStyle w:val="default"/>
          <w:rFonts w:cs="FrankRuehl" w:hint="cs"/>
          <w:rtl/>
        </w:rPr>
      </w:pPr>
      <w:bookmarkStart w:id="6" w:name="Seif7"/>
      <w:bookmarkEnd w:id="6"/>
      <w:r>
        <w:rPr>
          <w:rFonts w:cs="Miriam"/>
          <w:lang w:val="he-IL"/>
        </w:rPr>
        <w:pict>
          <v:rect id="_x0000_s2392" style="position:absolute;left:0;text-align:left;margin-left:464.35pt;margin-top:7.1pt;width:75.05pt;height:16.95pt;z-index:251660800" o:allowincell="f" filled="f" stroked="f" strokecolor="lime" strokeweight=".25pt">
            <v:textbox style="mso-next-textbox:#_x0000_s2392" inset="0,0,0,0">
              <w:txbxContent>
                <w:p w:rsidR="003373DF" w:rsidRDefault="003373DF" w:rsidP="003373DF">
                  <w:pPr>
                    <w:spacing w:line="160" w:lineRule="exact"/>
                    <w:rPr>
                      <w:rFonts w:cs="Miriam" w:hint="cs"/>
                      <w:noProof/>
                      <w:sz w:val="18"/>
                      <w:szCs w:val="18"/>
                      <w:rtl/>
                    </w:rPr>
                  </w:pPr>
                  <w:r>
                    <w:rPr>
                      <w:rFonts w:cs="Miriam" w:hint="cs"/>
                      <w:sz w:val="18"/>
                      <w:szCs w:val="18"/>
                      <w:rtl/>
                    </w:rPr>
                    <w:t>תחילה</w:t>
                  </w:r>
                </w:p>
              </w:txbxContent>
            </v:textbox>
            <w10:anchorlock/>
          </v:rect>
        </w:pict>
      </w:r>
      <w:r w:rsidR="00922CAE">
        <w:rPr>
          <w:rStyle w:val="big-number"/>
          <w:rFonts w:cs="Miriam" w:hint="cs"/>
          <w:rtl/>
        </w:rPr>
        <w:t>7</w:t>
      </w:r>
      <w:r>
        <w:rPr>
          <w:rStyle w:val="big-number"/>
          <w:rFonts w:cs="FrankRuehl"/>
          <w:sz w:val="26"/>
          <w:szCs w:val="26"/>
          <w:rtl/>
        </w:rPr>
        <w:t>.</w:t>
      </w:r>
      <w:r>
        <w:rPr>
          <w:rStyle w:val="big-number"/>
          <w:rFonts w:cs="FrankRuehl"/>
          <w:sz w:val="26"/>
          <w:szCs w:val="26"/>
          <w:rtl/>
        </w:rPr>
        <w:tab/>
      </w:r>
      <w:r w:rsidR="00F64662">
        <w:rPr>
          <w:rStyle w:val="default"/>
          <w:rFonts w:cs="FrankRuehl" w:hint="cs"/>
          <w:rtl/>
        </w:rPr>
        <w:t>תחילתן של תקנות אלה ארבעה חודשים מיום פרסומן</w:t>
      </w:r>
      <w:r>
        <w:rPr>
          <w:rStyle w:val="default"/>
          <w:rFonts w:cs="FrankRuehl" w:hint="cs"/>
          <w:rtl/>
        </w:rPr>
        <w:t>.</w:t>
      </w:r>
    </w:p>
    <w:p w:rsidR="00836D15" w:rsidRDefault="00836D15">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0A51DD" w:rsidRDefault="00F64662" w:rsidP="00F6466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ט"ו בכסלו</w:t>
      </w:r>
      <w:r w:rsidR="00FE583C">
        <w:rPr>
          <w:rStyle w:val="default"/>
          <w:rFonts w:cs="FrankRuehl" w:hint="cs"/>
          <w:rtl/>
        </w:rPr>
        <w:t xml:space="preserve"> התשע"א (</w:t>
      </w:r>
      <w:r>
        <w:rPr>
          <w:rStyle w:val="default"/>
          <w:rFonts w:cs="FrankRuehl" w:hint="cs"/>
          <w:rtl/>
        </w:rPr>
        <w:t>22 בנובמבר</w:t>
      </w:r>
      <w:r w:rsidR="006A0293">
        <w:rPr>
          <w:rStyle w:val="default"/>
          <w:rFonts w:cs="FrankRuehl" w:hint="cs"/>
          <w:rtl/>
        </w:rPr>
        <w:t xml:space="preserve"> 20</w:t>
      </w:r>
      <w:r w:rsidR="00736981">
        <w:rPr>
          <w:rStyle w:val="default"/>
          <w:rFonts w:cs="FrankRuehl" w:hint="cs"/>
          <w:rtl/>
        </w:rPr>
        <w:t>10</w:t>
      </w:r>
      <w:r w:rsidR="000A51DD">
        <w:rPr>
          <w:rStyle w:val="default"/>
          <w:rFonts w:cs="FrankRuehl" w:hint="cs"/>
          <w:rtl/>
        </w:rPr>
        <w:t>)</w:t>
      </w:r>
      <w:r w:rsidR="000A51DD">
        <w:rPr>
          <w:rStyle w:val="default"/>
          <w:rFonts w:cs="FrankRuehl" w:hint="cs"/>
          <w:rtl/>
        </w:rPr>
        <w:tab/>
      </w:r>
      <w:r w:rsidR="000E7C6D">
        <w:rPr>
          <w:rStyle w:val="default"/>
          <w:rFonts w:cs="FrankRuehl" w:hint="cs"/>
          <w:rtl/>
        </w:rPr>
        <w:t>יעקב נאמן</w:t>
      </w:r>
    </w:p>
    <w:p w:rsidR="000A51DD" w:rsidRDefault="000A51DD" w:rsidP="000E7C6D">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8918DB">
        <w:rPr>
          <w:rFonts w:cs="FrankRuehl" w:hint="cs"/>
          <w:sz w:val="22"/>
          <w:szCs w:val="22"/>
          <w:rtl/>
        </w:rPr>
        <w:t xml:space="preserve">שר </w:t>
      </w:r>
      <w:r w:rsidR="000E7C6D">
        <w:rPr>
          <w:rFonts w:cs="FrankRuehl" w:hint="cs"/>
          <w:sz w:val="22"/>
          <w:szCs w:val="22"/>
          <w:rtl/>
        </w:rPr>
        <w:t>המשפטים</w:t>
      </w:r>
    </w:p>
    <w:p w:rsidR="003373DF" w:rsidRDefault="003373DF" w:rsidP="006A0293">
      <w:pPr>
        <w:pStyle w:val="P00"/>
        <w:spacing w:before="72"/>
        <w:ind w:left="0" w:right="1134"/>
        <w:rPr>
          <w:rStyle w:val="default"/>
          <w:rFonts w:cs="FrankRuehl" w:hint="cs"/>
          <w:rtl/>
        </w:rPr>
      </w:pPr>
    </w:p>
    <w:p w:rsidR="00DC189F" w:rsidRDefault="00DC189F" w:rsidP="006A0293">
      <w:pPr>
        <w:pStyle w:val="P00"/>
        <w:spacing w:before="72"/>
        <w:ind w:left="0" w:right="1134"/>
        <w:rPr>
          <w:rStyle w:val="default"/>
          <w:rFonts w:cs="FrankRuehl"/>
          <w:rtl/>
        </w:rPr>
      </w:pPr>
    </w:p>
    <w:p w:rsidR="00DC189F" w:rsidRDefault="00DC189F" w:rsidP="006A0293">
      <w:pPr>
        <w:pStyle w:val="P00"/>
        <w:spacing w:before="72"/>
        <w:ind w:left="0" w:right="1134"/>
        <w:rPr>
          <w:rStyle w:val="default"/>
          <w:rFonts w:cs="FrankRuehl"/>
          <w:rtl/>
        </w:rPr>
      </w:pPr>
    </w:p>
    <w:p w:rsidR="00DC189F" w:rsidRDefault="00DC189F" w:rsidP="00DC189F">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373414" w:rsidRPr="00DC189F" w:rsidRDefault="00373414" w:rsidP="00DC189F">
      <w:pPr>
        <w:pStyle w:val="P00"/>
        <w:spacing w:before="72"/>
        <w:ind w:left="0" w:right="1134"/>
        <w:jc w:val="center"/>
        <w:rPr>
          <w:rStyle w:val="default"/>
          <w:rFonts w:cs="David" w:hint="cs"/>
          <w:color w:val="0000FF"/>
          <w:szCs w:val="24"/>
          <w:u w:val="single"/>
          <w:rtl/>
        </w:rPr>
      </w:pPr>
    </w:p>
    <w:sectPr w:rsidR="00373414" w:rsidRPr="00DC189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4EA6" w:rsidRDefault="00F34EA6">
      <w:r>
        <w:separator/>
      </w:r>
    </w:p>
  </w:endnote>
  <w:endnote w:type="continuationSeparator" w:id="0">
    <w:p w:rsidR="00F34EA6" w:rsidRDefault="00F3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189F">
      <w:rPr>
        <w:rFonts w:cs="TopType Jerushalmi"/>
        <w:noProof/>
        <w:color w:val="000000"/>
        <w:sz w:val="14"/>
        <w:szCs w:val="14"/>
      </w:rPr>
      <w:t>Z:\000-law\yael\10-12-19\tav\500_417.doc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189F">
      <w:rPr>
        <w:rFonts w:hAnsi="FrankRuehl" w:cs="FrankRuehl"/>
        <w:noProof/>
        <w:sz w:val="24"/>
        <w:szCs w:val="24"/>
        <w:rtl/>
      </w:rPr>
      <w:t>3</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189F">
      <w:rPr>
        <w:rFonts w:cs="TopType Jerushalmi"/>
        <w:noProof/>
        <w:color w:val="000000"/>
        <w:sz w:val="14"/>
        <w:szCs w:val="14"/>
      </w:rPr>
      <w:t>Z:\000-law\yael\10-12-19\tav\500_417.doc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4EA6" w:rsidRDefault="00F34EA6">
      <w:pPr>
        <w:pStyle w:val="a5"/>
        <w:rPr>
          <w:rFonts w:cs="David"/>
          <w:sz w:val="24"/>
          <w:szCs w:val="24"/>
        </w:rPr>
      </w:pPr>
      <w:r>
        <w:separator/>
      </w:r>
    </w:p>
  </w:footnote>
  <w:footnote w:type="continuationSeparator" w:id="0">
    <w:p w:rsidR="00F34EA6" w:rsidRDefault="00F34EA6">
      <w:r>
        <w:continuationSeparator/>
      </w:r>
    </w:p>
  </w:footnote>
  <w:footnote w:id="1">
    <w:p w:rsidR="001838B7" w:rsidRDefault="000A51DD" w:rsidP="001838B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0E7C6D">
        <w:rPr>
          <w:rFonts w:cs="FrankRuehl" w:hint="cs"/>
          <w:rtl/>
        </w:rPr>
        <w:t>ם</w:t>
      </w:r>
      <w:r>
        <w:rPr>
          <w:rFonts w:cs="FrankRuehl" w:hint="cs"/>
          <w:rtl/>
        </w:rPr>
        <w:t xml:space="preserve"> </w:t>
      </w:r>
      <w:hyperlink r:id="rId1" w:history="1">
        <w:r w:rsidRPr="001838B7">
          <w:rPr>
            <w:rStyle w:val="Hyperlink"/>
            <w:rFonts w:cs="FrankRuehl" w:hint="cs"/>
            <w:rtl/>
          </w:rPr>
          <w:t>ק"ת תש</w:t>
        </w:r>
        <w:r w:rsidR="006A0293" w:rsidRPr="001838B7">
          <w:rPr>
            <w:rStyle w:val="Hyperlink"/>
            <w:rFonts w:cs="FrankRuehl" w:hint="cs"/>
            <w:rtl/>
          </w:rPr>
          <w:t>ע</w:t>
        </w:r>
        <w:r w:rsidR="00FE583C" w:rsidRPr="001838B7">
          <w:rPr>
            <w:rStyle w:val="Hyperlink"/>
            <w:rFonts w:cs="FrankRuehl" w:hint="cs"/>
            <w:rtl/>
          </w:rPr>
          <w:t>"א</w:t>
        </w:r>
        <w:r w:rsidRPr="001838B7">
          <w:rPr>
            <w:rStyle w:val="Hyperlink"/>
            <w:rFonts w:cs="FrankRuehl" w:hint="cs"/>
            <w:rtl/>
          </w:rPr>
          <w:t xml:space="preserve"> מס' </w:t>
        </w:r>
        <w:r w:rsidR="00FE583C" w:rsidRPr="001838B7">
          <w:rPr>
            <w:rStyle w:val="Hyperlink"/>
            <w:rFonts w:cs="FrankRuehl" w:hint="cs"/>
            <w:rtl/>
          </w:rPr>
          <w:t>69</w:t>
        </w:r>
        <w:r w:rsidR="000E7C6D" w:rsidRPr="001838B7">
          <w:rPr>
            <w:rStyle w:val="Hyperlink"/>
            <w:rFonts w:cs="FrankRuehl" w:hint="cs"/>
            <w:rtl/>
          </w:rPr>
          <w:t>5</w:t>
        </w:r>
        <w:r w:rsidR="003373DF" w:rsidRPr="001838B7">
          <w:rPr>
            <w:rStyle w:val="Hyperlink"/>
            <w:rFonts w:cs="FrankRuehl" w:hint="cs"/>
            <w:rtl/>
          </w:rPr>
          <w:t>1</w:t>
        </w:r>
      </w:hyperlink>
      <w:r>
        <w:rPr>
          <w:rFonts w:cs="FrankRuehl" w:hint="cs"/>
          <w:rtl/>
        </w:rPr>
        <w:t xml:space="preserve"> מיום </w:t>
      </w:r>
      <w:r w:rsidR="00836D15">
        <w:rPr>
          <w:rFonts w:cs="FrankRuehl" w:hint="cs"/>
          <w:rtl/>
        </w:rPr>
        <w:t>1</w:t>
      </w:r>
      <w:r w:rsidR="003373DF">
        <w:rPr>
          <w:rFonts w:cs="FrankRuehl" w:hint="cs"/>
          <w:rtl/>
        </w:rPr>
        <w:t>6</w:t>
      </w:r>
      <w:r w:rsidR="00D33732">
        <w:rPr>
          <w:rFonts w:cs="FrankRuehl" w:hint="cs"/>
          <w:rtl/>
        </w:rPr>
        <w:t>.12</w:t>
      </w:r>
      <w:r w:rsidR="006A0293">
        <w:rPr>
          <w:rFonts w:cs="FrankRuehl" w:hint="cs"/>
          <w:rtl/>
        </w:rPr>
        <w:t>.2010</w:t>
      </w:r>
      <w:r>
        <w:rPr>
          <w:rFonts w:cs="FrankRuehl" w:hint="cs"/>
          <w:rtl/>
        </w:rPr>
        <w:t xml:space="preserve"> עמ' </w:t>
      </w:r>
      <w:r w:rsidR="000E7C6D">
        <w:rPr>
          <w:rFonts w:cs="FrankRuehl" w:hint="cs"/>
          <w:rtl/>
        </w:rPr>
        <w:t>26</w:t>
      </w:r>
      <w:r w:rsidR="003373DF">
        <w:rPr>
          <w:rFonts w:cs="FrankRuehl" w:hint="cs"/>
          <w:rtl/>
        </w:rPr>
        <w:t>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3373DF" w:rsidP="00567E4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חוקרים פרטיים ושירותי שמירה (ערבות בנקאית ערובה אחרת או ביטוח</w:t>
    </w:r>
    <w:r w:rsidR="00D33732">
      <w:rPr>
        <w:rFonts w:hAnsi="FrankRuehl" w:cs="FrankRuehl" w:hint="cs"/>
        <w:color w:val="000000"/>
        <w:sz w:val="28"/>
        <w:szCs w:val="28"/>
        <w:rtl/>
      </w:rPr>
      <w:t>),</w:t>
    </w:r>
    <w:r w:rsidR="00736981">
      <w:rPr>
        <w:rFonts w:hAnsi="FrankRuehl" w:cs="FrankRuehl" w:hint="cs"/>
        <w:color w:val="000000"/>
        <w:sz w:val="28"/>
        <w:szCs w:val="28"/>
        <w:rtl/>
      </w:rPr>
      <w:t xml:space="preserve"> </w:t>
    </w:r>
    <w:r>
      <w:rPr>
        <w:rFonts w:hAnsi="FrankRuehl" w:cs="FrankRuehl"/>
        <w:color w:val="000000"/>
        <w:sz w:val="28"/>
        <w:szCs w:val="28"/>
        <w:rtl/>
      </w:rPr>
      <w:br/>
    </w:r>
    <w:r w:rsidR="00FE583C">
      <w:rPr>
        <w:rFonts w:hAnsi="FrankRuehl" w:cs="FrankRuehl" w:hint="cs"/>
        <w:color w:val="000000"/>
        <w:sz w:val="28"/>
        <w:szCs w:val="28"/>
        <w:rtl/>
      </w:rPr>
      <w:t>תשע"א</w:t>
    </w:r>
    <w:r w:rsidR="006A0293">
      <w:rPr>
        <w:rFonts w:hAnsi="FrankRuehl" w:cs="FrankRuehl" w:hint="cs"/>
        <w:color w:val="000000"/>
        <w:sz w:val="28"/>
        <w:szCs w:val="28"/>
        <w:rtl/>
      </w:rPr>
      <w:t>-2010</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6429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4587"/>
    <w:rsid w:val="000109BE"/>
    <w:rsid w:val="000A51DD"/>
    <w:rsid w:val="000E2C54"/>
    <w:rsid w:val="000E7C6D"/>
    <w:rsid w:val="001838B7"/>
    <w:rsid w:val="001A1B4B"/>
    <w:rsid w:val="001E1C1D"/>
    <w:rsid w:val="001E4F60"/>
    <w:rsid w:val="0025163D"/>
    <w:rsid w:val="0028019B"/>
    <w:rsid w:val="002F2484"/>
    <w:rsid w:val="00311130"/>
    <w:rsid w:val="00323F67"/>
    <w:rsid w:val="003373DF"/>
    <w:rsid w:val="00373414"/>
    <w:rsid w:val="00417E2E"/>
    <w:rsid w:val="004233EC"/>
    <w:rsid w:val="00463F9B"/>
    <w:rsid w:val="00493062"/>
    <w:rsid w:val="00514019"/>
    <w:rsid w:val="005151A2"/>
    <w:rsid w:val="00534BF7"/>
    <w:rsid w:val="00540EB2"/>
    <w:rsid w:val="00567E43"/>
    <w:rsid w:val="006A0293"/>
    <w:rsid w:val="006A5E67"/>
    <w:rsid w:val="00736981"/>
    <w:rsid w:val="00812EFC"/>
    <w:rsid w:val="00836D15"/>
    <w:rsid w:val="008612E0"/>
    <w:rsid w:val="0087488D"/>
    <w:rsid w:val="00881D2D"/>
    <w:rsid w:val="008918DB"/>
    <w:rsid w:val="008B24CD"/>
    <w:rsid w:val="008F6666"/>
    <w:rsid w:val="00917DEC"/>
    <w:rsid w:val="00922CAE"/>
    <w:rsid w:val="00933194"/>
    <w:rsid w:val="009953C8"/>
    <w:rsid w:val="009962C3"/>
    <w:rsid w:val="00A8375D"/>
    <w:rsid w:val="00AA581E"/>
    <w:rsid w:val="00B303FC"/>
    <w:rsid w:val="00B842A5"/>
    <w:rsid w:val="00C14403"/>
    <w:rsid w:val="00C857FD"/>
    <w:rsid w:val="00D31AC1"/>
    <w:rsid w:val="00D33732"/>
    <w:rsid w:val="00D37013"/>
    <w:rsid w:val="00D44372"/>
    <w:rsid w:val="00DC189F"/>
    <w:rsid w:val="00E41B95"/>
    <w:rsid w:val="00EA53F9"/>
    <w:rsid w:val="00EC18C7"/>
    <w:rsid w:val="00EC5170"/>
    <w:rsid w:val="00ED060C"/>
    <w:rsid w:val="00F34EA6"/>
    <w:rsid w:val="00F64662"/>
    <w:rsid w:val="00F83562"/>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D1CA718-930C-42CF-8220-2764443E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4260</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7995392</vt:i4>
      </vt:variant>
      <vt:variant>
        <vt:i4>0</vt:i4>
      </vt:variant>
      <vt:variant>
        <vt:i4>0</vt:i4>
      </vt:variant>
      <vt:variant>
        <vt:i4>5</vt:i4>
      </vt:variant>
      <vt:variant>
        <vt:lpwstr>http://www.nevo.co.il/Law_word/law06/TAK-6951.pdf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חוקרים פרטיים ושירותי שמירה (ערבות בנקאית ערובה אחרת או ביטוח), תשע"א-2010</vt:lpwstr>
  </property>
  <property fmtid="{D5CDD505-2E9C-101B-9397-08002B2CF9AE}" pid="4" name="LAWNUMBER">
    <vt:lpwstr>0417</vt:lpwstr>
  </property>
  <property fmtid="{D5CDD505-2E9C-101B-9397-08002B2CF9AE}" pid="5" name="TYPE">
    <vt:lpwstr>01</vt:lpwstr>
  </property>
  <property fmtid="{D5CDD505-2E9C-101B-9397-08002B2CF9AE}" pid="6" name="CHNAME">
    <vt:lpwstr>חוקרים פרטיים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בטחון</vt:lpwstr>
  </property>
  <property fmtid="{D5CDD505-2E9C-101B-9397-08002B2CF9AE}" pid="22" name="NOSE21">
    <vt:lpwstr>חוקרים פרטיים ושמירה</vt:lpwstr>
  </property>
  <property fmtid="{D5CDD505-2E9C-101B-9397-08002B2CF9AE}" pid="23" name="NOSE31">
    <vt:lpwstr>רשיון ומתאמנים</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הסדרת עיסוק</vt:lpwstr>
  </property>
  <property fmtid="{D5CDD505-2E9C-101B-9397-08002B2CF9AE}" pid="27" name="NOSE32">
    <vt:lpwstr>חוקרים פרטיים ושמירה</vt:lpwstr>
  </property>
  <property fmtid="{D5CDD505-2E9C-101B-9397-08002B2CF9AE}" pid="28" name="NOSE42">
    <vt:lpwstr>רשיון ומתאמנים</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חוקרים פרטיים ושירותי שמירה</vt:lpwstr>
  </property>
  <property fmtid="{D5CDD505-2E9C-101B-9397-08002B2CF9AE}" pid="62" name="MEKOR_SAIF1">
    <vt:lpwstr>19Xא1X</vt:lpwstr>
  </property>
  <property fmtid="{D5CDD505-2E9C-101B-9397-08002B2CF9AE}" pid="63" name="LINKK1">
    <vt:lpwstr>http://www.nevo.co.il/Law_word/law06/TAK-6951.pdf;‎רשומות - תקנות כלליות#פורסם ק"ת ‏תשע"א מס' 6951 #מיום 16.12.2010 עמ' 264‏</vt:lpwstr>
  </property>
  <property fmtid="{D5CDD505-2E9C-101B-9397-08002B2CF9AE}" pid="64" name="LINKK2">
    <vt:lpwstr/>
  </property>
</Properties>
</file>