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C83E5" w14:textId="77777777" w:rsidR="00835A66" w:rsidRDefault="00835A66" w:rsidP="000F2508">
      <w:pPr>
        <w:pStyle w:val="big-header"/>
        <w:ind w:left="0" w:right="1134"/>
        <w:rPr>
          <w:rFonts w:cs="FrankRuehl" w:hint="cs"/>
          <w:sz w:val="32"/>
          <w:rtl/>
        </w:rPr>
      </w:pPr>
      <w:r>
        <w:rPr>
          <w:rFonts w:cs="FrankRuehl"/>
          <w:sz w:val="32"/>
          <w:rtl/>
        </w:rPr>
        <w:t xml:space="preserve">תקנות חוקרים פרטיים ושירותי שמירה (ערעור לבית המשפט המחוזי), </w:t>
      </w:r>
      <w:r w:rsidR="000F2508">
        <w:rPr>
          <w:rFonts w:cs="FrankRuehl" w:hint="cs"/>
          <w:sz w:val="32"/>
          <w:rtl/>
        </w:rPr>
        <w:br/>
      </w:r>
      <w:r>
        <w:rPr>
          <w:rFonts w:cs="FrankRuehl"/>
          <w:sz w:val="32"/>
          <w:rtl/>
        </w:rPr>
        <w:t>תשל"ב</w:t>
      </w:r>
      <w:r w:rsidR="000F2508">
        <w:rPr>
          <w:rFonts w:cs="FrankRuehl" w:hint="cs"/>
          <w:sz w:val="32"/>
          <w:rtl/>
        </w:rPr>
        <w:t>-</w:t>
      </w:r>
      <w:r>
        <w:rPr>
          <w:rFonts w:cs="FrankRuehl"/>
          <w:sz w:val="32"/>
          <w:rtl/>
        </w:rPr>
        <w:t>1972</w:t>
      </w:r>
    </w:p>
    <w:p w14:paraId="149CAFC0" w14:textId="77777777" w:rsidR="00A85FF3" w:rsidRDefault="00A85FF3" w:rsidP="00A85FF3">
      <w:pPr>
        <w:spacing w:line="320" w:lineRule="auto"/>
        <w:jc w:val="left"/>
        <w:rPr>
          <w:rFonts w:cs="FrankRuehl" w:hint="cs"/>
          <w:szCs w:val="26"/>
          <w:rtl/>
        </w:rPr>
      </w:pPr>
    </w:p>
    <w:p w14:paraId="5A0F1E22" w14:textId="77777777" w:rsidR="00DF2669" w:rsidRPr="00A85FF3" w:rsidRDefault="00DF2669" w:rsidP="00A85FF3">
      <w:pPr>
        <w:spacing w:line="320" w:lineRule="auto"/>
        <w:jc w:val="left"/>
        <w:rPr>
          <w:rFonts w:cs="FrankRuehl" w:hint="cs"/>
          <w:szCs w:val="26"/>
          <w:rtl/>
        </w:rPr>
      </w:pPr>
    </w:p>
    <w:p w14:paraId="1103DFD6" w14:textId="77777777" w:rsidR="00A85FF3" w:rsidRDefault="00A85FF3" w:rsidP="00A85FF3">
      <w:pPr>
        <w:spacing w:line="320" w:lineRule="auto"/>
        <w:jc w:val="left"/>
        <w:rPr>
          <w:rFonts w:cs="Miriam"/>
          <w:szCs w:val="22"/>
          <w:rtl/>
        </w:rPr>
      </w:pPr>
      <w:r w:rsidRPr="00A85FF3">
        <w:rPr>
          <w:rFonts w:cs="Miriam"/>
          <w:szCs w:val="22"/>
          <w:rtl/>
        </w:rPr>
        <w:t>בטחון</w:t>
      </w:r>
      <w:r w:rsidRPr="00A85FF3">
        <w:rPr>
          <w:rFonts w:cs="FrankRuehl"/>
          <w:szCs w:val="26"/>
          <w:rtl/>
        </w:rPr>
        <w:t xml:space="preserve"> – חוקרים פרטיים ושמירה</w:t>
      </w:r>
    </w:p>
    <w:p w14:paraId="5CAED448" w14:textId="77777777" w:rsidR="00A85FF3" w:rsidRDefault="00A85FF3" w:rsidP="00A85FF3">
      <w:pPr>
        <w:spacing w:line="320" w:lineRule="auto"/>
        <w:jc w:val="left"/>
        <w:rPr>
          <w:rFonts w:cs="Miriam"/>
          <w:szCs w:val="22"/>
          <w:rtl/>
        </w:rPr>
      </w:pPr>
      <w:r w:rsidRPr="00A85FF3">
        <w:rPr>
          <w:rFonts w:cs="Miriam"/>
          <w:szCs w:val="22"/>
          <w:rtl/>
        </w:rPr>
        <w:t>משפט פרטי וכלכלה</w:t>
      </w:r>
      <w:r w:rsidRPr="00A85FF3">
        <w:rPr>
          <w:rFonts w:cs="FrankRuehl"/>
          <w:szCs w:val="26"/>
          <w:rtl/>
        </w:rPr>
        <w:t xml:space="preserve"> – הסדרת עיסוק – חוקרים פרטיים ושמירה</w:t>
      </w:r>
    </w:p>
    <w:p w14:paraId="3A12A932" w14:textId="77777777" w:rsidR="00A85FF3" w:rsidRDefault="00A85FF3" w:rsidP="00A85FF3">
      <w:pPr>
        <w:spacing w:line="320" w:lineRule="auto"/>
        <w:jc w:val="left"/>
        <w:rPr>
          <w:rFonts w:cs="Miriam"/>
          <w:szCs w:val="22"/>
          <w:rtl/>
        </w:rPr>
      </w:pPr>
      <w:r w:rsidRPr="00A85FF3">
        <w:rPr>
          <w:rFonts w:cs="Miriam"/>
          <w:szCs w:val="22"/>
          <w:rtl/>
        </w:rPr>
        <w:t>רשויות ומשפט מנהלי</w:t>
      </w:r>
      <w:r w:rsidRPr="00A85FF3">
        <w:rPr>
          <w:rFonts w:cs="FrankRuehl"/>
          <w:szCs w:val="26"/>
          <w:rtl/>
        </w:rPr>
        <w:t xml:space="preserve"> – הסדרת עיסוק – חוקרים פרטיים ושמירה</w:t>
      </w:r>
    </w:p>
    <w:p w14:paraId="78F1B13C" w14:textId="77777777" w:rsidR="00A85FF3" w:rsidRPr="00A85FF3" w:rsidRDefault="00A85FF3" w:rsidP="00A85FF3">
      <w:pPr>
        <w:spacing w:line="320" w:lineRule="auto"/>
        <w:jc w:val="left"/>
        <w:rPr>
          <w:rFonts w:cs="Miriam" w:hint="cs"/>
          <w:szCs w:val="22"/>
          <w:rtl/>
        </w:rPr>
      </w:pPr>
      <w:r w:rsidRPr="00A85FF3">
        <w:rPr>
          <w:rFonts w:cs="Miriam"/>
          <w:szCs w:val="22"/>
          <w:rtl/>
        </w:rPr>
        <w:t>בתי משפט וסדרי דין</w:t>
      </w:r>
      <w:r w:rsidRPr="00A85FF3">
        <w:rPr>
          <w:rFonts w:cs="FrankRuehl"/>
          <w:szCs w:val="26"/>
          <w:rtl/>
        </w:rPr>
        <w:t xml:space="preserve"> – סדר דין אזרחי – ערעור על ועדות</w:t>
      </w:r>
    </w:p>
    <w:p w14:paraId="6B295556" w14:textId="77777777" w:rsidR="00835A66" w:rsidRDefault="00835A6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03796" w:rsidRPr="00503796" w14:paraId="70B79CAA" w14:textId="77777777" w:rsidTr="00503796">
        <w:tblPrEx>
          <w:tblCellMar>
            <w:top w:w="0" w:type="dxa"/>
            <w:bottom w:w="0" w:type="dxa"/>
          </w:tblCellMar>
        </w:tblPrEx>
        <w:tc>
          <w:tcPr>
            <w:tcW w:w="1247" w:type="dxa"/>
          </w:tcPr>
          <w:p w14:paraId="2BBBBEE7" w14:textId="77777777" w:rsidR="00503796" w:rsidRPr="00503796" w:rsidRDefault="00503796" w:rsidP="00503796">
            <w:pPr>
              <w:spacing w:line="240" w:lineRule="auto"/>
              <w:jc w:val="left"/>
              <w:rPr>
                <w:rFonts w:cs="Frankruhel"/>
                <w:sz w:val="24"/>
                <w:rtl/>
              </w:rPr>
            </w:pPr>
            <w:r>
              <w:rPr>
                <w:sz w:val="24"/>
                <w:rtl/>
              </w:rPr>
              <w:t xml:space="preserve">סעיף 1 </w:t>
            </w:r>
          </w:p>
        </w:tc>
        <w:tc>
          <w:tcPr>
            <w:tcW w:w="5669" w:type="dxa"/>
          </w:tcPr>
          <w:p w14:paraId="5C9764BB" w14:textId="77777777" w:rsidR="00503796" w:rsidRPr="00503796" w:rsidRDefault="00503796" w:rsidP="00503796">
            <w:pPr>
              <w:spacing w:line="240" w:lineRule="auto"/>
              <w:jc w:val="left"/>
              <w:rPr>
                <w:rFonts w:cs="Frankruhel"/>
                <w:sz w:val="24"/>
                <w:rtl/>
              </w:rPr>
            </w:pPr>
            <w:r>
              <w:rPr>
                <w:sz w:val="24"/>
                <w:rtl/>
              </w:rPr>
              <w:t>הגדרות</w:t>
            </w:r>
          </w:p>
        </w:tc>
        <w:tc>
          <w:tcPr>
            <w:tcW w:w="567" w:type="dxa"/>
          </w:tcPr>
          <w:p w14:paraId="37003858" w14:textId="77777777" w:rsidR="00503796" w:rsidRPr="00503796" w:rsidRDefault="00503796" w:rsidP="00503796">
            <w:pPr>
              <w:spacing w:line="240" w:lineRule="auto"/>
              <w:jc w:val="left"/>
              <w:rPr>
                <w:rStyle w:val="Hyperlink"/>
                <w:rtl/>
              </w:rPr>
            </w:pPr>
            <w:hyperlink w:anchor="Seif1" w:tooltip="הגדרות" w:history="1">
              <w:r w:rsidRPr="00503796">
                <w:rPr>
                  <w:rStyle w:val="Hyperlink"/>
                </w:rPr>
                <w:t>Go</w:t>
              </w:r>
            </w:hyperlink>
          </w:p>
        </w:tc>
        <w:tc>
          <w:tcPr>
            <w:tcW w:w="850" w:type="dxa"/>
          </w:tcPr>
          <w:p w14:paraId="1E7E5CB7" w14:textId="77777777" w:rsidR="00503796" w:rsidRPr="00503796" w:rsidRDefault="00503796" w:rsidP="005037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03796" w:rsidRPr="00503796" w14:paraId="6BF70B28" w14:textId="77777777" w:rsidTr="00503796">
        <w:tblPrEx>
          <w:tblCellMar>
            <w:top w:w="0" w:type="dxa"/>
            <w:bottom w:w="0" w:type="dxa"/>
          </w:tblCellMar>
        </w:tblPrEx>
        <w:tc>
          <w:tcPr>
            <w:tcW w:w="1247" w:type="dxa"/>
          </w:tcPr>
          <w:p w14:paraId="4F020AD6" w14:textId="77777777" w:rsidR="00503796" w:rsidRPr="00503796" w:rsidRDefault="00503796" w:rsidP="00503796">
            <w:pPr>
              <w:spacing w:line="240" w:lineRule="auto"/>
              <w:jc w:val="left"/>
              <w:rPr>
                <w:rFonts w:cs="Frankruhel"/>
                <w:sz w:val="24"/>
                <w:rtl/>
              </w:rPr>
            </w:pPr>
            <w:r>
              <w:rPr>
                <w:sz w:val="24"/>
                <w:rtl/>
              </w:rPr>
              <w:t xml:space="preserve">סעיף 2 </w:t>
            </w:r>
          </w:p>
        </w:tc>
        <w:tc>
          <w:tcPr>
            <w:tcW w:w="5669" w:type="dxa"/>
          </w:tcPr>
          <w:p w14:paraId="1C668EEF" w14:textId="77777777" w:rsidR="00503796" w:rsidRPr="00503796" w:rsidRDefault="00503796" w:rsidP="00503796">
            <w:pPr>
              <w:spacing w:line="240" w:lineRule="auto"/>
              <w:jc w:val="left"/>
              <w:rPr>
                <w:rFonts w:cs="Frankruhel"/>
                <w:sz w:val="24"/>
                <w:rtl/>
              </w:rPr>
            </w:pPr>
            <w:r>
              <w:rPr>
                <w:sz w:val="24"/>
                <w:rtl/>
              </w:rPr>
              <w:t>הגשת ערעור</w:t>
            </w:r>
          </w:p>
        </w:tc>
        <w:tc>
          <w:tcPr>
            <w:tcW w:w="567" w:type="dxa"/>
          </w:tcPr>
          <w:p w14:paraId="25861C7A" w14:textId="77777777" w:rsidR="00503796" w:rsidRPr="00503796" w:rsidRDefault="00503796" w:rsidP="00503796">
            <w:pPr>
              <w:spacing w:line="240" w:lineRule="auto"/>
              <w:jc w:val="left"/>
              <w:rPr>
                <w:rStyle w:val="Hyperlink"/>
                <w:rtl/>
              </w:rPr>
            </w:pPr>
            <w:hyperlink w:anchor="Seif2" w:tooltip="הגשת ערעור" w:history="1">
              <w:r w:rsidRPr="00503796">
                <w:rPr>
                  <w:rStyle w:val="Hyperlink"/>
                </w:rPr>
                <w:t>Go</w:t>
              </w:r>
            </w:hyperlink>
          </w:p>
        </w:tc>
        <w:tc>
          <w:tcPr>
            <w:tcW w:w="850" w:type="dxa"/>
          </w:tcPr>
          <w:p w14:paraId="24FF29E5" w14:textId="77777777" w:rsidR="00503796" w:rsidRPr="00503796" w:rsidRDefault="00503796" w:rsidP="005037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03796" w:rsidRPr="00503796" w14:paraId="3DE76996" w14:textId="77777777" w:rsidTr="00503796">
        <w:tblPrEx>
          <w:tblCellMar>
            <w:top w:w="0" w:type="dxa"/>
            <w:bottom w:w="0" w:type="dxa"/>
          </w:tblCellMar>
        </w:tblPrEx>
        <w:tc>
          <w:tcPr>
            <w:tcW w:w="1247" w:type="dxa"/>
          </w:tcPr>
          <w:p w14:paraId="7F73FCFB" w14:textId="77777777" w:rsidR="00503796" w:rsidRPr="00503796" w:rsidRDefault="00503796" w:rsidP="00503796">
            <w:pPr>
              <w:spacing w:line="240" w:lineRule="auto"/>
              <w:jc w:val="left"/>
              <w:rPr>
                <w:rFonts w:cs="Frankruhel"/>
                <w:sz w:val="24"/>
                <w:rtl/>
              </w:rPr>
            </w:pPr>
            <w:r>
              <w:rPr>
                <w:sz w:val="24"/>
                <w:rtl/>
              </w:rPr>
              <w:t xml:space="preserve">סעיף 5 </w:t>
            </w:r>
          </w:p>
        </w:tc>
        <w:tc>
          <w:tcPr>
            <w:tcW w:w="5669" w:type="dxa"/>
          </w:tcPr>
          <w:p w14:paraId="1FBD2857" w14:textId="77777777" w:rsidR="00503796" w:rsidRPr="00503796" w:rsidRDefault="00503796" w:rsidP="00503796">
            <w:pPr>
              <w:spacing w:line="240" w:lineRule="auto"/>
              <w:jc w:val="left"/>
              <w:rPr>
                <w:rFonts w:cs="Frankruhel"/>
                <w:sz w:val="24"/>
                <w:rtl/>
              </w:rPr>
            </w:pPr>
            <w:r>
              <w:rPr>
                <w:sz w:val="24"/>
                <w:rtl/>
              </w:rPr>
              <w:t>העברת חומר</w:t>
            </w:r>
          </w:p>
        </w:tc>
        <w:tc>
          <w:tcPr>
            <w:tcW w:w="567" w:type="dxa"/>
          </w:tcPr>
          <w:p w14:paraId="36C14E86" w14:textId="77777777" w:rsidR="00503796" w:rsidRPr="00503796" w:rsidRDefault="00503796" w:rsidP="00503796">
            <w:pPr>
              <w:spacing w:line="240" w:lineRule="auto"/>
              <w:jc w:val="left"/>
              <w:rPr>
                <w:rStyle w:val="Hyperlink"/>
                <w:rtl/>
              </w:rPr>
            </w:pPr>
            <w:hyperlink w:anchor="Seif3" w:tooltip="העברת חומר" w:history="1">
              <w:r w:rsidRPr="00503796">
                <w:rPr>
                  <w:rStyle w:val="Hyperlink"/>
                </w:rPr>
                <w:t>Go</w:t>
              </w:r>
            </w:hyperlink>
          </w:p>
        </w:tc>
        <w:tc>
          <w:tcPr>
            <w:tcW w:w="850" w:type="dxa"/>
          </w:tcPr>
          <w:p w14:paraId="30EE3802" w14:textId="77777777" w:rsidR="00503796" w:rsidRPr="00503796" w:rsidRDefault="00503796" w:rsidP="005037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03796" w:rsidRPr="00503796" w14:paraId="439CB933" w14:textId="77777777" w:rsidTr="00503796">
        <w:tblPrEx>
          <w:tblCellMar>
            <w:top w:w="0" w:type="dxa"/>
            <w:bottom w:w="0" w:type="dxa"/>
          </w:tblCellMar>
        </w:tblPrEx>
        <w:tc>
          <w:tcPr>
            <w:tcW w:w="1247" w:type="dxa"/>
          </w:tcPr>
          <w:p w14:paraId="71CA768E" w14:textId="77777777" w:rsidR="00503796" w:rsidRPr="00503796" w:rsidRDefault="00503796" w:rsidP="00503796">
            <w:pPr>
              <w:spacing w:line="240" w:lineRule="auto"/>
              <w:jc w:val="left"/>
              <w:rPr>
                <w:rFonts w:cs="Frankruhel"/>
                <w:sz w:val="24"/>
                <w:rtl/>
              </w:rPr>
            </w:pPr>
            <w:r>
              <w:rPr>
                <w:sz w:val="24"/>
                <w:rtl/>
              </w:rPr>
              <w:t xml:space="preserve">סעיף 6 </w:t>
            </w:r>
          </w:p>
        </w:tc>
        <w:tc>
          <w:tcPr>
            <w:tcW w:w="5669" w:type="dxa"/>
          </w:tcPr>
          <w:p w14:paraId="7F332855" w14:textId="77777777" w:rsidR="00503796" w:rsidRPr="00503796" w:rsidRDefault="00503796" w:rsidP="00503796">
            <w:pPr>
              <w:spacing w:line="240" w:lineRule="auto"/>
              <w:jc w:val="left"/>
              <w:rPr>
                <w:rFonts w:cs="Frankruhel"/>
                <w:sz w:val="24"/>
                <w:rtl/>
              </w:rPr>
            </w:pPr>
            <w:r>
              <w:rPr>
                <w:sz w:val="24"/>
                <w:rtl/>
              </w:rPr>
              <w:t>המשיב בערעור</w:t>
            </w:r>
          </w:p>
        </w:tc>
        <w:tc>
          <w:tcPr>
            <w:tcW w:w="567" w:type="dxa"/>
          </w:tcPr>
          <w:p w14:paraId="689F43BB" w14:textId="77777777" w:rsidR="00503796" w:rsidRPr="00503796" w:rsidRDefault="00503796" w:rsidP="00503796">
            <w:pPr>
              <w:spacing w:line="240" w:lineRule="auto"/>
              <w:jc w:val="left"/>
              <w:rPr>
                <w:rStyle w:val="Hyperlink"/>
                <w:rtl/>
              </w:rPr>
            </w:pPr>
            <w:hyperlink w:anchor="Seif4" w:tooltip="המשיב בערעור" w:history="1">
              <w:r w:rsidRPr="00503796">
                <w:rPr>
                  <w:rStyle w:val="Hyperlink"/>
                </w:rPr>
                <w:t>Go</w:t>
              </w:r>
            </w:hyperlink>
          </w:p>
        </w:tc>
        <w:tc>
          <w:tcPr>
            <w:tcW w:w="850" w:type="dxa"/>
          </w:tcPr>
          <w:p w14:paraId="40F64AB4" w14:textId="77777777" w:rsidR="00503796" w:rsidRPr="00503796" w:rsidRDefault="00503796" w:rsidP="005037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03796" w:rsidRPr="00503796" w14:paraId="0D59BE74" w14:textId="77777777" w:rsidTr="00503796">
        <w:tblPrEx>
          <w:tblCellMar>
            <w:top w:w="0" w:type="dxa"/>
            <w:bottom w:w="0" w:type="dxa"/>
          </w:tblCellMar>
        </w:tblPrEx>
        <w:tc>
          <w:tcPr>
            <w:tcW w:w="1247" w:type="dxa"/>
          </w:tcPr>
          <w:p w14:paraId="6E79C340" w14:textId="77777777" w:rsidR="00503796" w:rsidRPr="00503796" w:rsidRDefault="00503796" w:rsidP="00503796">
            <w:pPr>
              <w:spacing w:line="240" w:lineRule="auto"/>
              <w:jc w:val="left"/>
              <w:rPr>
                <w:rFonts w:cs="Frankruhel"/>
                <w:sz w:val="24"/>
                <w:rtl/>
              </w:rPr>
            </w:pPr>
            <w:r>
              <w:rPr>
                <w:sz w:val="24"/>
                <w:rtl/>
              </w:rPr>
              <w:t xml:space="preserve">סעיף 7 </w:t>
            </w:r>
          </w:p>
        </w:tc>
        <w:tc>
          <w:tcPr>
            <w:tcW w:w="5669" w:type="dxa"/>
          </w:tcPr>
          <w:p w14:paraId="50445367" w14:textId="77777777" w:rsidR="00503796" w:rsidRPr="00503796" w:rsidRDefault="00503796" w:rsidP="00503796">
            <w:pPr>
              <w:spacing w:line="240" w:lineRule="auto"/>
              <w:jc w:val="left"/>
              <w:rPr>
                <w:rFonts w:cs="Frankruhel"/>
                <w:sz w:val="24"/>
                <w:rtl/>
              </w:rPr>
            </w:pPr>
            <w:r>
              <w:rPr>
                <w:sz w:val="24"/>
                <w:rtl/>
              </w:rPr>
              <w:t>השם</w:t>
            </w:r>
          </w:p>
        </w:tc>
        <w:tc>
          <w:tcPr>
            <w:tcW w:w="567" w:type="dxa"/>
          </w:tcPr>
          <w:p w14:paraId="684078A6" w14:textId="77777777" w:rsidR="00503796" w:rsidRPr="00503796" w:rsidRDefault="00503796" w:rsidP="00503796">
            <w:pPr>
              <w:spacing w:line="240" w:lineRule="auto"/>
              <w:jc w:val="left"/>
              <w:rPr>
                <w:rStyle w:val="Hyperlink"/>
                <w:rtl/>
              </w:rPr>
            </w:pPr>
            <w:hyperlink w:anchor="Seif5" w:tooltip="השם" w:history="1">
              <w:r w:rsidRPr="00503796">
                <w:rPr>
                  <w:rStyle w:val="Hyperlink"/>
                </w:rPr>
                <w:t>Go</w:t>
              </w:r>
            </w:hyperlink>
          </w:p>
        </w:tc>
        <w:tc>
          <w:tcPr>
            <w:tcW w:w="850" w:type="dxa"/>
          </w:tcPr>
          <w:p w14:paraId="0C61572B" w14:textId="77777777" w:rsidR="00503796" w:rsidRPr="00503796" w:rsidRDefault="00503796" w:rsidP="005037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03796" w:rsidRPr="00503796" w14:paraId="53B96848" w14:textId="77777777" w:rsidTr="00503796">
        <w:tblPrEx>
          <w:tblCellMar>
            <w:top w:w="0" w:type="dxa"/>
            <w:bottom w:w="0" w:type="dxa"/>
          </w:tblCellMar>
        </w:tblPrEx>
        <w:tc>
          <w:tcPr>
            <w:tcW w:w="1247" w:type="dxa"/>
          </w:tcPr>
          <w:p w14:paraId="46EC1399" w14:textId="77777777" w:rsidR="00503796" w:rsidRPr="00503796" w:rsidRDefault="00503796" w:rsidP="00503796">
            <w:pPr>
              <w:spacing w:line="240" w:lineRule="auto"/>
              <w:jc w:val="left"/>
              <w:rPr>
                <w:rFonts w:cs="Frankruhel"/>
                <w:sz w:val="24"/>
                <w:rtl/>
              </w:rPr>
            </w:pPr>
          </w:p>
        </w:tc>
        <w:tc>
          <w:tcPr>
            <w:tcW w:w="5669" w:type="dxa"/>
          </w:tcPr>
          <w:p w14:paraId="69B8BBE8" w14:textId="77777777" w:rsidR="00503796" w:rsidRPr="00503796" w:rsidRDefault="00503796" w:rsidP="00503796">
            <w:pPr>
              <w:spacing w:line="240" w:lineRule="auto"/>
              <w:jc w:val="left"/>
              <w:rPr>
                <w:rFonts w:cs="Frankruhel"/>
                <w:sz w:val="24"/>
                <w:rtl/>
              </w:rPr>
            </w:pPr>
            <w:r>
              <w:rPr>
                <w:sz w:val="24"/>
                <w:rtl/>
              </w:rPr>
              <w:t>תוספת</w:t>
            </w:r>
          </w:p>
        </w:tc>
        <w:tc>
          <w:tcPr>
            <w:tcW w:w="567" w:type="dxa"/>
          </w:tcPr>
          <w:p w14:paraId="6F0D9FA0" w14:textId="77777777" w:rsidR="00503796" w:rsidRPr="00503796" w:rsidRDefault="00503796" w:rsidP="00503796">
            <w:pPr>
              <w:spacing w:line="240" w:lineRule="auto"/>
              <w:jc w:val="left"/>
              <w:rPr>
                <w:rStyle w:val="Hyperlink"/>
                <w:rtl/>
              </w:rPr>
            </w:pPr>
            <w:hyperlink w:anchor="med0" w:tooltip="תוספת" w:history="1">
              <w:r w:rsidRPr="00503796">
                <w:rPr>
                  <w:rStyle w:val="Hyperlink"/>
                </w:rPr>
                <w:t>Go</w:t>
              </w:r>
            </w:hyperlink>
          </w:p>
        </w:tc>
        <w:tc>
          <w:tcPr>
            <w:tcW w:w="850" w:type="dxa"/>
          </w:tcPr>
          <w:p w14:paraId="78B1AFFD" w14:textId="77777777" w:rsidR="00503796" w:rsidRPr="00503796" w:rsidRDefault="00503796" w:rsidP="0050379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0AE2773D" w14:textId="77777777" w:rsidR="00835A66" w:rsidRDefault="00835A66">
      <w:pPr>
        <w:pStyle w:val="big-header"/>
        <w:ind w:left="0" w:right="1134"/>
        <w:rPr>
          <w:rFonts w:cs="FrankRuehl"/>
          <w:sz w:val="32"/>
          <w:rtl/>
        </w:rPr>
      </w:pPr>
    </w:p>
    <w:p w14:paraId="2D0513E9" w14:textId="77777777" w:rsidR="00835A66" w:rsidRPr="001A3682" w:rsidRDefault="00835A66" w:rsidP="001A3682">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 xml:space="preserve">נות חוקרים פרטיים ושירותי שמירה (ערעור לבית המשפט המחוזי), </w:t>
      </w:r>
      <w:r w:rsidR="000F2508">
        <w:rPr>
          <w:rFonts w:cs="FrankRuehl"/>
          <w:sz w:val="32"/>
          <w:rtl/>
        </w:rPr>
        <w:br/>
      </w:r>
      <w:r>
        <w:rPr>
          <w:rFonts w:cs="FrankRuehl" w:hint="cs"/>
          <w:sz w:val="32"/>
          <w:rtl/>
        </w:rPr>
        <w:t>תשל"ב</w:t>
      </w:r>
      <w:r w:rsidR="000F2508">
        <w:rPr>
          <w:rFonts w:cs="FrankRuehl" w:hint="cs"/>
          <w:sz w:val="32"/>
          <w:rtl/>
        </w:rPr>
        <w:t>-</w:t>
      </w:r>
      <w:r>
        <w:rPr>
          <w:rFonts w:cs="FrankRuehl"/>
          <w:sz w:val="32"/>
          <w:rtl/>
        </w:rPr>
        <w:t>1972</w:t>
      </w:r>
      <w:r w:rsidR="000F2508">
        <w:rPr>
          <w:rStyle w:val="a6"/>
          <w:rFonts w:cs="FrankRuehl"/>
          <w:sz w:val="32"/>
          <w:rtl/>
        </w:rPr>
        <w:footnoteReference w:customMarkFollows="1" w:id="1"/>
        <w:t>*</w:t>
      </w:r>
    </w:p>
    <w:p w14:paraId="36D9A6B0" w14:textId="77777777" w:rsidR="00835A66" w:rsidRDefault="00835A66" w:rsidP="000F2508">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29 לחוק חוקרים פרטיים ושירותי שמירה, תשל"ב</w:t>
      </w:r>
      <w:r w:rsidR="000F2508">
        <w:rPr>
          <w:rStyle w:val="default"/>
          <w:rFonts w:cs="FrankRuehl" w:hint="cs"/>
          <w:rtl/>
        </w:rPr>
        <w:t>-</w:t>
      </w:r>
      <w:r>
        <w:rPr>
          <w:rStyle w:val="default"/>
          <w:rFonts w:cs="FrankRuehl"/>
          <w:rtl/>
        </w:rPr>
        <w:t xml:space="preserve">1972, </w:t>
      </w:r>
      <w:r>
        <w:rPr>
          <w:rStyle w:val="default"/>
          <w:rFonts w:cs="FrankRuehl" w:hint="cs"/>
          <w:rtl/>
        </w:rPr>
        <w:t>ושאר הסמכויות הנתונות לי על פי דין, אני מת</w:t>
      </w:r>
      <w:r>
        <w:rPr>
          <w:rStyle w:val="default"/>
          <w:rFonts w:cs="FrankRuehl"/>
          <w:rtl/>
        </w:rPr>
        <w:t>ק</w:t>
      </w:r>
      <w:r>
        <w:rPr>
          <w:rStyle w:val="default"/>
          <w:rFonts w:cs="FrankRuehl" w:hint="cs"/>
          <w:rtl/>
        </w:rPr>
        <w:t>ין תקנות אלה:</w:t>
      </w:r>
    </w:p>
    <w:p w14:paraId="56DC8DFF" w14:textId="77777777" w:rsidR="00835A66" w:rsidRDefault="00835A66">
      <w:pPr>
        <w:pStyle w:val="P00"/>
        <w:spacing w:before="72"/>
        <w:ind w:left="0" w:right="1134"/>
        <w:rPr>
          <w:rStyle w:val="default"/>
          <w:rFonts w:cs="FrankRuehl" w:hint="cs"/>
          <w:rtl/>
        </w:rPr>
      </w:pPr>
      <w:bookmarkStart w:id="0" w:name="Seif1"/>
      <w:bookmarkEnd w:id="0"/>
      <w:r>
        <w:rPr>
          <w:lang w:val="he-IL"/>
        </w:rPr>
        <w:pict w14:anchorId="2A5F90FB">
          <v:rect id="_x0000_s1026" style="position:absolute;left:0;text-align:left;margin-left:464.5pt;margin-top:8.05pt;width:75.05pt;height:11pt;z-index:251654144" o:allowincell="f" filled="f" stroked="f" strokecolor="lime" strokeweight=".25pt">
            <v:textbox inset="0,0,0,0">
              <w:txbxContent>
                <w:p w14:paraId="0334D62A" w14:textId="77777777" w:rsidR="00835A66" w:rsidRDefault="00835A6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0F2508">
        <w:rPr>
          <w:rStyle w:val="default"/>
          <w:rFonts w:cs="FrankRuehl"/>
          <w:rtl/>
        </w:rPr>
        <w:t>–</w:t>
      </w:r>
    </w:p>
    <w:p w14:paraId="6640443B" w14:textId="77777777" w:rsidR="00835A66" w:rsidRDefault="00835A66" w:rsidP="000F250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משפט" </w:t>
      </w:r>
      <w:r w:rsidR="00DF2669">
        <w:rPr>
          <w:rStyle w:val="default"/>
          <w:rFonts w:cs="FrankRuehl"/>
          <w:rtl/>
        </w:rPr>
        <w:t>–</w:t>
      </w:r>
      <w:r>
        <w:rPr>
          <w:rStyle w:val="default"/>
          <w:rFonts w:cs="FrankRuehl"/>
          <w:rtl/>
        </w:rPr>
        <w:t xml:space="preserve"> </w:t>
      </w:r>
      <w:r>
        <w:rPr>
          <w:rStyle w:val="default"/>
          <w:rFonts w:cs="FrankRuehl" w:hint="cs"/>
          <w:rtl/>
        </w:rPr>
        <w:t>בית המשפט המחוזי בירושלים;</w:t>
      </w:r>
    </w:p>
    <w:p w14:paraId="4A86680B" w14:textId="77777777" w:rsidR="00835A66" w:rsidRDefault="00835A66" w:rsidP="000F2508">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רעור" </w:t>
      </w:r>
      <w:r w:rsidR="00DF2669">
        <w:rPr>
          <w:rStyle w:val="default"/>
          <w:rFonts w:cs="FrankRuehl"/>
          <w:rtl/>
        </w:rPr>
        <w:t>–</w:t>
      </w:r>
      <w:r>
        <w:rPr>
          <w:rStyle w:val="default"/>
          <w:rFonts w:cs="FrankRuehl"/>
          <w:rtl/>
        </w:rPr>
        <w:t xml:space="preserve"> </w:t>
      </w:r>
      <w:r>
        <w:rPr>
          <w:rStyle w:val="default"/>
          <w:rFonts w:cs="FrankRuehl" w:hint="cs"/>
          <w:rtl/>
        </w:rPr>
        <w:t>ערעור לפי סעיף 29 לחוק;</w:t>
      </w:r>
    </w:p>
    <w:p w14:paraId="21525B52" w14:textId="77777777" w:rsidR="00835A66" w:rsidRDefault="00835A66" w:rsidP="000F250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עדת הרישוי" </w:t>
      </w:r>
      <w:r w:rsidR="00DF2669">
        <w:rPr>
          <w:rStyle w:val="default"/>
          <w:rFonts w:cs="FrankRuehl"/>
          <w:rtl/>
        </w:rPr>
        <w:t>–</w:t>
      </w:r>
      <w:r>
        <w:rPr>
          <w:rStyle w:val="default"/>
          <w:rFonts w:cs="FrankRuehl"/>
          <w:rtl/>
        </w:rPr>
        <w:t xml:space="preserve"> </w:t>
      </w:r>
      <w:r>
        <w:rPr>
          <w:rStyle w:val="default"/>
          <w:rFonts w:cs="FrankRuehl" w:hint="cs"/>
          <w:rtl/>
        </w:rPr>
        <w:t>ועדת הרישוי שמונתה לפי סעיף 2 לחוק;</w:t>
      </w:r>
    </w:p>
    <w:p w14:paraId="6F860CC9" w14:textId="77777777" w:rsidR="00835A66" w:rsidRDefault="00835A66" w:rsidP="000F250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עדת המשמעת" </w:t>
      </w:r>
      <w:r w:rsidR="00DF2669">
        <w:rPr>
          <w:rStyle w:val="default"/>
          <w:rFonts w:cs="FrankRuehl"/>
          <w:rtl/>
        </w:rPr>
        <w:t>–</w:t>
      </w:r>
      <w:r>
        <w:rPr>
          <w:rStyle w:val="default"/>
          <w:rFonts w:cs="FrankRuehl"/>
          <w:rtl/>
        </w:rPr>
        <w:t xml:space="preserve"> </w:t>
      </w:r>
      <w:r>
        <w:rPr>
          <w:rStyle w:val="default"/>
          <w:rFonts w:cs="FrankRuehl" w:hint="cs"/>
          <w:rtl/>
        </w:rPr>
        <w:t>ועדת המשמעת שמונתה לפי סעיף 22 לחוק.</w:t>
      </w:r>
    </w:p>
    <w:p w14:paraId="04A57D79" w14:textId="77777777" w:rsidR="00835A66" w:rsidRDefault="00835A66">
      <w:pPr>
        <w:pStyle w:val="P00"/>
        <w:spacing w:before="72"/>
        <w:ind w:left="0" w:right="1134"/>
        <w:rPr>
          <w:rStyle w:val="default"/>
          <w:rFonts w:cs="FrankRuehl" w:hint="cs"/>
          <w:rtl/>
        </w:rPr>
      </w:pPr>
      <w:bookmarkStart w:id="1" w:name="Seif2"/>
      <w:bookmarkEnd w:id="1"/>
      <w:r>
        <w:rPr>
          <w:lang w:val="he-IL"/>
        </w:rPr>
        <w:pict w14:anchorId="2F49A4B5">
          <v:rect id="_x0000_s1027" style="position:absolute;left:0;text-align:left;margin-left:464.5pt;margin-top:8.05pt;width:75.05pt;height:18.55pt;z-index:251655168" o:allowincell="f" filled="f" stroked="f" strokecolor="lime" strokeweight=".25pt">
            <v:textbox inset="0,0,0,0">
              <w:txbxContent>
                <w:p w14:paraId="75E0CB94" w14:textId="77777777" w:rsidR="00835A66" w:rsidRDefault="00835A66">
                  <w:pPr>
                    <w:spacing w:line="160" w:lineRule="exact"/>
                    <w:jc w:val="left"/>
                    <w:rPr>
                      <w:rFonts w:cs="Miriam" w:hint="cs"/>
                      <w:sz w:val="18"/>
                      <w:szCs w:val="18"/>
                      <w:rtl/>
                    </w:rPr>
                  </w:pPr>
                  <w:r>
                    <w:rPr>
                      <w:rFonts w:cs="Miriam"/>
                      <w:sz w:val="18"/>
                      <w:szCs w:val="18"/>
                      <w:rtl/>
                    </w:rPr>
                    <w:t>הג</w:t>
                  </w:r>
                  <w:r>
                    <w:rPr>
                      <w:rFonts w:cs="Miriam" w:hint="cs"/>
                      <w:sz w:val="18"/>
                      <w:szCs w:val="18"/>
                      <w:rtl/>
                    </w:rPr>
                    <w:t>שת ערעור</w:t>
                  </w:r>
                </w:p>
                <w:p w14:paraId="4BEED3CB" w14:textId="77777777" w:rsidR="00835A66" w:rsidRDefault="00835A66">
                  <w:pPr>
                    <w:spacing w:line="160" w:lineRule="exact"/>
                    <w:jc w:val="left"/>
                    <w:rPr>
                      <w:rFonts w:cs="Miriam"/>
                      <w:noProof/>
                      <w:sz w:val="18"/>
                      <w:szCs w:val="18"/>
                      <w:rtl/>
                    </w:rPr>
                  </w:pPr>
                  <w:r>
                    <w:rPr>
                      <w:rFonts w:cs="Miriam" w:hint="cs"/>
                      <w:sz w:val="18"/>
                      <w:szCs w:val="18"/>
                      <w:rtl/>
                    </w:rPr>
                    <w:t>תק' תשס"ב-2002</w:t>
                  </w:r>
                </w:p>
              </w:txbxContent>
            </v:textbox>
            <w10:anchorlock/>
          </v:rect>
        </w:pict>
      </w:r>
      <w:r>
        <w:rPr>
          <w:rStyle w:val="big-number"/>
          <w:rFonts w:cs="Miriam"/>
          <w:rtl/>
        </w:rPr>
        <w:t>2.</w:t>
      </w:r>
      <w:r>
        <w:rPr>
          <w:rStyle w:val="big-number"/>
          <w:rFonts w:cs="Miriam"/>
          <w:rtl/>
        </w:rPr>
        <w:tab/>
      </w:r>
      <w:r>
        <w:rPr>
          <w:rStyle w:val="default"/>
          <w:rFonts w:cs="FrankRuehl" w:hint="cs"/>
          <w:rtl/>
        </w:rPr>
        <w:t>(א)</w:t>
      </w:r>
      <w:r>
        <w:rPr>
          <w:rStyle w:val="default"/>
          <w:rFonts w:cs="FrankRuehl" w:hint="cs"/>
          <w:rtl/>
        </w:rPr>
        <w:tab/>
        <w:t>ערעור יוגש ויתברר לפי פרק ל' לתקנות סדר הדין האזרחי, התשמ"ד-1984.</w:t>
      </w:r>
    </w:p>
    <w:p w14:paraId="5BCB4793" w14:textId="77777777" w:rsidR="00835A66" w:rsidRDefault="00835A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הערעור יוגש לבית משפט בתוך שלושים ימים ממתן ההחלטה שעליה מערערים אם ניתנה בפני המערער, או מהיום שבו נמסרה לו ההחלטה אם ניתנה שלא בפניו, אלא שמותר להגיש ערעור גם לפני מסירת ההחלטה.</w:t>
      </w:r>
    </w:p>
    <w:p w14:paraId="2085AA38" w14:textId="77777777" w:rsidR="00FD1B2C" w:rsidRPr="00DF2669" w:rsidRDefault="00FD1B2C" w:rsidP="00ED46C3">
      <w:pPr>
        <w:pStyle w:val="P00"/>
        <w:tabs>
          <w:tab w:val="clear" w:pos="6259"/>
        </w:tabs>
        <w:spacing w:before="0"/>
        <w:ind w:left="0" w:right="1134"/>
        <w:rPr>
          <w:rFonts w:cs="FrankRuehl" w:hint="cs"/>
          <w:vanish/>
          <w:szCs w:val="20"/>
          <w:shd w:val="clear" w:color="auto" w:fill="FFFF99"/>
          <w:rtl/>
        </w:rPr>
      </w:pPr>
      <w:bookmarkStart w:id="2" w:name="Rov9"/>
      <w:r w:rsidRPr="00DF2669">
        <w:rPr>
          <w:rFonts w:cs="FrankRuehl" w:hint="cs"/>
          <w:vanish/>
          <w:color w:val="FF0000"/>
          <w:szCs w:val="20"/>
          <w:shd w:val="clear" w:color="auto" w:fill="FFFF99"/>
          <w:rtl/>
        </w:rPr>
        <w:t>מיום 25.9.200</w:t>
      </w:r>
      <w:r w:rsidR="00ED46C3" w:rsidRPr="00DF2669">
        <w:rPr>
          <w:rFonts w:cs="FrankRuehl" w:hint="cs"/>
          <w:vanish/>
          <w:color w:val="FF0000"/>
          <w:szCs w:val="20"/>
          <w:shd w:val="clear" w:color="auto" w:fill="FFFF99"/>
          <w:rtl/>
        </w:rPr>
        <w:t>2</w:t>
      </w:r>
    </w:p>
    <w:p w14:paraId="42DFFBB0" w14:textId="77777777" w:rsidR="00FD1B2C" w:rsidRPr="00DF2669" w:rsidRDefault="00FD1B2C" w:rsidP="00FD1B2C">
      <w:pPr>
        <w:pStyle w:val="P00"/>
        <w:spacing w:before="0"/>
        <w:ind w:left="0" w:right="1134"/>
        <w:rPr>
          <w:rFonts w:cs="FrankRuehl" w:hint="cs"/>
          <w:b/>
          <w:bCs/>
          <w:vanish/>
          <w:szCs w:val="20"/>
          <w:shd w:val="clear" w:color="auto" w:fill="FFFF99"/>
          <w:rtl/>
        </w:rPr>
      </w:pPr>
      <w:r w:rsidRPr="00DF2669">
        <w:rPr>
          <w:rFonts w:cs="FrankRuehl" w:hint="cs"/>
          <w:b/>
          <w:bCs/>
          <w:vanish/>
          <w:szCs w:val="20"/>
          <w:shd w:val="clear" w:color="auto" w:fill="FFFF99"/>
          <w:rtl/>
        </w:rPr>
        <w:t>תק' תשס"ב-2002</w:t>
      </w:r>
    </w:p>
    <w:p w14:paraId="25C76482" w14:textId="77777777" w:rsidR="00FD1B2C" w:rsidRPr="00DF2669" w:rsidRDefault="00FD1B2C" w:rsidP="00FD1B2C">
      <w:pPr>
        <w:pStyle w:val="P00"/>
        <w:spacing w:before="0"/>
        <w:ind w:left="0" w:right="1134"/>
        <w:rPr>
          <w:rFonts w:cs="FrankRuehl" w:hint="cs"/>
          <w:vanish/>
          <w:szCs w:val="20"/>
          <w:shd w:val="clear" w:color="auto" w:fill="FFFF99"/>
          <w:rtl/>
        </w:rPr>
      </w:pPr>
      <w:hyperlink r:id="rId6" w:history="1">
        <w:r w:rsidRPr="00DF2669">
          <w:rPr>
            <w:rStyle w:val="Hyperlink"/>
            <w:rFonts w:cs="FrankRuehl" w:hint="cs"/>
            <w:vanish/>
            <w:szCs w:val="20"/>
            <w:shd w:val="clear" w:color="auto" w:fill="FFFF99"/>
            <w:rtl/>
          </w:rPr>
          <w:t>ק"ת תשס"ב מס' 6193</w:t>
        </w:r>
      </w:hyperlink>
      <w:r w:rsidRPr="00DF2669">
        <w:rPr>
          <w:rFonts w:cs="FrankRuehl" w:hint="cs"/>
          <w:vanish/>
          <w:szCs w:val="20"/>
          <w:shd w:val="clear" w:color="auto" w:fill="FFFF99"/>
          <w:rtl/>
        </w:rPr>
        <w:t xml:space="preserve"> מיום 26.8.2002 עמ' 1286</w:t>
      </w:r>
    </w:p>
    <w:p w14:paraId="6D679355" w14:textId="77777777" w:rsidR="00FD1B2C" w:rsidRPr="00DF2669" w:rsidRDefault="00DC5FAF" w:rsidP="00FD1B2C">
      <w:pPr>
        <w:pStyle w:val="P00"/>
        <w:spacing w:before="0"/>
        <w:ind w:left="0" w:right="1134"/>
        <w:rPr>
          <w:rFonts w:cs="FrankRuehl" w:hint="cs"/>
          <w:b/>
          <w:bCs/>
          <w:vanish/>
          <w:szCs w:val="20"/>
          <w:shd w:val="clear" w:color="auto" w:fill="FFFF99"/>
          <w:rtl/>
        </w:rPr>
      </w:pPr>
      <w:r w:rsidRPr="00DF2669">
        <w:rPr>
          <w:rFonts w:cs="FrankRuehl" w:hint="cs"/>
          <w:b/>
          <w:bCs/>
          <w:vanish/>
          <w:szCs w:val="20"/>
          <w:shd w:val="clear" w:color="auto" w:fill="FFFF99"/>
          <w:rtl/>
        </w:rPr>
        <w:t>החלפת תקנה 2</w:t>
      </w:r>
    </w:p>
    <w:p w14:paraId="398C285A" w14:textId="77777777" w:rsidR="00DC5FAF" w:rsidRPr="00DF2669" w:rsidRDefault="00DC5FAF" w:rsidP="00DC5FAF">
      <w:pPr>
        <w:pStyle w:val="P00"/>
        <w:ind w:left="0" w:right="1134"/>
        <w:rPr>
          <w:rFonts w:cs="FrankRuehl" w:hint="cs"/>
          <w:vanish/>
          <w:szCs w:val="20"/>
          <w:shd w:val="clear" w:color="auto" w:fill="FFFF99"/>
          <w:rtl/>
        </w:rPr>
      </w:pPr>
      <w:r w:rsidRPr="00DF2669">
        <w:rPr>
          <w:rFonts w:cs="FrankRuehl" w:hint="cs"/>
          <w:vanish/>
          <w:szCs w:val="20"/>
          <w:shd w:val="clear" w:color="auto" w:fill="FFFF99"/>
          <w:rtl/>
        </w:rPr>
        <w:t>הנוסח הקודם:</w:t>
      </w:r>
    </w:p>
    <w:p w14:paraId="50F4E3EE" w14:textId="77777777" w:rsidR="00FD1B2C" w:rsidRPr="00BF7016" w:rsidRDefault="00DC5FAF" w:rsidP="002566A0">
      <w:pPr>
        <w:pStyle w:val="P00"/>
        <w:spacing w:before="0"/>
        <w:ind w:left="0" w:right="1134"/>
        <w:rPr>
          <w:rStyle w:val="default"/>
          <w:rFonts w:cs="FrankRuehl"/>
          <w:strike/>
          <w:sz w:val="2"/>
          <w:szCs w:val="2"/>
          <w:rtl/>
        </w:rPr>
      </w:pPr>
      <w:r w:rsidRPr="00DF2669">
        <w:rPr>
          <w:rFonts w:cs="FrankRuehl" w:hint="cs"/>
          <w:strike/>
          <w:vanish/>
          <w:sz w:val="22"/>
          <w:szCs w:val="22"/>
          <w:shd w:val="clear" w:color="auto" w:fill="FFFF99"/>
          <w:rtl/>
        </w:rPr>
        <w:t>2.</w:t>
      </w:r>
      <w:r w:rsidRPr="00DF2669">
        <w:rPr>
          <w:rFonts w:cs="FrankRuehl" w:hint="cs"/>
          <w:strike/>
          <w:vanish/>
          <w:sz w:val="22"/>
          <w:szCs w:val="22"/>
          <w:shd w:val="clear" w:color="auto" w:fill="FFFF99"/>
          <w:rtl/>
        </w:rPr>
        <w:tab/>
        <w:t xml:space="preserve">ערעור יוגש ויתברר בצורת בקשה בדרך המרצה (להלן </w:t>
      </w:r>
      <w:r w:rsidRPr="00DF2669">
        <w:rPr>
          <w:rFonts w:cs="FrankRuehl"/>
          <w:strike/>
          <w:vanish/>
          <w:sz w:val="22"/>
          <w:szCs w:val="22"/>
          <w:shd w:val="clear" w:color="auto" w:fill="FFFF99"/>
          <w:rtl/>
        </w:rPr>
        <w:t>–</w:t>
      </w:r>
      <w:r w:rsidRPr="00DF2669">
        <w:rPr>
          <w:rFonts w:cs="FrankRuehl" w:hint="cs"/>
          <w:strike/>
          <w:vanish/>
          <w:sz w:val="22"/>
          <w:szCs w:val="22"/>
          <w:shd w:val="clear" w:color="auto" w:fill="FFFF99"/>
          <w:rtl/>
        </w:rPr>
        <w:t xml:space="preserve"> הב</w:t>
      </w:r>
      <w:r w:rsidR="002566A0" w:rsidRPr="00DF2669">
        <w:rPr>
          <w:rFonts w:cs="FrankRuehl" w:hint="cs"/>
          <w:strike/>
          <w:vanish/>
          <w:sz w:val="22"/>
          <w:szCs w:val="22"/>
          <w:shd w:val="clear" w:color="auto" w:fill="FFFF99"/>
          <w:rtl/>
        </w:rPr>
        <w:tab/>
      </w:r>
      <w:r w:rsidRPr="00DF2669">
        <w:rPr>
          <w:rFonts w:cs="FrankRuehl" w:hint="cs"/>
          <w:strike/>
          <w:vanish/>
          <w:sz w:val="22"/>
          <w:szCs w:val="22"/>
          <w:shd w:val="clear" w:color="auto" w:fill="FFFF99"/>
          <w:rtl/>
        </w:rPr>
        <w:t xml:space="preserve">קשה), והוראות תקנות סדר הדין האזרחי, תשכ"ג </w:t>
      </w:r>
      <w:r w:rsidRPr="00DF2669">
        <w:rPr>
          <w:rFonts w:cs="FrankRuehl"/>
          <w:strike/>
          <w:vanish/>
          <w:sz w:val="22"/>
          <w:szCs w:val="22"/>
          <w:shd w:val="clear" w:color="auto" w:fill="FFFF99"/>
          <w:rtl/>
        </w:rPr>
        <w:t>–</w:t>
      </w:r>
      <w:r w:rsidRPr="00DF2669">
        <w:rPr>
          <w:rFonts w:cs="FrankRuehl" w:hint="cs"/>
          <w:strike/>
          <w:vanish/>
          <w:sz w:val="22"/>
          <w:szCs w:val="22"/>
          <w:shd w:val="clear" w:color="auto" w:fill="FFFF99"/>
          <w:rtl/>
        </w:rPr>
        <w:t xml:space="preserve"> 1963, יחולו על בקשה והדיון בה בשינויים המחויבים ובכפוף לתקנות אלה.</w:t>
      </w:r>
      <w:bookmarkEnd w:id="2"/>
    </w:p>
    <w:p w14:paraId="5DD8F621" w14:textId="77777777" w:rsidR="00835A66" w:rsidRDefault="00835A66">
      <w:pPr>
        <w:pStyle w:val="P00"/>
        <w:spacing w:before="72"/>
        <w:ind w:left="0" w:right="1134"/>
        <w:rPr>
          <w:rStyle w:val="default"/>
          <w:rFonts w:cs="FrankRuehl" w:hint="cs"/>
          <w:rtl/>
        </w:rPr>
      </w:pPr>
      <w:r>
        <w:rPr>
          <w:lang w:val="he-IL"/>
        </w:rPr>
        <w:pict w14:anchorId="37407E15">
          <v:rect id="_x0000_s1028" style="position:absolute;left:0;text-align:left;margin-left:464.5pt;margin-top:8.05pt;width:75.05pt;height:8pt;z-index:251656192" o:allowincell="f" filled="f" stroked="f" strokecolor="lime" strokeweight=".25pt">
            <v:textbox inset="0,0,0,0">
              <w:txbxContent>
                <w:p w14:paraId="41FF9833" w14:textId="77777777" w:rsidR="00835A66" w:rsidRDefault="00835A66">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בוטלה).</w:t>
      </w:r>
    </w:p>
    <w:p w14:paraId="67673391" w14:textId="77777777" w:rsidR="00DC5FAF" w:rsidRPr="00DF2669" w:rsidRDefault="00DC5FAF" w:rsidP="00BF7016">
      <w:pPr>
        <w:pStyle w:val="P00"/>
        <w:tabs>
          <w:tab w:val="clear" w:pos="6259"/>
        </w:tabs>
        <w:spacing w:before="0"/>
        <w:ind w:left="0" w:right="1134"/>
        <w:rPr>
          <w:rFonts w:cs="FrankRuehl" w:hint="cs"/>
          <w:vanish/>
          <w:szCs w:val="20"/>
          <w:shd w:val="clear" w:color="auto" w:fill="FFFF99"/>
          <w:rtl/>
        </w:rPr>
      </w:pPr>
      <w:bookmarkStart w:id="3" w:name="Rov10"/>
      <w:r w:rsidRPr="00DF2669">
        <w:rPr>
          <w:rFonts w:cs="FrankRuehl" w:hint="cs"/>
          <w:vanish/>
          <w:color w:val="FF0000"/>
          <w:szCs w:val="20"/>
          <w:shd w:val="clear" w:color="auto" w:fill="FFFF99"/>
          <w:rtl/>
        </w:rPr>
        <w:t>מיום 25.9.200</w:t>
      </w:r>
      <w:r w:rsidR="00BF7016" w:rsidRPr="00DF2669">
        <w:rPr>
          <w:rFonts w:cs="FrankRuehl" w:hint="cs"/>
          <w:vanish/>
          <w:color w:val="FF0000"/>
          <w:szCs w:val="20"/>
          <w:shd w:val="clear" w:color="auto" w:fill="FFFF99"/>
          <w:rtl/>
        </w:rPr>
        <w:t>2</w:t>
      </w:r>
    </w:p>
    <w:p w14:paraId="7D322ADF" w14:textId="77777777" w:rsidR="00DC5FAF" w:rsidRPr="00DF2669" w:rsidRDefault="00DC5FAF" w:rsidP="00DC5FAF">
      <w:pPr>
        <w:pStyle w:val="P00"/>
        <w:spacing w:before="0"/>
        <w:ind w:left="0" w:right="1134"/>
        <w:rPr>
          <w:rFonts w:cs="FrankRuehl" w:hint="cs"/>
          <w:b/>
          <w:bCs/>
          <w:vanish/>
          <w:szCs w:val="20"/>
          <w:shd w:val="clear" w:color="auto" w:fill="FFFF99"/>
          <w:rtl/>
        </w:rPr>
      </w:pPr>
      <w:r w:rsidRPr="00DF2669">
        <w:rPr>
          <w:rFonts w:cs="FrankRuehl" w:hint="cs"/>
          <w:b/>
          <w:bCs/>
          <w:vanish/>
          <w:szCs w:val="20"/>
          <w:shd w:val="clear" w:color="auto" w:fill="FFFF99"/>
          <w:rtl/>
        </w:rPr>
        <w:t>תק' תשס"ב-2002</w:t>
      </w:r>
    </w:p>
    <w:p w14:paraId="08A3AE1E" w14:textId="77777777" w:rsidR="00DC5FAF" w:rsidRPr="00DF2669" w:rsidRDefault="00DC5FAF" w:rsidP="00DC5FAF">
      <w:pPr>
        <w:pStyle w:val="P00"/>
        <w:spacing w:before="0"/>
        <w:ind w:left="0" w:right="1134"/>
        <w:rPr>
          <w:rFonts w:cs="FrankRuehl" w:hint="cs"/>
          <w:vanish/>
          <w:szCs w:val="20"/>
          <w:shd w:val="clear" w:color="auto" w:fill="FFFF99"/>
          <w:rtl/>
        </w:rPr>
      </w:pPr>
      <w:hyperlink r:id="rId7" w:history="1">
        <w:r w:rsidRPr="00DF2669">
          <w:rPr>
            <w:rStyle w:val="Hyperlink"/>
            <w:rFonts w:cs="FrankRuehl" w:hint="cs"/>
            <w:vanish/>
            <w:szCs w:val="20"/>
            <w:shd w:val="clear" w:color="auto" w:fill="FFFF99"/>
            <w:rtl/>
          </w:rPr>
          <w:t>ק"ת תשס</w:t>
        </w:r>
        <w:r w:rsidRPr="00DF2669">
          <w:rPr>
            <w:rStyle w:val="Hyperlink"/>
            <w:rFonts w:cs="FrankRuehl" w:hint="cs"/>
            <w:vanish/>
            <w:szCs w:val="20"/>
            <w:shd w:val="clear" w:color="auto" w:fill="FFFF99"/>
            <w:rtl/>
          </w:rPr>
          <w:t>"</w:t>
        </w:r>
        <w:r w:rsidRPr="00DF2669">
          <w:rPr>
            <w:rStyle w:val="Hyperlink"/>
            <w:rFonts w:cs="FrankRuehl" w:hint="cs"/>
            <w:vanish/>
            <w:szCs w:val="20"/>
            <w:shd w:val="clear" w:color="auto" w:fill="FFFF99"/>
            <w:rtl/>
          </w:rPr>
          <w:t>ב מס' 6193</w:t>
        </w:r>
      </w:hyperlink>
      <w:r w:rsidRPr="00DF2669">
        <w:rPr>
          <w:rFonts w:cs="FrankRuehl" w:hint="cs"/>
          <w:vanish/>
          <w:szCs w:val="20"/>
          <w:shd w:val="clear" w:color="auto" w:fill="FFFF99"/>
          <w:rtl/>
        </w:rPr>
        <w:t xml:space="preserve"> מיום 26.8.2002 עמ' 1286</w:t>
      </w:r>
    </w:p>
    <w:p w14:paraId="0A5B672E" w14:textId="77777777" w:rsidR="00DC5FAF" w:rsidRPr="00DF2669" w:rsidRDefault="00DC5FAF" w:rsidP="00DC5FAF">
      <w:pPr>
        <w:pStyle w:val="P00"/>
        <w:spacing w:before="0"/>
        <w:ind w:left="0" w:right="1134"/>
        <w:rPr>
          <w:rFonts w:cs="FrankRuehl" w:hint="cs"/>
          <w:b/>
          <w:bCs/>
          <w:vanish/>
          <w:szCs w:val="20"/>
          <w:shd w:val="clear" w:color="auto" w:fill="FFFF99"/>
          <w:rtl/>
        </w:rPr>
      </w:pPr>
      <w:r w:rsidRPr="00DF2669">
        <w:rPr>
          <w:rFonts w:cs="FrankRuehl" w:hint="cs"/>
          <w:b/>
          <w:bCs/>
          <w:vanish/>
          <w:szCs w:val="20"/>
          <w:shd w:val="clear" w:color="auto" w:fill="FFFF99"/>
          <w:rtl/>
        </w:rPr>
        <w:t>ביטול תקנה 3</w:t>
      </w:r>
    </w:p>
    <w:p w14:paraId="6F91FE9D" w14:textId="77777777" w:rsidR="006A07D8" w:rsidRPr="00DF2669" w:rsidRDefault="006A07D8" w:rsidP="002566A0">
      <w:pPr>
        <w:pStyle w:val="P00"/>
        <w:ind w:left="0" w:right="1134"/>
        <w:rPr>
          <w:rStyle w:val="default"/>
          <w:rFonts w:cs="FrankRuehl" w:hint="cs"/>
          <w:vanish/>
          <w:sz w:val="20"/>
          <w:szCs w:val="20"/>
          <w:shd w:val="clear" w:color="auto" w:fill="FFFF99"/>
          <w:rtl/>
        </w:rPr>
      </w:pPr>
      <w:r w:rsidRPr="00DF2669">
        <w:rPr>
          <w:rFonts w:cs="FrankRuehl" w:hint="cs"/>
          <w:vanish/>
          <w:szCs w:val="20"/>
          <w:shd w:val="clear" w:color="auto" w:fill="FFFF99"/>
          <w:rtl/>
        </w:rPr>
        <w:t>הנוסח הקודם:</w:t>
      </w:r>
    </w:p>
    <w:p w14:paraId="4EE1C1FF" w14:textId="77777777" w:rsidR="002566A0" w:rsidRPr="00DF2669" w:rsidRDefault="002566A0" w:rsidP="002566A0">
      <w:pPr>
        <w:pStyle w:val="P00"/>
        <w:spacing w:before="20"/>
        <w:ind w:left="0" w:right="1134"/>
        <w:rPr>
          <w:rStyle w:val="default"/>
          <w:rFonts w:cs="Miriam" w:hint="cs"/>
          <w:strike/>
          <w:vanish/>
          <w:sz w:val="16"/>
          <w:szCs w:val="16"/>
          <w:shd w:val="clear" w:color="auto" w:fill="FFFF99"/>
          <w:rtl/>
        </w:rPr>
      </w:pPr>
      <w:r w:rsidRPr="00DF2669">
        <w:rPr>
          <w:rStyle w:val="default"/>
          <w:rFonts w:cs="Miriam" w:hint="cs"/>
          <w:strike/>
          <w:vanish/>
          <w:sz w:val="16"/>
          <w:szCs w:val="16"/>
          <w:shd w:val="clear" w:color="auto" w:fill="FFFF99"/>
          <w:rtl/>
        </w:rPr>
        <w:t>הודעה על הבקשה</w:t>
      </w:r>
    </w:p>
    <w:p w14:paraId="45DC424E" w14:textId="77777777" w:rsidR="006A07D8" w:rsidRPr="00DF2669" w:rsidRDefault="006A07D8" w:rsidP="002566A0">
      <w:pPr>
        <w:pStyle w:val="P00"/>
        <w:spacing w:before="0"/>
        <w:ind w:left="0" w:right="1134"/>
        <w:rPr>
          <w:rStyle w:val="default"/>
          <w:rFonts w:cs="FrankRuehl" w:hint="cs"/>
          <w:strike/>
          <w:vanish/>
          <w:sz w:val="22"/>
          <w:szCs w:val="22"/>
          <w:shd w:val="clear" w:color="auto" w:fill="FFFF99"/>
          <w:rtl/>
        </w:rPr>
      </w:pPr>
      <w:r w:rsidRPr="00DF2669">
        <w:rPr>
          <w:rStyle w:val="default"/>
          <w:rFonts w:cs="FrankRuehl" w:hint="cs"/>
          <w:strike/>
          <w:vanish/>
          <w:sz w:val="22"/>
          <w:szCs w:val="22"/>
          <w:shd w:val="clear" w:color="auto" w:fill="FFFF99"/>
          <w:rtl/>
        </w:rPr>
        <w:t>3.</w:t>
      </w:r>
      <w:r w:rsidRPr="00DF2669">
        <w:rPr>
          <w:rStyle w:val="default"/>
          <w:rFonts w:cs="FrankRuehl" w:hint="cs"/>
          <w:strike/>
          <w:vanish/>
          <w:sz w:val="22"/>
          <w:szCs w:val="22"/>
          <w:shd w:val="clear" w:color="auto" w:fill="FFFF99"/>
          <w:rtl/>
        </w:rPr>
        <w:tab/>
        <w:t>(א)</w:t>
      </w:r>
      <w:r w:rsidRPr="00DF2669">
        <w:rPr>
          <w:rStyle w:val="default"/>
          <w:rFonts w:cs="FrankRuehl" w:hint="cs"/>
          <w:strike/>
          <w:vanish/>
          <w:sz w:val="22"/>
          <w:szCs w:val="22"/>
          <w:shd w:val="clear" w:color="auto" w:fill="FFFF99"/>
          <w:rtl/>
        </w:rPr>
        <w:tab/>
        <w:t>הודעה על הבקשה תוגש לבית המשפט תוך שלושים יום מיום מתן ההחלטה שעליה מערערים עם ניתנה בפני המערער, או מהיום שבו נמסרה לו ההחלטה אם ניתנה שלא בפניו, אלא שמותר להגיש הודעה על בקשת הערעור גם לפני מסירת ההחלטה.</w:t>
      </w:r>
    </w:p>
    <w:p w14:paraId="2DE88F0A" w14:textId="77777777" w:rsidR="006A07D8" w:rsidRPr="00BF7016" w:rsidRDefault="006A07D8" w:rsidP="002566A0">
      <w:pPr>
        <w:pStyle w:val="P00"/>
        <w:spacing w:before="0"/>
        <w:ind w:left="0" w:right="1134"/>
        <w:rPr>
          <w:rStyle w:val="default"/>
          <w:rFonts w:cs="FrankRuehl"/>
          <w:strike/>
          <w:sz w:val="2"/>
          <w:szCs w:val="2"/>
          <w:rtl/>
        </w:rPr>
      </w:pPr>
      <w:r w:rsidRPr="00DF2669">
        <w:rPr>
          <w:rStyle w:val="default"/>
          <w:rFonts w:cs="FrankRuehl" w:hint="cs"/>
          <w:vanish/>
          <w:sz w:val="22"/>
          <w:szCs w:val="22"/>
          <w:shd w:val="clear" w:color="auto" w:fill="FFFF99"/>
          <w:rtl/>
        </w:rPr>
        <w:tab/>
      </w:r>
      <w:r w:rsidRPr="00DF2669">
        <w:rPr>
          <w:rStyle w:val="default"/>
          <w:rFonts w:cs="FrankRuehl" w:hint="cs"/>
          <w:strike/>
          <w:vanish/>
          <w:sz w:val="22"/>
          <w:szCs w:val="22"/>
          <w:shd w:val="clear" w:color="auto" w:fill="FFFF99"/>
          <w:rtl/>
        </w:rPr>
        <w:t>(ב)</w:t>
      </w:r>
      <w:r w:rsidRPr="00DF2669">
        <w:rPr>
          <w:rStyle w:val="default"/>
          <w:rFonts w:cs="FrankRuehl" w:hint="cs"/>
          <w:strike/>
          <w:vanish/>
          <w:sz w:val="22"/>
          <w:szCs w:val="22"/>
          <w:shd w:val="clear" w:color="auto" w:fill="FFFF99"/>
          <w:rtl/>
        </w:rPr>
        <w:tab/>
        <w:t>ההודעה על הבקשה תהא ערוכה לפי הטופס שבתוספת ויצורך אליה תצהיר לשם אימות העובדות הממשות יסוד לבקשה.</w:t>
      </w:r>
      <w:bookmarkEnd w:id="3"/>
    </w:p>
    <w:p w14:paraId="4DC45144" w14:textId="77777777" w:rsidR="00835A66" w:rsidRDefault="00835A66" w:rsidP="000F2508">
      <w:pPr>
        <w:pStyle w:val="P00"/>
        <w:spacing w:before="72"/>
        <w:ind w:left="0" w:right="1134"/>
        <w:rPr>
          <w:rStyle w:val="default"/>
          <w:rFonts w:cs="FrankRuehl" w:hint="cs"/>
          <w:rtl/>
        </w:rPr>
      </w:pPr>
      <w:r>
        <w:rPr>
          <w:lang w:val="he-IL"/>
        </w:rPr>
        <w:pict w14:anchorId="4031CCA9">
          <v:rect id="_x0000_s1029" style="position:absolute;left:0;text-align:left;margin-left:464.5pt;margin-top:8.05pt;width:75.05pt;height:11.95pt;z-index:251657216" o:allowincell="f" filled="f" stroked="f" strokecolor="lime" strokeweight=".25pt">
            <v:textbox style="mso-next-textbox:#_x0000_s1029" inset="0,0,0,0">
              <w:txbxContent>
                <w:p w14:paraId="6AED3162" w14:textId="77777777" w:rsidR="00835A66" w:rsidRDefault="00835A66">
                  <w:pPr>
                    <w:spacing w:line="160" w:lineRule="exact"/>
                    <w:jc w:val="left"/>
                    <w:rPr>
                      <w:rFonts w:cs="Miriam" w:hint="cs"/>
                      <w:noProof/>
                      <w:sz w:val="18"/>
                      <w:szCs w:val="18"/>
                      <w:rtl/>
                    </w:rPr>
                  </w:pPr>
                  <w:r>
                    <w:rPr>
                      <w:rFonts w:cs="Miriam" w:hint="cs"/>
                      <w:sz w:val="18"/>
                      <w:szCs w:val="18"/>
                      <w:rtl/>
                    </w:rPr>
                    <w:t>תק' תשס"ב-2002</w:t>
                  </w:r>
                </w:p>
              </w:txbxContent>
            </v:textbox>
            <w10:anchorlock/>
          </v:rect>
        </w:pict>
      </w:r>
      <w:r>
        <w:rPr>
          <w:rStyle w:val="big-number"/>
          <w:rFonts w:cs="Miriam"/>
          <w:rtl/>
        </w:rPr>
        <w:t>4.</w:t>
      </w:r>
      <w:r>
        <w:rPr>
          <w:rStyle w:val="big-number"/>
          <w:rFonts w:cs="Miriam"/>
          <w:rtl/>
        </w:rPr>
        <w:tab/>
      </w:r>
      <w:r>
        <w:rPr>
          <w:rStyle w:val="default"/>
          <w:rFonts w:cs="FrankRuehl" w:hint="cs"/>
          <w:rtl/>
        </w:rPr>
        <w:t>(בוטלה).</w:t>
      </w:r>
    </w:p>
    <w:p w14:paraId="7F6E8759" w14:textId="77777777" w:rsidR="00DC5FAF" w:rsidRPr="00DF2669" w:rsidRDefault="00DC5FAF" w:rsidP="004C0B78">
      <w:pPr>
        <w:pStyle w:val="P00"/>
        <w:tabs>
          <w:tab w:val="clear" w:pos="6259"/>
        </w:tabs>
        <w:spacing w:before="0"/>
        <w:ind w:left="0" w:right="1134"/>
        <w:rPr>
          <w:rFonts w:cs="FrankRuehl" w:hint="cs"/>
          <w:vanish/>
          <w:szCs w:val="20"/>
          <w:shd w:val="clear" w:color="auto" w:fill="FFFF99"/>
          <w:rtl/>
        </w:rPr>
      </w:pPr>
      <w:bookmarkStart w:id="4" w:name="Rov11"/>
      <w:r w:rsidRPr="00DF2669">
        <w:rPr>
          <w:rFonts w:cs="FrankRuehl" w:hint="cs"/>
          <w:vanish/>
          <w:color w:val="FF0000"/>
          <w:szCs w:val="20"/>
          <w:shd w:val="clear" w:color="auto" w:fill="FFFF99"/>
          <w:rtl/>
        </w:rPr>
        <w:t>מיום 25.9.200</w:t>
      </w:r>
      <w:r w:rsidR="004C0B78" w:rsidRPr="00DF2669">
        <w:rPr>
          <w:rFonts w:cs="FrankRuehl" w:hint="cs"/>
          <w:vanish/>
          <w:color w:val="FF0000"/>
          <w:szCs w:val="20"/>
          <w:shd w:val="clear" w:color="auto" w:fill="FFFF99"/>
          <w:rtl/>
        </w:rPr>
        <w:t>2</w:t>
      </w:r>
    </w:p>
    <w:p w14:paraId="4E4B65E1" w14:textId="77777777" w:rsidR="00DC5FAF" w:rsidRPr="00DF2669" w:rsidRDefault="00DC5FAF" w:rsidP="00DC5FAF">
      <w:pPr>
        <w:pStyle w:val="P00"/>
        <w:spacing w:before="0"/>
        <w:ind w:left="0" w:right="1134"/>
        <w:rPr>
          <w:rFonts w:cs="FrankRuehl" w:hint="cs"/>
          <w:b/>
          <w:bCs/>
          <w:vanish/>
          <w:szCs w:val="20"/>
          <w:shd w:val="clear" w:color="auto" w:fill="FFFF99"/>
          <w:rtl/>
        </w:rPr>
      </w:pPr>
      <w:r w:rsidRPr="00DF2669">
        <w:rPr>
          <w:rFonts w:cs="FrankRuehl" w:hint="cs"/>
          <w:b/>
          <w:bCs/>
          <w:vanish/>
          <w:szCs w:val="20"/>
          <w:shd w:val="clear" w:color="auto" w:fill="FFFF99"/>
          <w:rtl/>
        </w:rPr>
        <w:t>תק' תשס"ב-2002</w:t>
      </w:r>
    </w:p>
    <w:p w14:paraId="3D904F04" w14:textId="77777777" w:rsidR="00DC5FAF" w:rsidRPr="00DF2669" w:rsidRDefault="00DC5FAF" w:rsidP="00DC5FAF">
      <w:pPr>
        <w:pStyle w:val="P00"/>
        <w:spacing w:before="0"/>
        <w:ind w:left="0" w:right="1134"/>
        <w:rPr>
          <w:rFonts w:cs="FrankRuehl" w:hint="cs"/>
          <w:vanish/>
          <w:szCs w:val="20"/>
          <w:shd w:val="clear" w:color="auto" w:fill="FFFF99"/>
          <w:rtl/>
        </w:rPr>
      </w:pPr>
      <w:hyperlink r:id="rId8" w:history="1">
        <w:r w:rsidRPr="00DF2669">
          <w:rPr>
            <w:rStyle w:val="Hyperlink"/>
            <w:rFonts w:cs="FrankRuehl" w:hint="cs"/>
            <w:vanish/>
            <w:szCs w:val="20"/>
            <w:shd w:val="clear" w:color="auto" w:fill="FFFF99"/>
            <w:rtl/>
          </w:rPr>
          <w:t>ק"ת תשס"ב מס' 6193</w:t>
        </w:r>
      </w:hyperlink>
      <w:r w:rsidRPr="00DF2669">
        <w:rPr>
          <w:rFonts w:cs="FrankRuehl" w:hint="cs"/>
          <w:vanish/>
          <w:szCs w:val="20"/>
          <w:shd w:val="clear" w:color="auto" w:fill="FFFF99"/>
          <w:rtl/>
        </w:rPr>
        <w:t xml:space="preserve"> מיום 26.8.2002 עמ' 1286</w:t>
      </w:r>
    </w:p>
    <w:p w14:paraId="643423F8" w14:textId="77777777" w:rsidR="00DC5FAF" w:rsidRPr="00DF2669" w:rsidRDefault="00DC5FAF" w:rsidP="006A07D8">
      <w:pPr>
        <w:pStyle w:val="P00"/>
        <w:spacing w:before="0"/>
        <w:ind w:left="0" w:right="1134"/>
        <w:rPr>
          <w:rFonts w:cs="FrankRuehl" w:hint="cs"/>
          <w:b/>
          <w:bCs/>
          <w:vanish/>
          <w:szCs w:val="20"/>
          <w:shd w:val="clear" w:color="auto" w:fill="FFFF99"/>
          <w:rtl/>
        </w:rPr>
      </w:pPr>
      <w:r w:rsidRPr="00DF2669">
        <w:rPr>
          <w:rFonts w:cs="FrankRuehl" w:hint="cs"/>
          <w:b/>
          <w:bCs/>
          <w:vanish/>
          <w:szCs w:val="20"/>
          <w:shd w:val="clear" w:color="auto" w:fill="FFFF99"/>
          <w:rtl/>
        </w:rPr>
        <w:t xml:space="preserve">ביטול תקנה </w:t>
      </w:r>
      <w:r w:rsidR="006A07D8" w:rsidRPr="00DF2669">
        <w:rPr>
          <w:rFonts w:cs="FrankRuehl" w:hint="cs"/>
          <w:b/>
          <w:bCs/>
          <w:vanish/>
          <w:szCs w:val="20"/>
          <w:shd w:val="clear" w:color="auto" w:fill="FFFF99"/>
          <w:rtl/>
        </w:rPr>
        <w:t>4</w:t>
      </w:r>
    </w:p>
    <w:p w14:paraId="3F54C0ED" w14:textId="77777777" w:rsidR="006A07D8" w:rsidRPr="00DF2669" w:rsidRDefault="006A07D8" w:rsidP="002566A0">
      <w:pPr>
        <w:pStyle w:val="P00"/>
        <w:ind w:left="0" w:right="1134"/>
        <w:rPr>
          <w:rFonts w:cs="FrankRuehl" w:hint="cs"/>
          <w:vanish/>
          <w:szCs w:val="20"/>
          <w:shd w:val="clear" w:color="auto" w:fill="FFFF99"/>
          <w:rtl/>
        </w:rPr>
      </w:pPr>
      <w:r w:rsidRPr="00DF2669">
        <w:rPr>
          <w:rFonts w:cs="FrankRuehl" w:hint="cs"/>
          <w:vanish/>
          <w:szCs w:val="20"/>
          <w:shd w:val="clear" w:color="auto" w:fill="FFFF99"/>
          <w:rtl/>
        </w:rPr>
        <w:t>הנוסח הקודם:</w:t>
      </w:r>
    </w:p>
    <w:p w14:paraId="317A2A27" w14:textId="77777777" w:rsidR="002566A0" w:rsidRPr="00DF2669" w:rsidRDefault="002566A0" w:rsidP="002566A0">
      <w:pPr>
        <w:pStyle w:val="P00"/>
        <w:spacing w:before="20"/>
        <w:ind w:left="0" w:right="1134"/>
        <w:rPr>
          <w:rFonts w:cs="Miriam" w:hint="cs"/>
          <w:strike/>
          <w:vanish/>
          <w:sz w:val="16"/>
          <w:szCs w:val="16"/>
          <w:shd w:val="clear" w:color="auto" w:fill="FFFF99"/>
          <w:rtl/>
        </w:rPr>
      </w:pPr>
      <w:r w:rsidRPr="00DF2669">
        <w:rPr>
          <w:rFonts w:cs="Miriam" w:hint="cs"/>
          <w:strike/>
          <w:vanish/>
          <w:sz w:val="16"/>
          <w:szCs w:val="16"/>
          <w:shd w:val="clear" w:color="auto" w:fill="FFFF99"/>
          <w:rtl/>
        </w:rPr>
        <w:t>תשלום אגרות</w:t>
      </w:r>
    </w:p>
    <w:p w14:paraId="36AFDCC8" w14:textId="77777777" w:rsidR="006A07D8" w:rsidRPr="004D6059" w:rsidRDefault="006A07D8" w:rsidP="004D6059">
      <w:pPr>
        <w:pStyle w:val="P00"/>
        <w:spacing w:before="0"/>
        <w:ind w:left="0" w:right="1134"/>
        <w:rPr>
          <w:rFonts w:cs="FrankRuehl" w:hint="cs"/>
          <w:strike/>
          <w:sz w:val="2"/>
          <w:szCs w:val="2"/>
          <w:shd w:val="clear" w:color="auto" w:fill="FFFF99"/>
          <w:rtl/>
        </w:rPr>
      </w:pPr>
      <w:r w:rsidRPr="00DF2669">
        <w:rPr>
          <w:rFonts w:cs="FrankRuehl" w:hint="cs"/>
          <w:strike/>
          <w:vanish/>
          <w:sz w:val="22"/>
          <w:szCs w:val="22"/>
          <w:shd w:val="clear" w:color="auto" w:fill="FFFF99"/>
          <w:rtl/>
        </w:rPr>
        <w:t>4.</w:t>
      </w:r>
      <w:r w:rsidRPr="00DF2669">
        <w:rPr>
          <w:rFonts w:cs="FrankRuehl" w:hint="cs"/>
          <w:b/>
          <w:bCs/>
          <w:strike/>
          <w:vanish/>
          <w:sz w:val="22"/>
          <w:szCs w:val="22"/>
          <w:shd w:val="clear" w:color="auto" w:fill="FFFF99"/>
          <w:rtl/>
        </w:rPr>
        <w:tab/>
      </w:r>
      <w:r w:rsidRPr="00DF2669">
        <w:rPr>
          <w:rFonts w:cs="FrankRuehl" w:hint="cs"/>
          <w:strike/>
          <w:vanish/>
          <w:sz w:val="22"/>
          <w:szCs w:val="22"/>
          <w:shd w:val="clear" w:color="auto" w:fill="FFFF99"/>
          <w:rtl/>
        </w:rPr>
        <w:t>עם הגשת ההודעה על הבקשה, ישלם המערער בבית המשפט אגרה בסך 40 לירות.</w:t>
      </w:r>
      <w:bookmarkEnd w:id="4"/>
    </w:p>
    <w:p w14:paraId="13B5AA7E" w14:textId="77777777" w:rsidR="00835A66" w:rsidRDefault="00835A66">
      <w:pPr>
        <w:pStyle w:val="P00"/>
        <w:spacing w:before="72"/>
        <w:ind w:left="0" w:right="1134"/>
        <w:rPr>
          <w:rStyle w:val="default"/>
          <w:rFonts w:cs="FrankRuehl"/>
          <w:rtl/>
        </w:rPr>
      </w:pPr>
      <w:bookmarkStart w:id="5" w:name="Seif3"/>
      <w:bookmarkEnd w:id="5"/>
      <w:r>
        <w:rPr>
          <w:lang w:val="he-IL"/>
        </w:rPr>
        <w:pict w14:anchorId="518551D9">
          <v:rect id="_x0000_s1030" style="position:absolute;left:0;text-align:left;margin-left:464.5pt;margin-top:8.05pt;width:75.05pt;height:14.05pt;z-index:251658240" o:allowincell="f" filled="f" stroked="f" strokecolor="lime" strokeweight=".25pt">
            <v:textbox style="mso-next-textbox:#_x0000_s1030" inset="0,0,0,0">
              <w:txbxContent>
                <w:p w14:paraId="30B3BB8D" w14:textId="77777777" w:rsidR="00835A66" w:rsidRDefault="00835A66">
                  <w:pPr>
                    <w:spacing w:line="160" w:lineRule="exact"/>
                    <w:jc w:val="left"/>
                    <w:rPr>
                      <w:rFonts w:cs="Miriam"/>
                      <w:noProof/>
                      <w:sz w:val="18"/>
                      <w:szCs w:val="18"/>
                      <w:rtl/>
                    </w:rPr>
                  </w:pPr>
                  <w:r>
                    <w:rPr>
                      <w:rFonts w:cs="Miriam"/>
                      <w:sz w:val="18"/>
                      <w:szCs w:val="18"/>
                      <w:rtl/>
                    </w:rPr>
                    <w:t>הע</w:t>
                  </w:r>
                  <w:r>
                    <w:rPr>
                      <w:rFonts w:cs="Miriam" w:hint="cs"/>
                      <w:sz w:val="18"/>
                      <w:szCs w:val="18"/>
                      <w:rtl/>
                    </w:rPr>
                    <w:t>ברת חומר</w:t>
                  </w:r>
                </w:p>
              </w:txbxContent>
            </v:textbox>
            <w10:anchorlock/>
          </v:rect>
        </w:pict>
      </w:r>
      <w:r>
        <w:rPr>
          <w:rStyle w:val="big-number"/>
          <w:rFonts w:cs="Miriam"/>
          <w:rtl/>
        </w:rPr>
        <w:t>5.</w:t>
      </w:r>
      <w:r>
        <w:rPr>
          <w:rStyle w:val="big-number"/>
          <w:rFonts w:cs="Miriam"/>
          <w:rtl/>
        </w:rPr>
        <w:tab/>
      </w:r>
      <w:r>
        <w:rPr>
          <w:rStyle w:val="default"/>
          <w:rFonts w:cs="FrankRuehl"/>
          <w:rtl/>
        </w:rPr>
        <w:t>מש</w:t>
      </w:r>
      <w:r>
        <w:rPr>
          <w:rStyle w:val="default"/>
          <w:rFonts w:cs="FrankRuehl" w:hint="cs"/>
          <w:rtl/>
        </w:rPr>
        <w:t>הודיעו לועדת הרישוי או לועדת המשמעת, הכל לפי הענין, על הערעור, תעביר הועדה לבית המשפט כל חומר שהיא השתמשה בו בקשר לנושא הערעור, בצירוף החלטתה באותו ענין.</w:t>
      </w:r>
    </w:p>
    <w:p w14:paraId="3B5A6257" w14:textId="77777777" w:rsidR="00835A66" w:rsidRDefault="00835A66">
      <w:pPr>
        <w:pStyle w:val="P00"/>
        <w:spacing w:before="72"/>
        <w:ind w:left="0" w:right="1134"/>
        <w:rPr>
          <w:rStyle w:val="default"/>
          <w:rFonts w:cs="FrankRuehl" w:hint="cs"/>
          <w:rtl/>
        </w:rPr>
      </w:pPr>
      <w:bookmarkStart w:id="6" w:name="Seif4"/>
      <w:bookmarkEnd w:id="6"/>
      <w:r>
        <w:rPr>
          <w:lang w:val="he-IL"/>
        </w:rPr>
        <w:pict w14:anchorId="02A1E59A">
          <v:rect id="_x0000_s1031" style="position:absolute;left:0;text-align:left;margin-left:464.5pt;margin-top:8.05pt;width:75.05pt;height:14.75pt;z-index:251659264" o:allowincell="f" filled="f" stroked="f" strokecolor="lime" strokeweight=".25pt">
            <v:textbox inset="0,0,0,0">
              <w:txbxContent>
                <w:p w14:paraId="70DF8722" w14:textId="77777777" w:rsidR="00835A66" w:rsidRDefault="00835A66">
                  <w:pPr>
                    <w:spacing w:line="160" w:lineRule="exact"/>
                    <w:jc w:val="left"/>
                    <w:rPr>
                      <w:rFonts w:cs="Miriam"/>
                      <w:noProof/>
                      <w:sz w:val="18"/>
                      <w:szCs w:val="18"/>
                      <w:rtl/>
                    </w:rPr>
                  </w:pPr>
                  <w:r>
                    <w:rPr>
                      <w:rFonts w:cs="Miriam"/>
                      <w:sz w:val="18"/>
                      <w:szCs w:val="18"/>
                      <w:rtl/>
                    </w:rPr>
                    <w:t>המ</w:t>
                  </w:r>
                  <w:r>
                    <w:rPr>
                      <w:rFonts w:cs="Miriam" w:hint="cs"/>
                      <w:sz w:val="18"/>
                      <w:szCs w:val="18"/>
                      <w:rtl/>
                    </w:rPr>
                    <w:t>שיב בערעור</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שיב בערעור יהיה</w:t>
      </w:r>
      <w:r w:rsidR="000F2508">
        <w:rPr>
          <w:rStyle w:val="default"/>
          <w:rFonts w:cs="FrankRuehl"/>
          <w:rtl/>
        </w:rPr>
        <w:t xml:space="preserve"> –</w:t>
      </w:r>
    </w:p>
    <w:p w14:paraId="157B70C9" w14:textId="77777777" w:rsidR="00835A66" w:rsidRDefault="00835A66" w:rsidP="00DF2669">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 xml:space="preserve">ל החלטת ועדת הרישוי </w:t>
      </w:r>
      <w:r w:rsidR="00DF2669">
        <w:rPr>
          <w:rStyle w:val="default"/>
          <w:rFonts w:cs="FrankRuehl"/>
          <w:rtl/>
        </w:rPr>
        <w:t>–</w:t>
      </w:r>
      <w:r>
        <w:rPr>
          <w:rStyle w:val="default"/>
          <w:rFonts w:cs="FrankRuehl"/>
          <w:rtl/>
        </w:rPr>
        <w:t xml:space="preserve"> </w:t>
      </w:r>
      <w:r>
        <w:rPr>
          <w:rStyle w:val="default"/>
          <w:rFonts w:cs="FrankRuehl" w:hint="cs"/>
          <w:rtl/>
        </w:rPr>
        <w:t>ועדת הרישוי שנתנה את ההחלטה;</w:t>
      </w:r>
    </w:p>
    <w:p w14:paraId="3BA285F1" w14:textId="77777777" w:rsidR="00835A66" w:rsidRDefault="00835A66" w:rsidP="00DF2669">
      <w:pPr>
        <w:pStyle w:val="P22"/>
        <w:tabs>
          <w:tab w:val="left" w:pos="624"/>
          <w:tab w:val="left" w:pos="1021"/>
        </w:tabs>
        <w:spacing w:before="72"/>
        <w:ind w:left="624" w:right="1134"/>
        <w:rPr>
          <w:rStyle w:val="default"/>
          <w:rFonts w:cs="FrankRuehl" w:hint="cs"/>
          <w:rtl/>
        </w:rPr>
      </w:pPr>
      <w:r>
        <w:rPr>
          <w:rStyle w:val="default"/>
          <w:rFonts w:cs="FrankRuehl" w:hint="cs"/>
          <w:rtl/>
        </w:rPr>
        <w:t>(2)</w:t>
      </w:r>
      <w:r>
        <w:rPr>
          <w:rStyle w:val="default"/>
          <w:rFonts w:cs="FrankRuehl"/>
          <w:rtl/>
        </w:rPr>
        <w:tab/>
        <w:t>ע</w:t>
      </w:r>
      <w:r>
        <w:rPr>
          <w:rStyle w:val="default"/>
          <w:rFonts w:cs="FrankRuehl" w:hint="cs"/>
          <w:rtl/>
        </w:rPr>
        <w:t xml:space="preserve">ל החלטת ועדת המשמעת, לפי סעיף 29(א) לחוק </w:t>
      </w:r>
      <w:r w:rsidR="000F2508">
        <w:rPr>
          <w:rStyle w:val="default"/>
          <w:rFonts w:cs="FrankRuehl"/>
          <w:rtl/>
        </w:rPr>
        <w:t>–</w:t>
      </w:r>
    </w:p>
    <w:p w14:paraId="64F94DDC" w14:textId="77777777" w:rsidR="00835A66" w:rsidRDefault="00835A66" w:rsidP="00DF2669">
      <w:pPr>
        <w:pStyle w:val="P33"/>
        <w:tabs>
          <w:tab w:val="left" w:pos="624"/>
          <w:tab w:val="left" w:pos="1021"/>
          <w:tab w:val="left" w:pos="1474"/>
        </w:tabs>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קובל, כשאיננו המערער;</w:t>
      </w:r>
    </w:p>
    <w:p w14:paraId="4B2CCC8F" w14:textId="77777777" w:rsidR="00835A66" w:rsidRDefault="00835A66" w:rsidP="00DF2669">
      <w:pPr>
        <w:pStyle w:val="P33"/>
        <w:tabs>
          <w:tab w:val="left" w:pos="624"/>
          <w:tab w:val="left" w:pos="1021"/>
          <w:tab w:val="left" w:pos="1474"/>
        </w:tabs>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נאשם לפני ועדת המשמעת, כשאיננו המערער;</w:t>
      </w:r>
    </w:p>
    <w:p w14:paraId="10B06969" w14:textId="77777777" w:rsidR="00835A66" w:rsidRDefault="00835A66" w:rsidP="00DF2669">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t>ע</w:t>
      </w:r>
      <w:r>
        <w:rPr>
          <w:rStyle w:val="default"/>
          <w:rFonts w:cs="FrankRuehl" w:hint="cs"/>
          <w:rtl/>
        </w:rPr>
        <w:t xml:space="preserve">ל החלטת ועדת המשמעת לפי סעיף 29(ב) לחוק </w:t>
      </w:r>
      <w:r w:rsidR="00DF2669">
        <w:rPr>
          <w:rStyle w:val="default"/>
          <w:rFonts w:cs="FrankRuehl"/>
          <w:rtl/>
        </w:rPr>
        <w:t>–</w:t>
      </w:r>
      <w:r>
        <w:rPr>
          <w:rStyle w:val="default"/>
          <w:rFonts w:cs="FrankRuehl"/>
          <w:rtl/>
        </w:rPr>
        <w:t xml:space="preserve"> </w:t>
      </w:r>
      <w:r>
        <w:rPr>
          <w:rStyle w:val="default"/>
          <w:rFonts w:cs="FrankRuehl" w:hint="cs"/>
          <w:rtl/>
        </w:rPr>
        <w:t xml:space="preserve">היועץ המשפטי לממשלה או בא כוחו </w:t>
      </w:r>
      <w:r>
        <w:rPr>
          <w:rStyle w:val="default"/>
          <w:rFonts w:cs="FrankRuehl"/>
          <w:rtl/>
        </w:rPr>
        <w:t>וכ</w:t>
      </w:r>
      <w:r>
        <w:rPr>
          <w:rStyle w:val="default"/>
          <w:rFonts w:cs="FrankRuehl" w:hint="cs"/>
          <w:rtl/>
        </w:rPr>
        <w:t>ן החוקר הפרטי שנגדו הוגשה הקובלנה.</w:t>
      </w:r>
    </w:p>
    <w:p w14:paraId="5AC8A45B" w14:textId="77777777" w:rsidR="00835A66" w:rsidRDefault="00835A66" w:rsidP="000F2508">
      <w:pPr>
        <w:pStyle w:val="P00"/>
        <w:spacing w:before="72"/>
        <w:ind w:left="0" w:right="1134"/>
        <w:rPr>
          <w:rStyle w:val="default"/>
          <w:rFonts w:cs="FrankRuehl" w:hint="cs"/>
          <w:rtl/>
        </w:rPr>
      </w:pPr>
      <w:bookmarkStart w:id="7" w:name="Seif5"/>
      <w:bookmarkEnd w:id="7"/>
      <w:r>
        <w:rPr>
          <w:lang w:val="he-IL"/>
        </w:rPr>
        <w:pict w14:anchorId="17F1EA6A">
          <v:rect id="_x0000_s1032" style="position:absolute;left:0;text-align:left;margin-left:464.5pt;margin-top:8.05pt;width:75.05pt;height:13.95pt;z-index:251660288" o:allowincell="f" filled="f" stroked="f" strokecolor="lime" strokeweight=".25pt">
            <v:textbox inset="0,0,0,0">
              <w:txbxContent>
                <w:p w14:paraId="7EEC9647" w14:textId="77777777" w:rsidR="00835A66" w:rsidRDefault="00835A6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לת</w:t>
      </w:r>
      <w:r>
        <w:rPr>
          <w:rStyle w:val="default"/>
          <w:rFonts w:cs="FrankRuehl" w:hint="cs"/>
          <w:rtl/>
        </w:rPr>
        <w:t>קנות אלה ייקרא "תקנות חוקרים פרטיים ושירותי שמירה (ערעור לבית המשפט המחוזי), תשל"ב</w:t>
      </w:r>
      <w:r w:rsidR="000F2508">
        <w:rPr>
          <w:rStyle w:val="default"/>
          <w:rFonts w:cs="FrankRuehl" w:hint="cs"/>
          <w:rtl/>
        </w:rPr>
        <w:t>-</w:t>
      </w:r>
      <w:r>
        <w:rPr>
          <w:rStyle w:val="default"/>
          <w:rFonts w:cs="FrankRuehl"/>
          <w:rtl/>
        </w:rPr>
        <w:t>1972".</w:t>
      </w:r>
    </w:p>
    <w:p w14:paraId="5E560E46" w14:textId="77777777" w:rsidR="000F2508" w:rsidRDefault="000F2508">
      <w:pPr>
        <w:pStyle w:val="P00"/>
        <w:spacing w:before="72"/>
        <w:ind w:left="0" w:right="1134"/>
        <w:rPr>
          <w:rStyle w:val="default"/>
          <w:rFonts w:cs="FrankRuehl" w:hint="cs"/>
          <w:rtl/>
        </w:rPr>
      </w:pPr>
    </w:p>
    <w:p w14:paraId="266E7DC1" w14:textId="77777777" w:rsidR="00835A66" w:rsidRPr="00DF2669" w:rsidRDefault="00835A66" w:rsidP="00DF2669">
      <w:pPr>
        <w:pStyle w:val="medium2-header"/>
        <w:keepLines w:val="0"/>
        <w:spacing w:before="72"/>
        <w:ind w:left="0" w:right="1134"/>
        <w:rPr>
          <w:rFonts w:cs="FrankRuehl"/>
          <w:noProof/>
          <w:rtl/>
        </w:rPr>
      </w:pPr>
      <w:bookmarkStart w:id="8" w:name="med0"/>
      <w:bookmarkEnd w:id="8"/>
      <w:r w:rsidRPr="00DF2669">
        <w:rPr>
          <w:rFonts w:cs="FrankRuehl"/>
          <w:noProof/>
          <w:rtl/>
        </w:rPr>
        <w:pict w14:anchorId="36BA9118">
          <v:shapetype id="_x0000_t202" coordsize="21600,21600" o:spt="202" path="m,l,21600r21600,l21600,xe">
            <v:stroke joinstyle="miter"/>
            <v:path gradientshapeok="t" o:connecttype="rect"/>
          </v:shapetype>
          <v:shape id="_x0000_s1033" type="#_x0000_t202" style="position:absolute;left:0;text-align:left;margin-left:470.35pt;margin-top:7.1pt;width:1in;height:13.9pt;z-index:251661312" filled="f" stroked="f">
            <v:textbox inset="1mm,0,1mm,0">
              <w:txbxContent>
                <w:p w14:paraId="321EDDF0" w14:textId="77777777" w:rsidR="00835A66" w:rsidRDefault="00835A66">
                  <w:pPr>
                    <w:spacing w:line="160" w:lineRule="exact"/>
                    <w:jc w:val="left"/>
                    <w:rPr>
                      <w:rFonts w:cs="Miriam" w:hint="cs"/>
                      <w:sz w:val="18"/>
                      <w:szCs w:val="18"/>
                      <w:rtl/>
                    </w:rPr>
                  </w:pPr>
                  <w:r>
                    <w:rPr>
                      <w:rFonts w:cs="Miriam" w:hint="cs"/>
                      <w:sz w:val="18"/>
                      <w:szCs w:val="18"/>
                      <w:rtl/>
                    </w:rPr>
                    <w:t>תק' תשס"ב-2002</w:t>
                  </w:r>
                </w:p>
              </w:txbxContent>
            </v:textbox>
            <w10:anchorlock/>
          </v:shape>
        </w:pict>
      </w:r>
      <w:r w:rsidRPr="00DF2669">
        <w:rPr>
          <w:rFonts w:cs="FrankRuehl"/>
          <w:noProof/>
          <w:rtl/>
        </w:rPr>
        <w:t>תו</w:t>
      </w:r>
      <w:r w:rsidRPr="00DF2669">
        <w:rPr>
          <w:rFonts w:cs="FrankRuehl" w:hint="cs"/>
          <w:noProof/>
          <w:rtl/>
        </w:rPr>
        <w:t>ספת</w:t>
      </w:r>
    </w:p>
    <w:p w14:paraId="77DB2549" w14:textId="77777777" w:rsidR="00835A66" w:rsidRPr="000F2508" w:rsidRDefault="00835A66">
      <w:pPr>
        <w:pStyle w:val="P11"/>
        <w:spacing w:before="72"/>
        <w:ind w:left="-3" w:right="1134"/>
        <w:jc w:val="center"/>
        <w:rPr>
          <w:rStyle w:val="default"/>
          <w:rFonts w:cs="FrankRuehl" w:hint="cs"/>
          <w:sz w:val="24"/>
          <w:szCs w:val="24"/>
          <w:rtl/>
        </w:rPr>
      </w:pPr>
      <w:r w:rsidRPr="000F2508">
        <w:rPr>
          <w:rStyle w:val="default"/>
          <w:rFonts w:cs="FrankRuehl" w:hint="cs"/>
          <w:sz w:val="24"/>
          <w:szCs w:val="24"/>
          <w:rtl/>
        </w:rPr>
        <w:t>(בוטלה)</w:t>
      </w:r>
    </w:p>
    <w:p w14:paraId="2D3248FF" w14:textId="77777777" w:rsidR="000F2508" w:rsidRDefault="000F2508" w:rsidP="000F2508">
      <w:pPr>
        <w:pStyle w:val="P00"/>
        <w:spacing w:before="72"/>
        <w:ind w:left="0" w:right="1134"/>
        <w:rPr>
          <w:rStyle w:val="default"/>
          <w:rFonts w:cs="FrankRuehl" w:hint="cs"/>
          <w:rtl/>
        </w:rPr>
      </w:pPr>
    </w:p>
    <w:p w14:paraId="7D2732A1" w14:textId="77777777" w:rsidR="000F2508" w:rsidRDefault="000F2508" w:rsidP="000F2508">
      <w:pPr>
        <w:pStyle w:val="P00"/>
        <w:spacing w:before="72"/>
        <w:ind w:left="0" w:right="1134"/>
        <w:rPr>
          <w:rStyle w:val="default"/>
          <w:rFonts w:cs="FrankRuehl" w:hint="cs"/>
          <w:rtl/>
        </w:rPr>
      </w:pPr>
    </w:p>
    <w:p w14:paraId="63CE3C14" w14:textId="77777777" w:rsidR="00835A66" w:rsidRPr="000F2508" w:rsidRDefault="00835A66" w:rsidP="00DF2669">
      <w:pPr>
        <w:pStyle w:val="sig-1"/>
        <w:widowControl/>
        <w:tabs>
          <w:tab w:val="clear" w:pos="851"/>
          <w:tab w:val="clear" w:pos="2835"/>
          <w:tab w:val="clear" w:pos="4820"/>
          <w:tab w:val="center" w:pos="5670"/>
        </w:tabs>
        <w:spacing w:before="72"/>
        <w:ind w:left="0" w:right="1134"/>
        <w:rPr>
          <w:rFonts w:cs="FrankRuehl"/>
          <w:sz w:val="26"/>
          <w:szCs w:val="26"/>
          <w:rtl/>
        </w:rPr>
      </w:pPr>
      <w:r w:rsidRPr="000F2508">
        <w:rPr>
          <w:rFonts w:cs="FrankRuehl"/>
          <w:sz w:val="26"/>
          <w:szCs w:val="26"/>
          <w:rtl/>
        </w:rPr>
        <w:t xml:space="preserve">כ' </w:t>
      </w:r>
      <w:r w:rsidRPr="000F2508">
        <w:rPr>
          <w:rFonts w:cs="FrankRuehl" w:hint="cs"/>
          <w:sz w:val="26"/>
          <w:szCs w:val="26"/>
          <w:rtl/>
        </w:rPr>
        <w:t>בתמוז תשל"ב (2 ביולי 1972)</w:t>
      </w:r>
      <w:r w:rsidRPr="000F2508">
        <w:rPr>
          <w:rFonts w:cs="FrankRuehl"/>
          <w:sz w:val="26"/>
          <w:szCs w:val="26"/>
          <w:rtl/>
        </w:rPr>
        <w:tab/>
        <w:t>י</w:t>
      </w:r>
      <w:r w:rsidRPr="000F2508">
        <w:rPr>
          <w:rFonts w:cs="FrankRuehl" w:hint="cs"/>
          <w:sz w:val="26"/>
          <w:szCs w:val="26"/>
          <w:rtl/>
        </w:rPr>
        <w:t>גאל אלון</w:t>
      </w:r>
    </w:p>
    <w:p w14:paraId="79E3B330" w14:textId="77777777" w:rsidR="00835A66" w:rsidRDefault="00835A66" w:rsidP="00DF2669">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מ</w:t>
      </w:r>
      <w:r>
        <w:rPr>
          <w:rFonts w:cs="FrankRuehl" w:hint="cs"/>
          <w:sz w:val="22"/>
          <w:rtl/>
        </w:rPr>
        <w:t>מלא מקום ראש הממשלה ושר המשפטים</w:t>
      </w:r>
    </w:p>
    <w:p w14:paraId="2F5E362B" w14:textId="77777777" w:rsidR="00835A66" w:rsidRPr="000F2508" w:rsidRDefault="00835A66" w:rsidP="000F2508">
      <w:pPr>
        <w:pStyle w:val="P00"/>
        <w:spacing w:before="72"/>
        <w:ind w:left="0" w:right="1134"/>
        <w:rPr>
          <w:rStyle w:val="default"/>
          <w:rFonts w:cs="FrankRuehl" w:hint="cs"/>
          <w:rtl/>
        </w:rPr>
      </w:pPr>
    </w:p>
    <w:p w14:paraId="4C50E1AB" w14:textId="77777777" w:rsidR="000F2508" w:rsidRPr="000F2508" w:rsidRDefault="000F2508" w:rsidP="000F2508">
      <w:pPr>
        <w:pStyle w:val="P00"/>
        <w:spacing w:before="72"/>
        <w:ind w:left="0" w:right="1134"/>
        <w:rPr>
          <w:rStyle w:val="default"/>
          <w:rFonts w:cs="FrankRuehl" w:hint="cs"/>
          <w:rtl/>
        </w:rPr>
      </w:pPr>
    </w:p>
    <w:p w14:paraId="55EE32FD" w14:textId="77777777" w:rsidR="00503796" w:rsidRDefault="00503796" w:rsidP="000F2508">
      <w:pPr>
        <w:pStyle w:val="P00"/>
        <w:spacing w:before="72"/>
        <w:ind w:left="0" w:right="1134"/>
        <w:rPr>
          <w:rStyle w:val="default"/>
          <w:rFonts w:cs="FrankRuehl"/>
          <w:rtl/>
        </w:rPr>
      </w:pPr>
    </w:p>
    <w:p w14:paraId="2E26F3E5" w14:textId="77777777" w:rsidR="00503796" w:rsidRDefault="00503796" w:rsidP="000F2508">
      <w:pPr>
        <w:pStyle w:val="P00"/>
        <w:spacing w:before="72"/>
        <w:ind w:left="0" w:right="1134"/>
        <w:rPr>
          <w:rStyle w:val="default"/>
          <w:rFonts w:cs="FrankRuehl"/>
          <w:rtl/>
        </w:rPr>
      </w:pPr>
    </w:p>
    <w:p w14:paraId="276765D2" w14:textId="77777777" w:rsidR="00503796" w:rsidRDefault="00503796" w:rsidP="00503796">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44B9E3A9" w14:textId="77777777" w:rsidR="000F2508" w:rsidRPr="00503796" w:rsidRDefault="000F2508" w:rsidP="00503796">
      <w:pPr>
        <w:pStyle w:val="P00"/>
        <w:spacing w:before="72"/>
        <w:ind w:left="0" w:right="1134"/>
        <w:jc w:val="center"/>
        <w:rPr>
          <w:rStyle w:val="default"/>
          <w:rFonts w:cs="David"/>
          <w:color w:val="0000FF"/>
          <w:szCs w:val="24"/>
          <w:u w:val="single"/>
          <w:rtl/>
        </w:rPr>
      </w:pPr>
    </w:p>
    <w:sectPr w:rsidR="000F2508" w:rsidRPr="00503796">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1F431" w14:textId="77777777" w:rsidR="00947DFA" w:rsidRDefault="00947DFA">
      <w:r>
        <w:separator/>
      </w:r>
    </w:p>
  </w:endnote>
  <w:endnote w:type="continuationSeparator" w:id="0">
    <w:p w14:paraId="6665B392" w14:textId="77777777" w:rsidR="00947DFA" w:rsidRDefault="00947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F4DB" w14:textId="77777777" w:rsidR="00835A66" w:rsidRDefault="00835A6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F471F4B" w14:textId="77777777" w:rsidR="00835A66" w:rsidRDefault="00835A6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6886C41" w14:textId="77777777" w:rsidR="00835A66" w:rsidRDefault="00835A6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2508">
      <w:rPr>
        <w:rFonts w:cs="TopType Jerushalmi"/>
        <w:noProof/>
        <w:color w:val="000000"/>
        <w:sz w:val="14"/>
        <w:szCs w:val="14"/>
      </w:rPr>
      <w:t>D:\Yael\hakika\Revadim\147_004.doc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44492" w14:textId="77777777" w:rsidR="00835A66" w:rsidRDefault="00835A6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03796">
      <w:rPr>
        <w:rFonts w:hAnsi="FrankRuehl" w:cs="FrankRuehl"/>
        <w:noProof/>
        <w:sz w:val="24"/>
        <w:szCs w:val="24"/>
        <w:rtl/>
      </w:rPr>
      <w:t>2</w:t>
    </w:r>
    <w:r>
      <w:rPr>
        <w:rFonts w:hAnsi="FrankRuehl" w:cs="FrankRuehl"/>
        <w:sz w:val="24"/>
        <w:szCs w:val="24"/>
        <w:rtl/>
      </w:rPr>
      <w:fldChar w:fldCharType="end"/>
    </w:r>
  </w:p>
  <w:p w14:paraId="3C475C26" w14:textId="77777777" w:rsidR="00835A66" w:rsidRDefault="00835A6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A6DFBF" w14:textId="77777777" w:rsidR="00835A66" w:rsidRDefault="00835A6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F2508">
      <w:rPr>
        <w:rFonts w:cs="TopType Jerushalmi"/>
        <w:noProof/>
        <w:color w:val="000000"/>
        <w:sz w:val="14"/>
        <w:szCs w:val="14"/>
      </w:rPr>
      <w:t>D:\Yael\hakika\Revadim\147_004.doc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131F" w14:textId="77777777" w:rsidR="00947DFA" w:rsidRDefault="00947DFA" w:rsidP="000F2508">
      <w:pPr>
        <w:spacing w:before="60" w:line="240" w:lineRule="auto"/>
        <w:ind w:right="1134"/>
      </w:pPr>
      <w:r>
        <w:separator/>
      </w:r>
    </w:p>
  </w:footnote>
  <w:footnote w:type="continuationSeparator" w:id="0">
    <w:p w14:paraId="52473D4D" w14:textId="77777777" w:rsidR="00947DFA" w:rsidRDefault="00947DFA">
      <w:r>
        <w:continuationSeparator/>
      </w:r>
    </w:p>
  </w:footnote>
  <w:footnote w:id="1">
    <w:p w14:paraId="7FD00923" w14:textId="77777777" w:rsidR="000F2508" w:rsidRDefault="000F2508" w:rsidP="000F2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0F2508">
        <w:rPr>
          <w:rFonts w:cs="FrankRuehl"/>
          <w:rtl/>
        </w:rPr>
        <w:t xml:space="preserve">* </w:t>
      </w:r>
      <w:r>
        <w:rPr>
          <w:rFonts w:cs="FrankRuehl"/>
          <w:rtl/>
        </w:rPr>
        <w:t>פו</w:t>
      </w:r>
      <w:r>
        <w:rPr>
          <w:rFonts w:cs="FrankRuehl" w:hint="cs"/>
          <w:rtl/>
        </w:rPr>
        <w:t xml:space="preserve">רסמו </w:t>
      </w:r>
      <w:hyperlink r:id="rId1" w:history="1">
        <w:r w:rsidRPr="00FD1B2C">
          <w:rPr>
            <w:rStyle w:val="Hyperlink"/>
            <w:rFonts w:cs="FrankRuehl" w:hint="cs"/>
            <w:rtl/>
          </w:rPr>
          <w:t>ק"ת תש</w:t>
        </w:r>
        <w:r w:rsidRPr="00FD1B2C">
          <w:rPr>
            <w:rStyle w:val="Hyperlink"/>
            <w:rFonts w:cs="FrankRuehl" w:hint="cs"/>
            <w:rtl/>
          </w:rPr>
          <w:t>ל</w:t>
        </w:r>
        <w:r w:rsidRPr="00FD1B2C">
          <w:rPr>
            <w:rStyle w:val="Hyperlink"/>
            <w:rFonts w:cs="FrankRuehl" w:hint="cs"/>
            <w:rtl/>
          </w:rPr>
          <w:t>"ב מס' 2873</w:t>
        </w:r>
      </w:hyperlink>
      <w:r>
        <w:rPr>
          <w:rFonts w:cs="FrankRuehl" w:hint="cs"/>
          <w:rtl/>
        </w:rPr>
        <w:t xml:space="preserve"> 13.7.1972 עמ' 1416.</w:t>
      </w:r>
    </w:p>
    <w:p w14:paraId="6AFB80B1" w14:textId="77777777" w:rsidR="000F2508" w:rsidRPr="000F2508" w:rsidRDefault="000F2508" w:rsidP="000F25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FD1B2C">
          <w:rPr>
            <w:rStyle w:val="Hyperlink"/>
            <w:rFonts w:cs="FrankRuehl" w:hint="cs"/>
            <w:rtl/>
          </w:rPr>
          <w:t>ק"ת תשס"ב מס' 6193</w:t>
        </w:r>
      </w:hyperlink>
      <w:r>
        <w:rPr>
          <w:rFonts w:cs="FrankRuehl" w:hint="cs"/>
          <w:rtl/>
        </w:rPr>
        <w:t xml:space="preserve"> מיום 26.8.2002 עמ' 1268 </w:t>
      </w:r>
      <w:r>
        <w:rPr>
          <w:rFonts w:cs="FrankRuehl"/>
          <w:rtl/>
        </w:rPr>
        <w:t>–</w:t>
      </w:r>
      <w:r>
        <w:rPr>
          <w:rFonts w:cs="FrankRuehl" w:hint="cs"/>
          <w:rtl/>
        </w:rPr>
        <w:t xml:space="preserve"> תק' תשס"ב-2002; תחילתן שלושים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922CA" w14:textId="77777777" w:rsidR="00835A66" w:rsidRDefault="00835A6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חוקרים פרטיים ושירותי שמירה (ערעור לבית המשפט המחוזי), תשל"ב–1972</w:t>
    </w:r>
  </w:p>
  <w:p w14:paraId="27787879" w14:textId="77777777" w:rsidR="00835A66" w:rsidRDefault="00835A6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B292AC" w14:textId="77777777" w:rsidR="00835A66" w:rsidRDefault="00835A6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FFB0" w14:textId="77777777" w:rsidR="00835A66" w:rsidRDefault="00835A66" w:rsidP="000F250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חוקרים פרטיים ושירותי שמירה (ערעור לבית המשפט המחוזי), תשל"ב</w:t>
    </w:r>
    <w:r w:rsidR="000F2508">
      <w:rPr>
        <w:rFonts w:hAnsi="FrankRuehl" w:cs="FrankRuehl" w:hint="cs"/>
        <w:color w:val="000000"/>
        <w:sz w:val="28"/>
        <w:szCs w:val="28"/>
        <w:rtl/>
      </w:rPr>
      <w:t>-</w:t>
    </w:r>
    <w:r>
      <w:rPr>
        <w:rFonts w:hAnsi="FrankRuehl" w:cs="FrankRuehl"/>
        <w:color w:val="000000"/>
        <w:sz w:val="28"/>
        <w:szCs w:val="28"/>
        <w:rtl/>
      </w:rPr>
      <w:t>1972</w:t>
    </w:r>
  </w:p>
  <w:p w14:paraId="2BCCCB8B" w14:textId="77777777" w:rsidR="00835A66" w:rsidRDefault="00835A6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A96DB5" w14:textId="77777777" w:rsidR="00835A66" w:rsidRDefault="00835A6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3682"/>
    <w:rsid w:val="00012386"/>
    <w:rsid w:val="000F2508"/>
    <w:rsid w:val="001A3682"/>
    <w:rsid w:val="002566A0"/>
    <w:rsid w:val="003B0E98"/>
    <w:rsid w:val="003F0DEE"/>
    <w:rsid w:val="004C0B78"/>
    <w:rsid w:val="004D6059"/>
    <w:rsid w:val="00503796"/>
    <w:rsid w:val="005E7670"/>
    <w:rsid w:val="006A07D8"/>
    <w:rsid w:val="006C3D89"/>
    <w:rsid w:val="00835A66"/>
    <w:rsid w:val="00947DFA"/>
    <w:rsid w:val="009B7DA5"/>
    <w:rsid w:val="00A31C89"/>
    <w:rsid w:val="00A503F0"/>
    <w:rsid w:val="00A57B31"/>
    <w:rsid w:val="00A85FF3"/>
    <w:rsid w:val="00AF6568"/>
    <w:rsid w:val="00BF7016"/>
    <w:rsid w:val="00C514E4"/>
    <w:rsid w:val="00DC5FAF"/>
    <w:rsid w:val="00DF2669"/>
    <w:rsid w:val="00ED46C3"/>
    <w:rsid w:val="00FD1B2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0BF97BF"/>
  <w15:chartTrackingRefBased/>
  <w15:docId w15:val="{53A8D882-A006-46B0-9762-D455162B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2566A0"/>
    <w:rPr>
      <w:color w:val="800080"/>
      <w:u w:val="single"/>
    </w:rPr>
  </w:style>
  <w:style w:type="paragraph" w:styleId="a5">
    <w:name w:val="footnote text"/>
    <w:basedOn w:val="a"/>
    <w:semiHidden/>
    <w:rsid w:val="000F2508"/>
    <w:rPr>
      <w:sz w:val="20"/>
      <w:szCs w:val="20"/>
    </w:rPr>
  </w:style>
  <w:style w:type="character" w:styleId="a6">
    <w:name w:val="footnote reference"/>
    <w:basedOn w:val="a0"/>
    <w:semiHidden/>
    <w:rsid w:val="000F2508"/>
    <w:rPr>
      <w:vertAlign w:val="superscript"/>
    </w:rPr>
  </w:style>
  <w:style w:type="paragraph" w:customStyle="1" w:styleId="medium2-header">
    <w:name w:val="medium2-header"/>
    <w:basedOn w:val="medium-header"/>
    <w:rsid w:val="00DF2669"/>
    <w:pPr>
      <w:spacing w:before="240"/>
    </w:pPr>
    <w:rPr>
      <w:bCs/>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193.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193.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193.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193.pdf" TargetMode="External"/><Relationship Id="rId1" Type="http://schemas.openxmlformats.org/officeDocument/2006/relationships/hyperlink" Target="http://www.nevo.co.il/Law_word/law06/TAK-287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147</vt:lpstr>
    </vt:vector>
  </TitlesOfParts>
  <Company/>
  <LinksUpToDate>false</LinksUpToDate>
  <CharactersWithSpaces>3329</CharactersWithSpaces>
  <SharedDoc>false</SharedDoc>
  <HLinks>
    <vt:vector size="72" baseType="variant">
      <vt:variant>
        <vt:i4>393283</vt:i4>
      </vt:variant>
      <vt:variant>
        <vt:i4>45</vt:i4>
      </vt:variant>
      <vt:variant>
        <vt:i4>0</vt:i4>
      </vt:variant>
      <vt:variant>
        <vt:i4>5</vt:i4>
      </vt:variant>
      <vt:variant>
        <vt:lpwstr>http://www.nevo.co.il/advertisements/nevo-100.doc</vt:lpwstr>
      </vt:variant>
      <vt:variant>
        <vt:lpwstr/>
      </vt:variant>
      <vt:variant>
        <vt:i4>7733258</vt:i4>
      </vt:variant>
      <vt:variant>
        <vt:i4>42</vt:i4>
      </vt:variant>
      <vt:variant>
        <vt:i4>0</vt:i4>
      </vt:variant>
      <vt:variant>
        <vt:i4>5</vt:i4>
      </vt:variant>
      <vt:variant>
        <vt:lpwstr>http://www.nevo.co.il/Law_word/law06/TAK-6193.pdf</vt:lpwstr>
      </vt:variant>
      <vt:variant>
        <vt:lpwstr/>
      </vt:variant>
      <vt:variant>
        <vt:i4>7733258</vt:i4>
      </vt:variant>
      <vt:variant>
        <vt:i4>39</vt:i4>
      </vt:variant>
      <vt:variant>
        <vt:i4>0</vt:i4>
      </vt:variant>
      <vt:variant>
        <vt:i4>5</vt:i4>
      </vt:variant>
      <vt:variant>
        <vt:lpwstr>http://www.nevo.co.il/Law_word/law06/TAK-6193.pdf</vt:lpwstr>
      </vt:variant>
      <vt:variant>
        <vt:lpwstr/>
      </vt:variant>
      <vt:variant>
        <vt:i4>7733258</vt:i4>
      </vt:variant>
      <vt:variant>
        <vt:i4>36</vt:i4>
      </vt:variant>
      <vt:variant>
        <vt:i4>0</vt:i4>
      </vt:variant>
      <vt:variant>
        <vt:i4>5</vt:i4>
      </vt:variant>
      <vt:variant>
        <vt:lpwstr>http://www.nevo.co.il/Law_word/law06/TAK-6193.pdf</vt:lpwstr>
      </vt:variant>
      <vt:variant>
        <vt:lpwstr/>
      </vt:variant>
      <vt:variant>
        <vt:i4>5570569</vt:i4>
      </vt:variant>
      <vt:variant>
        <vt:i4>30</vt:i4>
      </vt:variant>
      <vt:variant>
        <vt:i4>0</vt:i4>
      </vt:variant>
      <vt:variant>
        <vt:i4>5</vt:i4>
      </vt:variant>
      <vt:variant>
        <vt:lpwstr/>
      </vt:variant>
      <vt:variant>
        <vt:lpwstr>med0</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7733258</vt:i4>
      </vt:variant>
      <vt:variant>
        <vt:i4>3</vt:i4>
      </vt:variant>
      <vt:variant>
        <vt:i4>0</vt:i4>
      </vt:variant>
      <vt:variant>
        <vt:i4>5</vt:i4>
      </vt:variant>
      <vt:variant>
        <vt:lpwstr>http://www.nevo.co.il/Law_word/law06/TAK-6193.pdf</vt:lpwstr>
      </vt:variant>
      <vt:variant>
        <vt:lpwstr/>
      </vt:variant>
      <vt:variant>
        <vt:i4>8126467</vt:i4>
      </vt:variant>
      <vt:variant>
        <vt:i4>0</vt:i4>
      </vt:variant>
      <vt:variant>
        <vt:i4>0</vt:i4>
      </vt:variant>
      <vt:variant>
        <vt:i4>5</vt:i4>
      </vt:variant>
      <vt:variant>
        <vt:lpwstr>http://www.nevo.co.il/Law_word/law06/TAK-2873.pdf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0147</vt:lpwstr>
  </property>
  <property fmtid="{D5CDD505-2E9C-101B-9397-08002B2CF9AE}" pid="3" name="CHNAME">
    <vt:lpwstr>חוקרים פרטיים ושירותי שמירה</vt:lpwstr>
  </property>
  <property fmtid="{D5CDD505-2E9C-101B-9397-08002B2CF9AE}" pid="4" name="LAWNAME">
    <vt:lpwstr>תקנות חוקרים פרטיים ושירותי שמירה (ערעור לבית המשפט המחוזי), תשל"ב-1972</vt:lpwstr>
  </property>
  <property fmtid="{D5CDD505-2E9C-101B-9397-08002B2CF9AE}" pid="5" name="LAWNUMBER">
    <vt:lpwstr>0004</vt:lpwstr>
  </property>
  <property fmtid="{D5CDD505-2E9C-101B-9397-08002B2CF9AE}" pid="6" name="TYPE">
    <vt:lpwstr>01</vt:lpwstr>
  </property>
  <property fmtid="{D5CDD505-2E9C-101B-9397-08002B2CF9AE}" pid="7" name="NOSE11">
    <vt:lpwstr>בטחון</vt:lpwstr>
  </property>
  <property fmtid="{D5CDD505-2E9C-101B-9397-08002B2CF9AE}" pid="8" name="NOSE21">
    <vt:lpwstr>חוקרים פרטיים ושמירה</vt:lpwstr>
  </property>
  <property fmtid="{D5CDD505-2E9C-101B-9397-08002B2CF9AE}" pid="9" name="NOSE31">
    <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הסדרת עיסוק</vt:lpwstr>
  </property>
  <property fmtid="{D5CDD505-2E9C-101B-9397-08002B2CF9AE}" pid="13" name="NOSE32">
    <vt:lpwstr>חוקרים פרטיים ושמירה</vt:lpwstr>
  </property>
  <property fmtid="{D5CDD505-2E9C-101B-9397-08002B2CF9AE}" pid="14" name="NOSE42">
    <vt:lpwstr/>
  </property>
  <property fmtid="{D5CDD505-2E9C-101B-9397-08002B2CF9AE}" pid="15" name="NOSE13">
    <vt:lpwstr>רשויות ומשפט מנהלי</vt:lpwstr>
  </property>
  <property fmtid="{D5CDD505-2E9C-101B-9397-08002B2CF9AE}" pid="16" name="NOSE23">
    <vt:lpwstr>הסדרת עיסוק</vt:lpwstr>
  </property>
  <property fmtid="{D5CDD505-2E9C-101B-9397-08002B2CF9AE}" pid="17" name="NOSE33">
    <vt:lpwstr>חוקרים פרטיים ושמירה</vt:lpwstr>
  </property>
  <property fmtid="{D5CDD505-2E9C-101B-9397-08002B2CF9AE}" pid="18" name="NOSE43">
    <vt:lpwstr/>
  </property>
  <property fmtid="{D5CDD505-2E9C-101B-9397-08002B2CF9AE}" pid="19" name="NOSE14">
    <vt:lpwstr>בתי משפט וסדרי דין</vt:lpwstr>
  </property>
  <property fmtid="{D5CDD505-2E9C-101B-9397-08002B2CF9AE}" pid="20" name="NOSE24">
    <vt:lpwstr>סדר דין אזרחי</vt:lpwstr>
  </property>
  <property fmtid="{D5CDD505-2E9C-101B-9397-08002B2CF9AE}" pid="21" name="NOSE34">
    <vt:lpwstr>ערעור על ועדות</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חוקרים פרטיים ושירותי שמירה</vt:lpwstr>
  </property>
  <property fmtid="{D5CDD505-2E9C-101B-9397-08002B2CF9AE}" pid="48" name="MEKOR_SAIF1">
    <vt:lpwstr>29X</vt:lpwstr>
  </property>
</Properties>
</file>