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14E1" w14:textId="77777777" w:rsidR="00CD332C" w:rsidRDefault="00CD332C" w:rsidP="005D688D">
      <w:pPr>
        <w:pStyle w:val="big-header"/>
        <w:ind w:left="0" w:right="1134"/>
        <w:rPr>
          <w:rFonts w:cs="FrankRuehl"/>
          <w:sz w:val="32"/>
        </w:rPr>
      </w:pPr>
      <w:r>
        <w:rPr>
          <w:rFonts w:cs="FrankRuehl"/>
          <w:sz w:val="32"/>
          <w:rtl/>
        </w:rPr>
        <w:t>תקנות חמרי נפץ (סדרי הדין לפני ועדת הערעור), תשי"ז</w:t>
      </w:r>
      <w:r w:rsidR="005D688D">
        <w:rPr>
          <w:rFonts w:cs="FrankRuehl" w:hint="cs"/>
          <w:sz w:val="32"/>
          <w:rtl/>
        </w:rPr>
        <w:t>-</w:t>
      </w:r>
      <w:r>
        <w:rPr>
          <w:rFonts w:cs="FrankRuehl"/>
          <w:sz w:val="32"/>
          <w:rtl/>
        </w:rPr>
        <w:t>1956</w:t>
      </w:r>
    </w:p>
    <w:p w14:paraId="7861CCBC" w14:textId="77777777" w:rsidR="005C51C1" w:rsidRPr="005C51C1" w:rsidRDefault="005C51C1" w:rsidP="005C51C1">
      <w:pPr>
        <w:spacing w:line="320" w:lineRule="auto"/>
        <w:jc w:val="left"/>
        <w:rPr>
          <w:rFonts w:cs="FrankRuehl"/>
          <w:szCs w:val="26"/>
          <w:rtl/>
        </w:rPr>
      </w:pPr>
    </w:p>
    <w:p w14:paraId="5AF82FB2" w14:textId="77777777" w:rsidR="005C51C1" w:rsidRDefault="005C51C1" w:rsidP="005C51C1">
      <w:pPr>
        <w:spacing w:line="320" w:lineRule="auto"/>
        <w:jc w:val="left"/>
        <w:rPr>
          <w:rtl/>
        </w:rPr>
      </w:pPr>
    </w:p>
    <w:p w14:paraId="7E4AB2FA" w14:textId="77777777" w:rsidR="005C51C1" w:rsidRDefault="005C51C1" w:rsidP="005C51C1">
      <w:pPr>
        <w:spacing w:line="320" w:lineRule="auto"/>
        <w:jc w:val="left"/>
        <w:rPr>
          <w:rFonts w:cs="FrankRuehl"/>
          <w:szCs w:val="26"/>
          <w:rtl/>
        </w:rPr>
      </w:pPr>
      <w:r w:rsidRPr="005C51C1">
        <w:rPr>
          <w:rFonts w:cs="Miriam"/>
          <w:szCs w:val="22"/>
          <w:rtl/>
        </w:rPr>
        <w:t>רשויות ומשפט מנהלי</w:t>
      </w:r>
      <w:r w:rsidRPr="005C51C1">
        <w:rPr>
          <w:rFonts w:cs="FrankRuehl"/>
          <w:szCs w:val="26"/>
          <w:rtl/>
        </w:rPr>
        <w:t xml:space="preserve"> – חומרי נפץ – ועדה – סדרי דין וערעור</w:t>
      </w:r>
    </w:p>
    <w:p w14:paraId="12C10F91" w14:textId="77777777" w:rsidR="005C51C1" w:rsidRPr="005C51C1" w:rsidRDefault="005C51C1" w:rsidP="005C51C1">
      <w:pPr>
        <w:spacing w:line="320" w:lineRule="auto"/>
        <w:jc w:val="left"/>
        <w:rPr>
          <w:rFonts w:cs="Miriam"/>
          <w:szCs w:val="22"/>
          <w:rtl/>
        </w:rPr>
      </w:pPr>
      <w:r w:rsidRPr="005C51C1">
        <w:rPr>
          <w:rFonts w:cs="Miriam"/>
          <w:szCs w:val="22"/>
          <w:rtl/>
        </w:rPr>
        <w:t>בתי משפט וסדרי דין</w:t>
      </w:r>
      <w:r w:rsidRPr="005C51C1">
        <w:rPr>
          <w:rFonts w:cs="FrankRuehl"/>
          <w:szCs w:val="26"/>
          <w:rtl/>
        </w:rPr>
        <w:t xml:space="preserve"> – סדר דין אזרחי – ערעור על ועדות</w:t>
      </w:r>
    </w:p>
    <w:p w14:paraId="137EF323" w14:textId="77777777" w:rsidR="00CD332C" w:rsidRDefault="00CD332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D332C" w14:paraId="668BC3A7" w14:textId="77777777">
        <w:tblPrEx>
          <w:tblCellMar>
            <w:top w:w="0" w:type="dxa"/>
            <w:bottom w:w="0" w:type="dxa"/>
          </w:tblCellMar>
        </w:tblPrEx>
        <w:tc>
          <w:tcPr>
            <w:tcW w:w="850" w:type="dxa"/>
          </w:tcPr>
          <w:p w14:paraId="084247CE"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D688D">
              <w:rPr>
                <w:noProof/>
                <w:sz w:val="24"/>
                <w:rtl/>
              </w:rPr>
              <w:t>2</w:t>
            </w:r>
            <w:r>
              <w:rPr>
                <w:sz w:val="24"/>
                <w:rtl/>
              </w:rPr>
              <w:fldChar w:fldCharType="end"/>
            </w:r>
          </w:p>
        </w:tc>
        <w:tc>
          <w:tcPr>
            <w:tcW w:w="567" w:type="dxa"/>
          </w:tcPr>
          <w:p w14:paraId="71C96540" w14:textId="77777777" w:rsidR="00CD332C" w:rsidRDefault="00CD332C">
            <w:pPr>
              <w:spacing w:line="240" w:lineRule="auto"/>
              <w:rPr>
                <w:sz w:val="24"/>
              </w:rPr>
            </w:pPr>
            <w:hyperlink w:anchor="Seif0" w:tooltip="הגדרות" w:history="1">
              <w:r>
                <w:rPr>
                  <w:rStyle w:val="Hyperlink"/>
                </w:rPr>
                <w:t>Go</w:t>
              </w:r>
            </w:hyperlink>
          </w:p>
        </w:tc>
        <w:tc>
          <w:tcPr>
            <w:tcW w:w="5669" w:type="dxa"/>
          </w:tcPr>
          <w:p w14:paraId="563E4A06" w14:textId="77777777" w:rsidR="00CD332C" w:rsidRDefault="00CD332C">
            <w:pPr>
              <w:spacing w:line="240" w:lineRule="auto"/>
              <w:rPr>
                <w:sz w:val="24"/>
                <w:rtl/>
              </w:rPr>
            </w:pPr>
            <w:r>
              <w:rPr>
                <w:sz w:val="24"/>
                <w:rtl/>
              </w:rPr>
              <w:t>הגדרות</w:t>
            </w:r>
          </w:p>
        </w:tc>
        <w:tc>
          <w:tcPr>
            <w:tcW w:w="1247" w:type="dxa"/>
          </w:tcPr>
          <w:p w14:paraId="2EAAB919" w14:textId="77777777" w:rsidR="00CD332C" w:rsidRDefault="00CD332C">
            <w:pPr>
              <w:spacing w:line="240" w:lineRule="auto"/>
              <w:rPr>
                <w:sz w:val="24"/>
              </w:rPr>
            </w:pPr>
            <w:r>
              <w:rPr>
                <w:sz w:val="24"/>
                <w:rtl/>
              </w:rPr>
              <w:t xml:space="preserve">סעיף 1 </w:t>
            </w:r>
          </w:p>
        </w:tc>
      </w:tr>
      <w:tr w:rsidR="00CD332C" w14:paraId="1BB11A4F" w14:textId="77777777">
        <w:tblPrEx>
          <w:tblCellMar>
            <w:top w:w="0" w:type="dxa"/>
            <w:bottom w:w="0" w:type="dxa"/>
          </w:tblCellMar>
        </w:tblPrEx>
        <w:tc>
          <w:tcPr>
            <w:tcW w:w="850" w:type="dxa"/>
          </w:tcPr>
          <w:p w14:paraId="1ADDDA20"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D688D">
              <w:rPr>
                <w:noProof/>
                <w:sz w:val="24"/>
                <w:rtl/>
              </w:rPr>
              <w:t>2</w:t>
            </w:r>
            <w:r>
              <w:rPr>
                <w:sz w:val="24"/>
                <w:rtl/>
              </w:rPr>
              <w:fldChar w:fldCharType="end"/>
            </w:r>
          </w:p>
        </w:tc>
        <w:tc>
          <w:tcPr>
            <w:tcW w:w="567" w:type="dxa"/>
          </w:tcPr>
          <w:p w14:paraId="4C05CC26" w14:textId="77777777" w:rsidR="00CD332C" w:rsidRDefault="00CD332C">
            <w:pPr>
              <w:spacing w:line="240" w:lineRule="auto"/>
              <w:rPr>
                <w:sz w:val="24"/>
              </w:rPr>
            </w:pPr>
            <w:hyperlink w:anchor="Seif1" w:tooltip="הגשת ערעור" w:history="1">
              <w:r>
                <w:rPr>
                  <w:rStyle w:val="Hyperlink"/>
                </w:rPr>
                <w:t>Go</w:t>
              </w:r>
            </w:hyperlink>
          </w:p>
        </w:tc>
        <w:tc>
          <w:tcPr>
            <w:tcW w:w="5669" w:type="dxa"/>
          </w:tcPr>
          <w:p w14:paraId="1575B56F" w14:textId="77777777" w:rsidR="00CD332C" w:rsidRDefault="00CD332C">
            <w:pPr>
              <w:spacing w:line="240" w:lineRule="auto"/>
              <w:rPr>
                <w:sz w:val="24"/>
                <w:rtl/>
              </w:rPr>
            </w:pPr>
            <w:r>
              <w:rPr>
                <w:sz w:val="24"/>
                <w:rtl/>
              </w:rPr>
              <w:t>הגשת ערעור</w:t>
            </w:r>
          </w:p>
        </w:tc>
        <w:tc>
          <w:tcPr>
            <w:tcW w:w="1247" w:type="dxa"/>
          </w:tcPr>
          <w:p w14:paraId="5FBE1ED1" w14:textId="77777777" w:rsidR="00CD332C" w:rsidRDefault="00CD332C">
            <w:pPr>
              <w:spacing w:line="240" w:lineRule="auto"/>
              <w:rPr>
                <w:sz w:val="24"/>
              </w:rPr>
            </w:pPr>
            <w:r>
              <w:rPr>
                <w:sz w:val="24"/>
                <w:rtl/>
              </w:rPr>
              <w:t xml:space="preserve">סעיף 2 </w:t>
            </w:r>
          </w:p>
        </w:tc>
      </w:tr>
      <w:tr w:rsidR="00CD332C" w14:paraId="0C606C8F" w14:textId="77777777">
        <w:tblPrEx>
          <w:tblCellMar>
            <w:top w:w="0" w:type="dxa"/>
            <w:bottom w:w="0" w:type="dxa"/>
          </w:tblCellMar>
        </w:tblPrEx>
        <w:tc>
          <w:tcPr>
            <w:tcW w:w="850" w:type="dxa"/>
          </w:tcPr>
          <w:p w14:paraId="744B0F21"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D688D">
              <w:rPr>
                <w:noProof/>
                <w:sz w:val="24"/>
                <w:rtl/>
              </w:rPr>
              <w:t>2</w:t>
            </w:r>
            <w:r>
              <w:rPr>
                <w:sz w:val="24"/>
                <w:rtl/>
              </w:rPr>
              <w:fldChar w:fldCharType="end"/>
            </w:r>
          </w:p>
        </w:tc>
        <w:tc>
          <w:tcPr>
            <w:tcW w:w="567" w:type="dxa"/>
          </w:tcPr>
          <w:p w14:paraId="7E905B4C" w14:textId="77777777" w:rsidR="00CD332C" w:rsidRDefault="00CD332C">
            <w:pPr>
              <w:spacing w:line="240" w:lineRule="auto"/>
              <w:rPr>
                <w:sz w:val="24"/>
              </w:rPr>
            </w:pPr>
            <w:hyperlink w:anchor="Seif2" w:tooltip="פרטי הודעת ערעור" w:history="1">
              <w:r>
                <w:rPr>
                  <w:rStyle w:val="Hyperlink"/>
                </w:rPr>
                <w:t>Go</w:t>
              </w:r>
            </w:hyperlink>
          </w:p>
        </w:tc>
        <w:tc>
          <w:tcPr>
            <w:tcW w:w="5669" w:type="dxa"/>
          </w:tcPr>
          <w:p w14:paraId="030B6B9F" w14:textId="77777777" w:rsidR="00CD332C" w:rsidRDefault="00CD332C">
            <w:pPr>
              <w:spacing w:line="240" w:lineRule="auto"/>
              <w:rPr>
                <w:sz w:val="24"/>
                <w:rtl/>
              </w:rPr>
            </w:pPr>
            <w:r>
              <w:rPr>
                <w:sz w:val="24"/>
                <w:rtl/>
              </w:rPr>
              <w:t>פרטי הודעת ערעור</w:t>
            </w:r>
          </w:p>
        </w:tc>
        <w:tc>
          <w:tcPr>
            <w:tcW w:w="1247" w:type="dxa"/>
          </w:tcPr>
          <w:p w14:paraId="682C73B9" w14:textId="77777777" w:rsidR="00CD332C" w:rsidRDefault="00CD332C">
            <w:pPr>
              <w:spacing w:line="240" w:lineRule="auto"/>
              <w:rPr>
                <w:sz w:val="24"/>
              </w:rPr>
            </w:pPr>
            <w:r>
              <w:rPr>
                <w:sz w:val="24"/>
                <w:rtl/>
              </w:rPr>
              <w:t xml:space="preserve">סעיף 3 </w:t>
            </w:r>
          </w:p>
        </w:tc>
      </w:tr>
      <w:tr w:rsidR="00CD332C" w14:paraId="2264F64A" w14:textId="77777777">
        <w:tblPrEx>
          <w:tblCellMar>
            <w:top w:w="0" w:type="dxa"/>
            <w:bottom w:w="0" w:type="dxa"/>
          </w:tblCellMar>
        </w:tblPrEx>
        <w:tc>
          <w:tcPr>
            <w:tcW w:w="850" w:type="dxa"/>
          </w:tcPr>
          <w:p w14:paraId="6A316717"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D688D">
              <w:rPr>
                <w:noProof/>
                <w:sz w:val="24"/>
                <w:rtl/>
              </w:rPr>
              <w:t>2</w:t>
            </w:r>
            <w:r>
              <w:rPr>
                <w:sz w:val="24"/>
                <w:rtl/>
              </w:rPr>
              <w:fldChar w:fldCharType="end"/>
            </w:r>
          </w:p>
        </w:tc>
        <w:tc>
          <w:tcPr>
            <w:tcW w:w="567" w:type="dxa"/>
          </w:tcPr>
          <w:p w14:paraId="044CBF97" w14:textId="77777777" w:rsidR="00CD332C" w:rsidRDefault="00CD332C">
            <w:pPr>
              <w:spacing w:line="240" w:lineRule="auto"/>
              <w:rPr>
                <w:sz w:val="24"/>
              </w:rPr>
            </w:pPr>
            <w:hyperlink w:anchor="Seif3" w:tooltip="מסירת העתקים" w:history="1">
              <w:r>
                <w:rPr>
                  <w:rStyle w:val="Hyperlink"/>
                </w:rPr>
                <w:t>Go</w:t>
              </w:r>
            </w:hyperlink>
          </w:p>
        </w:tc>
        <w:tc>
          <w:tcPr>
            <w:tcW w:w="5669" w:type="dxa"/>
          </w:tcPr>
          <w:p w14:paraId="0F5EBC5B" w14:textId="77777777" w:rsidR="00CD332C" w:rsidRDefault="00CD332C">
            <w:pPr>
              <w:spacing w:line="240" w:lineRule="auto"/>
              <w:rPr>
                <w:sz w:val="24"/>
                <w:rtl/>
              </w:rPr>
            </w:pPr>
            <w:r>
              <w:rPr>
                <w:sz w:val="24"/>
                <w:rtl/>
              </w:rPr>
              <w:t>מסירת העתקים</w:t>
            </w:r>
          </w:p>
        </w:tc>
        <w:tc>
          <w:tcPr>
            <w:tcW w:w="1247" w:type="dxa"/>
          </w:tcPr>
          <w:p w14:paraId="406CA0E3" w14:textId="77777777" w:rsidR="00CD332C" w:rsidRDefault="00CD332C">
            <w:pPr>
              <w:spacing w:line="240" w:lineRule="auto"/>
              <w:rPr>
                <w:sz w:val="24"/>
              </w:rPr>
            </w:pPr>
            <w:r>
              <w:rPr>
                <w:sz w:val="24"/>
                <w:rtl/>
              </w:rPr>
              <w:t xml:space="preserve">סעיף 4 </w:t>
            </w:r>
          </w:p>
        </w:tc>
      </w:tr>
      <w:tr w:rsidR="00CD332C" w14:paraId="43E2B43A" w14:textId="77777777">
        <w:tblPrEx>
          <w:tblCellMar>
            <w:top w:w="0" w:type="dxa"/>
            <w:bottom w:w="0" w:type="dxa"/>
          </w:tblCellMar>
        </w:tblPrEx>
        <w:tc>
          <w:tcPr>
            <w:tcW w:w="850" w:type="dxa"/>
          </w:tcPr>
          <w:p w14:paraId="164935D9"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D688D">
              <w:rPr>
                <w:noProof/>
                <w:sz w:val="24"/>
                <w:rtl/>
              </w:rPr>
              <w:t>2</w:t>
            </w:r>
            <w:r>
              <w:rPr>
                <w:sz w:val="24"/>
                <w:rtl/>
              </w:rPr>
              <w:fldChar w:fldCharType="end"/>
            </w:r>
          </w:p>
        </w:tc>
        <w:tc>
          <w:tcPr>
            <w:tcW w:w="567" w:type="dxa"/>
          </w:tcPr>
          <w:p w14:paraId="11A38BD1" w14:textId="77777777" w:rsidR="00CD332C" w:rsidRDefault="00CD332C">
            <w:pPr>
              <w:spacing w:line="240" w:lineRule="auto"/>
              <w:rPr>
                <w:sz w:val="24"/>
              </w:rPr>
            </w:pPr>
            <w:hyperlink w:anchor="Seif4" w:tooltip="תשובת המשיב 5." w:history="1">
              <w:r>
                <w:rPr>
                  <w:rStyle w:val="Hyperlink"/>
                </w:rPr>
                <w:t>Go</w:t>
              </w:r>
            </w:hyperlink>
          </w:p>
        </w:tc>
        <w:tc>
          <w:tcPr>
            <w:tcW w:w="5669" w:type="dxa"/>
          </w:tcPr>
          <w:p w14:paraId="4A379D6D" w14:textId="77777777" w:rsidR="00CD332C" w:rsidRDefault="00CD332C">
            <w:pPr>
              <w:spacing w:line="240" w:lineRule="auto"/>
              <w:rPr>
                <w:sz w:val="24"/>
                <w:rtl/>
              </w:rPr>
            </w:pPr>
            <w:r>
              <w:rPr>
                <w:sz w:val="24"/>
                <w:rtl/>
              </w:rPr>
              <w:t>תשובת המשיב 5.</w:t>
            </w:r>
          </w:p>
        </w:tc>
        <w:tc>
          <w:tcPr>
            <w:tcW w:w="1247" w:type="dxa"/>
          </w:tcPr>
          <w:p w14:paraId="529F49E5" w14:textId="77777777" w:rsidR="00CD332C" w:rsidRDefault="00CD332C">
            <w:pPr>
              <w:spacing w:line="240" w:lineRule="auto"/>
              <w:rPr>
                <w:sz w:val="24"/>
              </w:rPr>
            </w:pPr>
            <w:r>
              <w:rPr>
                <w:sz w:val="24"/>
                <w:rtl/>
              </w:rPr>
              <w:t xml:space="preserve">סעיף 6 </w:t>
            </w:r>
          </w:p>
        </w:tc>
      </w:tr>
      <w:tr w:rsidR="00CD332C" w14:paraId="2193D910" w14:textId="77777777">
        <w:tblPrEx>
          <w:tblCellMar>
            <w:top w:w="0" w:type="dxa"/>
            <w:bottom w:w="0" w:type="dxa"/>
          </w:tblCellMar>
        </w:tblPrEx>
        <w:tc>
          <w:tcPr>
            <w:tcW w:w="850" w:type="dxa"/>
          </w:tcPr>
          <w:p w14:paraId="6B28ED55"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1C25D509" w14:textId="77777777" w:rsidR="00CD332C" w:rsidRDefault="00CD332C">
            <w:pPr>
              <w:spacing w:line="240" w:lineRule="auto"/>
              <w:rPr>
                <w:sz w:val="24"/>
              </w:rPr>
            </w:pPr>
            <w:hyperlink w:anchor="Seif5" w:tooltip="קביעת מועד לשמיעת הערעור" w:history="1">
              <w:r>
                <w:rPr>
                  <w:rStyle w:val="Hyperlink"/>
                </w:rPr>
                <w:t>Go</w:t>
              </w:r>
            </w:hyperlink>
          </w:p>
        </w:tc>
        <w:tc>
          <w:tcPr>
            <w:tcW w:w="5669" w:type="dxa"/>
          </w:tcPr>
          <w:p w14:paraId="726A772F" w14:textId="77777777" w:rsidR="00CD332C" w:rsidRDefault="00CD332C">
            <w:pPr>
              <w:spacing w:line="240" w:lineRule="auto"/>
              <w:rPr>
                <w:sz w:val="24"/>
                <w:rtl/>
              </w:rPr>
            </w:pPr>
            <w:r>
              <w:rPr>
                <w:sz w:val="24"/>
                <w:rtl/>
              </w:rPr>
              <w:t>קביעת מועד לשמיעת הערעור</w:t>
            </w:r>
          </w:p>
        </w:tc>
        <w:tc>
          <w:tcPr>
            <w:tcW w:w="1247" w:type="dxa"/>
          </w:tcPr>
          <w:p w14:paraId="796B39C3" w14:textId="77777777" w:rsidR="00CD332C" w:rsidRDefault="00CD332C">
            <w:pPr>
              <w:spacing w:line="240" w:lineRule="auto"/>
              <w:rPr>
                <w:sz w:val="24"/>
              </w:rPr>
            </w:pPr>
            <w:r>
              <w:rPr>
                <w:sz w:val="24"/>
                <w:rtl/>
              </w:rPr>
              <w:t xml:space="preserve">סעיף 7 </w:t>
            </w:r>
          </w:p>
        </w:tc>
      </w:tr>
      <w:tr w:rsidR="00CD332C" w14:paraId="036112C2" w14:textId="77777777">
        <w:tblPrEx>
          <w:tblCellMar>
            <w:top w:w="0" w:type="dxa"/>
            <w:bottom w:w="0" w:type="dxa"/>
          </w:tblCellMar>
        </w:tblPrEx>
        <w:tc>
          <w:tcPr>
            <w:tcW w:w="850" w:type="dxa"/>
          </w:tcPr>
          <w:p w14:paraId="3FFB11F4"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1DECA0FF" w14:textId="77777777" w:rsidR="00CD332C" w:rsidRDefault="00CD332C">
            <w:pPr>
              <w:spacing w:line="240" w:lineRule="auto"/>
              <w:rPr>
                <w:sz w:val="24"/>
              </w:rPr>
            </w:pPr>
            <w:hyperlink w:anchor="Seif6" w:tooltip="התייצבות לחקירה שכנגד" w:history="1">
              <w:r>
                <w:rPr>
                  <w:rStyle w:val="Hyperlink"/>
                </w:rPr>
                <w:t>Go</w:t>
              </w:r>
            </w:hyperlink>
          </w:p>
        </w:tc>
        <w:tc>
          <w:tcPr>
            <w:tcW w:w="5669" w:type="dxa"/>
          </w:tcPr>
          <w:p w14:paraId="19E92AEF" w14:textId="77777777" w:rsidR="00CD332C" w:rsidRDefault="00CD332C">
            <w:pPr>
              <w:spacing w:line="240" w:lineRule="auto"/>
              <w:rPr>
                <w:sz w:val="24"/>
                <w:rtl/>
              </w:rPr>
            </w:pPr>
            <w:r>
              <w:rPr>
                <w:sz w:val="24"/>
                <w:rtl/>
              </w:rPr>
              <w:t>התייצבות לחקירה שכנגד</w:t>
            </w:r>
          </w:p>
        </w:tc>
        <w:tc>
          <w:tcPr>
            <w:tcW w:w="1247" w:type="dxa"/>
          </w:tcPr>
          <w:p w14:paraId="2120D391" w14:textId="77777777" w:rsidR="00CD332C" w:rsidRDefault="00CD332C">
            <w:pPr>
              <w:spacing w:line="240" w:lineRule="auto"/>
              <w:rPr>
                <w:sz w:val="24"/>
              </w:rPr>
            </w:pPr>
            <w:r>
              <w:rPr>
                <w:sz w:val="24"/>
                <w:rtl/>
              </w:rPr>
              <w:t xml:space="preserve">סעיף 8 </w:t>
            </w:r>
          </w:p>
        </w:tc>
      </w:tr>
      <w:tr w:rsidR="00CD332C" w14:paraId="047ED11C" w14:textId="77777777">
        <w:tblPrEx>
          <w:tblCellMar>
            <w:top w:w="0" w:type="dxa"/>
            <w:bottom w:w="0" w:type="dxa"/>
          </w:tblCellMar>
        </w:tblPrEx>
        <w:tc>
          <w:tcPr>
            <w:tcW w:w="850" w:type="dxa"/>
          </w:tcPr>
          <w:p w14:paraId="3E194EFB"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6BF7B6FE" w14:textId="77777777" w:rsidR="00CD332C" w:rsidRDefault="00CD332C">
            <w:pPr>
              <w:spacing w:line="240" w:lineRule="auto"/>
              <w:rPr>
                <w:sz w:val="24"/>
              </w:rPr>
            </w:pPr>
            <w:hyperlink w:anchor="Seif7" w:tooltip="סדר הטענות" w:history="1">
              <w:r>
                <w:rPr>
                  <w:rStyle w:val="Hyperlink"/>
                </w:rPr>
                <w:t>Go</w:t>
              </w:r>
            </w:hyperlink>
          </w:p>
        </w:tc>
        <w:tc>
          <w:tcPr>
            <w:tcW w:w="5669" w:type="dxa"/>
          </w:tcPr>
          <w:p w14:paraId="193416E0" w14:textId="77777777" w:rsidR="00CD332C" w:rsidRDefault="00CD332C">
            <w:pPr>
              <w:spacing w:line="240" w:lineRule="auto"/>
              <w:rPr>
                <w:sz w:val="24"/>
                <w:rtl/>
              </w:rPr>
            </w:pPr>
            <w:r>
              <w:rPr>
                <w:sz w:val="24"/>
                <w:rtl/>
              </w:rPr>
              <w:t>סדר הטענות</w:t>
            </w:r>
          </w:p>
        </w:tc>
        <w:tc>
          <w:tcPr>
            <w:tcW w:w="1247" w:type="dxa"/>
          </w:tcPr>
          <w:p w14:paraId="7E5E58BA" w14:textId="77777777" w:rsidR="00CD332C" w:rsidRDefault="00CD332C">
            <w:pPr>
              <w:spacing w:line="240" w:lineRule="auto"/>
              <w:rPr>
                <w:sz w:val="24"/>
              </w:rPr>
            </w:pPr>
            <w:r>
              <w:rPr>
                <w:sz w:val="24"/>
                <w:rtl/>
              </w:rPr>
              <w:t xml:space="preserve">סעיף 9 </w:t>
            </w:r>
          </w:p>
        </w:tc>
      </w:tr>
      <w:tr w:rsidR="00CD332C" w14:paraId="7D878B5F" w14:textId="77777777">
        <w:tblPrEx>
          <w:tblCellMar>
            <w:top w:w="0" w:type="dxa"/>
            <w:bottom w:w="0" w:type="dxa"/>
          </w:tblCellMar>
        </w:tblPrEx>
        <w:tc>
          <w:tcPr>
            <w:tcW w:w="850" w:type="dxa"/>
          </w:tcPr>
          <w:p w14:paraId="1028C444"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06FE14D0" w14:textId="77777777" w:rsidR="00CD332C" w:rsidRDefault="00CD332C">
            <w:pPr>
              <w:spacing w:line="240" w:lineRule="auto"/>
              <w:rPr>
                <w:sz w:val="24"/>
              </w:rPr>
            </w:pPr>
            <w:hyperlink w:anchor="Seif8" w:tooltip="דיון שלא בפני בעלי הדין" w:history="1">
              <w:r>
                <w:rPr>
                  <w:rStyle w:val="Hyperlink"/>
                </w:rPr>
                <w:t>Go</w:t>
              </w:r>
            </w:hyperlink>
          </w:p>
        </w:tc>
        <w:tc>
          <w:tcPr>
            <w:tcW w:w="5669" w:type="dxa"/>
          </w:tcPr>
          <w:p w14:paraId="5C711433" w14:textId="77777777" w:rsidR="00CD332C" w:rsidRDefault="00CD332C">
            <w:pPr>
              <w:spacing w:line="240" w:lineRule="auto"/>
              <w:rPr>
                <w:sz w:val="24"/>
                <w:rtl/>
              </w:rPr>
            </w:pPr>
            <w:r>
              <w:rPr>
                <w:sz w:val="24"/>
                <w:rtl/>
              </w:rPr>
              <w:t>דיון שלא בפני בעלי הדין</w:t>
            </w:r>
          </w:p>
        </w:tc>
        <w:tc>
          <w:tcPr>
            <w:tcW w:w="1247" w:type="dxa"/>
          </w:tcPr>
          <w:p w14:paraId="7920E1E8" w14:textId="77777777" w:rsidR="00CD332C" w:rsidRDefault="00CD332C">
            <w:pPr>
              <w:spacing w:line="240" w:lineRule="auto"/>
              <w:rPr>
                <w:sz w:val="24"/>
              </w:rPr>
            </w:pPr>
            <w:r>
              <w:rPr>
                <w:sz w:val="24"/>
                <w:rtl/>
              </w:rPr>
              <w:t xml:space="preserve">סעיף 10 </w:t>
            </w:r>
          </w:p>
        </w:tc>
      </w:tr>
      <w:tr w:rsidR="00CD332C" w14:paraId="73D58C05" w14:textId="77777777">
        <w:tblPrEx>
          <w:tblCellMar>
            <w:top w:w="0" w:type="dxa"/>
            <w:bottom w:w="0" w:type="dxa"/>
          </w:tblCellMar>
        </w:tblPrEx>
        <w:tc>
          <w:tcPr>
            <w:tcW w:w="850" w:type="dxa"/>
          </w:tcPr>
          <w:p w14:paraId="53FAB2B9"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53A73CBF" w14:textId="77777777" w:rsidR="00CD332C" w:rsidRDefault="00CD332C">
            <w:pPr>
              <w:spacing w:line="240" w:lineRule="auto"/>
              <w:rPr>
                <w:sz w:val="24"/>
              </w:rPr>
            </w:pPr>
            <w:hyperlink w:anchor="Seif9" w:tooltip="טענת פגם" w:history="1">
              <w:r>
                <w:rPr>
                  <w:rStyle w:val="Hyperlink"/>
                </w:rPr>
                <w:t>Go</w:t>
              </w:r>
            </w:hyperlink>
          </w:p>
        </w:tc>
        <w:tc>
          <w:tcPr>
            <w:tcW w:w="5669" w:type="dxa"/>
          </w:tcPr>
          <w:p w14:paraId="51D2478C" w14:textId="77777777" w:rsidR="00CD332C" w:rsidRDefault="00CD332C">
            <w:pPr>
              <w:spacing w:line="240" w:lineRule="auto"/>
              <w:rPr>
                <w:sz w:val="24"/>
                <w:rtl/>
              </w:rPr>
            </w:pPr>
            <w:r>
              <w:rPr>
                <w:sz w:val="24"/>
                <w:rtl/>
              </w:rPr>
              <w:t>טענת פגם</w:t>
            </w:r>
          </w:p>
        </w:tc>
        <w:tc>
          <w:tcPr>
            <w:tcW w:w="1247" w:type="dxa"/>
          </w:tcPr>
          <w:p w14:paraId="0B0FAFBD" w14:textId="77777777" w:rsidR="00CD332C" w:rsidRDefault="00CD332C">
            <w:pPr>
              <w:spacing w:line="240" w:lineRule="auto"/>
              <w:rPr>
                <w:sz w:val="24"/>
              </w:rPr>
            </w:pPr>
            <w:r>
              <w:rPr>
                <w:sz w:val="24"/>
                <w:rtl/>
              </w:rPr>
              <w:t xml:space="preserve">סעיף 11 </w:t>
            </w:r>
          </w:p>
        </w:tc>
      </w:tr>
      <w:tr w:rsidR="00CD332C" w14:paraId="74BF01FB" w14:textId="77777777">
        <w:tblPrEx>
          <w:tblCellMar>
            <w:top w:w="0" w:type="dxa"/>
            <w:bottom w:w="0" w:type="dxa"/>
          </w:tblCellMar>
        </w:tblPrEx>
        <w:tc>
          <w:tcPr>
            <w:tcW w:w="850" w:type="dxa"/>
          </w:tcPr>
          <w:p w14:paraId="62699C04"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08933D91" w14:textId="77777777" w:rsidR="00CD332C" w:rsidRDefault="00CD332C">
            <w:pPr>
              <w:spacing w:line="240" w:lineRule="auto"/>
              <w:rPr>
                <w:sz w:val="24"/>
              </w:rPr>
            </w:pPr>
            <w:hyperlink w:anchor="Seif10" w:tooltip="הדיון מוגבל לנימוקים שבכתב" w:history="1">
              <w:r>
                <w:rPr>
                  <w:rStyle w:val="Hyperlink"/>
                </w:rPr>
                <w:t>Go</w:t>
              </w:r>
            </w:hyperlink>
          </w:p>
        </w:tc>
        <w:tc>
          <w:tcPr>
            <w:tcW w:w="5669" w:type="dxa"/>
          </w:tcPr>
          <w:p w14:paraId="13AD9DAC" w14:textId="77777777" w:rsidR="00CD332C" w:rsidRDefault="00CD332C">
            <w:pPr>
              <w:spacing w:line="240" w:lineRule="auto"/>
              <w:rPr>
                <w:sz w:val="24"/>
                <w:rtl/>
              </w:rPr>
            </w:pPr>
            <w:r>
              <w:rPr>
                <w:sz w:val="24"/>
                <w:rtl/>
              </w:rPr>
              <w:t>הדיון מוגבל לנימוקים שבכתב</w:t>
            </w:r>
          </w:p>
        </w:tc>
        <w:tc>
          <w:tcPr>
            <w:tcW w:w="1247" w:type="dxa"/>
          </w:tcPr>
          <w:p w14:paraId="06869998" w14:textId="77777777" w:rsidR="00CD332C" w:rsidRDefault="00CD332C">
            <w:pPr>
              <w:spacing w:line="240" w:lineRule="auto"/>
              <w:rPr>
                <w:sz w:val="24"/>
              </w:rPr>
            </w:pPr>
            <w:r>
              <w:rPr>
                <w:sz w:val="24"/>
                <w:rtl/>
              </w:rPr>
              <w:t xml:space="preserve">סעיף 12 </w:t>
            </w:r>
          </w:p>
        </w:tc>
      </w:tr>
      <w:tr w:rsidR="00CD332C" w14:paraId="60F2B11E" w14:textId="77777777">
        <w:tblPrEx>
          <w:tblCellMar>
            <w:top w:w="0" w:type="dxa"/>
            <w:bottom w:w="0" w:type="dxa"/>
          </w:tblCellMar>
        </w:tblPrEx>
        <w:tc>
          <w:tcPr>
            <w:tcW w:w="850" w:type="dxa"/>
          </w:tcPr>
          <w:p w14:paraId="5EBBE900"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69E697B7" w14:textId="77777777" w:rsidR="00CD332C" w:rsidRDefault="00CD332C">
            <w:pPr>
              <w:spacing w:line="240" w:lineRule="auto"/>
              <w:rPr>
                <w:sz w:val="24"/>
              </w:rPr>
            </w:pPr>
            <w:hyperlink w:anchor="Seif11" w:tooltip="דחיית הבירור" w:history="1">
              <w:r>
                <w:rPr>
                  <w:rStyle w:val="Hyperlink"/>
                </w:rPr>
                <w:t>Go</w:t>
              </w:r>
            </w:hyperlink>
          </w:p>
        </w:tc>
        <w:tc>
          <w:tcPr>
            <w:tcW w:w="5669" w:type="dxa"/>
          </w:tcPr>
          <w:p w14:paraId="4E5724D7" w14:textId="77777777" w:rsidR="00CD332C" w:rsidRDefault="00CD332C">
            <w:pPr>
              <w:spacing w:line="240" w:lineRule="auto"/>
              <w:rPr>
                <w:sz w:val="24"/>
                <w:rtl/>
              </w:rPr>
            </w:pPr>
            <w:r>
              <w:rPr>
                <w:sz w:val="24"/>
                <w:rtl/>
              </w:rPr>
              <w:t>דחיית הבירור</w:t>
            </w:r>
          </w:p>
        </w:tc>
        <w:tc>
          <w:tcPr>
            <w:tcW w:w="1247" w:type="dxa"/>
          </w:tcPr>
          <w:p w14:paraId="002D3263" w14:textId="77777777" w:rsidR="00CD332C" w:rsidRDefault="00CD332C">
            <w:pPr>
              <w:spacing w:line="240" w:lineRule="auto"/>
              <w:rPr>
                <w:sz w:val="24"/>
              </w:rPr>
            </w:pPr>
            <w:r>
              <w:rPr>
                <w:sz w:val="24"/>
                <w:rtl/>
              </w:rPr>
              <w:t xml:space="preserve">סעיף 13 </w:t>
            </w:r>
          </w:p>
        </w:tc>
      </w:tr>
      <w:tr w:rsidR="00CD332C" w14:paraId="367B1D73" w14:textId="77777777">
        <w:tblPrEx>
          <w:tblCellMar>
            <w:top w:w="0" w:type="dxa"/>
            <w:bottom w:w="0" w:type="dxa"/>
          </w:tblCellMar>
        </w:tblPrEx>
        <w:tc>
          <w:tcPr>
            <w:tcW w:w="850" w:type="dxa"/>
          </w:tcPr>
          <w:p w14:paraId="5981ABBB"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5EA6195F" w14:textId="77777777" w:rsidR="00CD332C" w:rsidRDefault="00CD332C">
            <w:pPr>
              <w:spacing w:line="240" w:lineRule="auto"/>
              <w:rPr>
                <w:sz w:val="24"/>
              </w:rPr>
            </w:pPr>
            <w:hyperlink w:anchor="Seif12" w:tooltip="ביטול ערעור" w:history="1">
              <w:r>
                <w:rPr>
                  <w:rStyle w:val="Hyperlink"/>
                </w:rPr>
                <w:t>Go</w:t>
              </w:r>
            </w:hyperlink>
          </w:p>
        </w:tc>
        <w:tc>
          <w:tcPr>
            <w:tcW w:w="5669" w:type="dxa"/>
          </w:tcPr>
          <w:p w14:paraId="252835B1" w14:textId="77777777" w:rsidR="00CD332C" w:rsidRDefault="00CD332C">
            <w:pPr>
              <w:spacing w:line="240" w:lineRule="auto"/>
              <w:rPr>
                <w:sz w:val="24"/>
                <w:rtl/>
              </w:rPr>
            </w:pPr>
            <w:r>
              <w:rPr>
                <w:sz w:val="24"/>
                <w:rtl/>
              </w:rPr>
              <w:t>ביטול ערעור</w:t>
            </w:r>
          </w:p>
        </w:tc>
        <w:tc>
          <w:tcPr>
            <w:tcW w:w="1247" w:type="dxa"/>
          </w:tcPr>
          <w:p w14:paraId="12A09B86" w14:textId="77777777" w:rsidR="00CD332C" w:rsidRDefault="00CD332C">
            <w:pPr>
              <w:spacing w:line="240" w:lineRule="auto"/>
              <w:rPr>
                <w:sz w:val="24"/>
              </w:rPr>
            </w:pPr>
            <w:r>
              <w:rPr>
                <w:sz w:val="24"/>
                <w:rtl/>
              </w:rPr>
              <w:t xml:space="preserve">סעיף 14 </w:t>
            </w:r>
          </w:p>
        </w:tc>
      </w:tr>
      <w:tr w:rsidR="00CD332C" w14:paraId="590FB92D" w14:textId="77777777">
        <w:tblPrEx>
          <w:tblCellMar>
            <w:top w:w="0" w:type="dxa"/>
            <w:bottom w:w="0" w:type="dxa"/>
          </w:tblCellMar>
        </w:tblPrEx>
        <w:tc>
          <w:tcPr>
            <w:tcW w:w="850" w:type="dxa"/>
          </w:tcPr>
          <w:p w14:paraId="2C25A057"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3A850219" w14:textId="77777777" w:rsidR="00CD332C" w:rsidRDefault="00CD332C">
            <w:pPr>
              <w:spacing w:line="240" w:lineRule="auto"/>
              <w:rPr>
                <w:sz w:val="24"/>
              </w:rPr>
            </w:pPr>
            <w:hyperlink w:anchor="Seif13" w:tooltip="החלטת הועדה" w:history="1">
              <w:r>
                <w:rPr>
                  <w:rStyle w:val="Hyperlink"/>
                </w:rPr>
                <w:t>Go</w:t>
              </w:r>
            </w:hyperlink>
          </w:p>
        </w:tc>
        <w:tc>
          <w:tcPr>
            <w:tcW w:w="5669" w:type="dxa"/>
          </w:tcPr>
          <w:p w14:paraId="1BAE406B" w14:textId="77777777" w:rsidR="00CD332C" w:rsidRDefault="00CD332C">
            <w:pPr>
              <w:spacing w:line="240" w:lineRule="auto"/>
              <w:rPr>
                <w:sz w:val="24"/>
                <w:rtl/>
              </w:rPr>
            </w:pPr>
            <w:r>
              <w:rPr>
                <w:sz w:val="24"/>
                <w:rtl/>
              </w:rPr>
              <w:t>החלטת הועדה</w:t>
            </w:r>
          </w:p>
        </w:tc>
        <w:tc>
          <w:tcPr>
            <w:tcW w:w="1247" w:type="dxa"/>
          </w:tcPr>
          <w:p w14:paraId="06E9F95A" w14:textId="77777777" w:rsidR="00CD332C" w:rsidRDefault="00CD332C">
            <w:pPr>
              <w:spacing w:line="240" w:lineRule="auto"/>
              <w:rPr>
                <w:sz w:val="24"/>
              </w:rPr>
            </w:pPr>
            <w:r>
              <w:rPr>
                <w:sz w:val="24"/>
                <w:rtl/>
              </w:rPr>
              <w:t xml:space="preserve">סעיף 15 </w:t>
            </w:r>
          </w:p>
        </w:tc>
      </w:tr>
      <w:tr w:rsidR="00CD332C" w14:paraId="40B6D6B4" w14:textId="77777777">
        <w:tblPrEx>
          <w:tblCellMar>
            <w:top w:w="0" w:type="dxa"/>
            <w:bottom w:w="0" w:type="dxa"/>
          </w:tblCellMar>
        </w:tblPrEx>
        <w:tc>
          <w:tcPr>
            <w:tcW w:w="850" w:type="dxa"/>
          </w:tcPr>
          <w:p w14:paraId="4B3FD820"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6B53293A" w14:textId="77777777" w:rsidR="00CD332C" w:rsidRDefault="00CD332C">
            <w:pPr>
              <w:spacing w:line="240" w:lineRule="auto"/>
              <w:rPr>
                <w:sz w:val="24"/>
              </w:rPr>
            </w:pPr>
            <w:hyperlink w:anchor="Seif14" w:tooltip="מיזוג ערעורים" w:history="1">
              <w:r>
                <w:rPr>
                  <w:rStyle w:val="Hyperlink"/>
                </w:rPr>
                <w:t>Go</w:t>
              </w:r>
            </w:hyperlink>
          </w:p>
        </w:tc>
        <w:tc>
          <w:tcPr>
            <w:tcW w:w="5669" w:type="dxa"/>
          </w:tcPr>
          <w:p w14:paraId="70617B98" w14:textId="77777777" w:rsidR="00CD332C" w:rsidRDefault="00CD332C">
            <w:pPr>
              <w:spacing w:line="240" w:lineRule="auto"/>
              <w:rPr>
                <w:sz w:val="24"/>
                <w:rtl/>
              </w:rPr>
            </w:pPr>
            <w:r>
              <w:rPr>
                <w:sz w:val="24"/>
                <w:rtl/>
              </w:rPr>
              <w:t>מיזוג ערעורים</w:t>
            </w:r>
          </w:p>
        </w:tc>
        <w:tc>
          <w:tcPr>
            <w:tcW w:w="1247" w:type="dxa"/>
          </w:tcPr>
          <w:p w14:paraId="66CF7B37" w14:textId="77777777" w:rsidR="00CD332C" w:rsidRDefault="00CD332C">
            <w:pPr>
              <w:spacing w:line="240" w:lineRule="auto"/>
              <w:rPr>
                <w:sz w:val="24"/>
              </w:rPr>
            </w:pPr>
            <w:r>
              <w:rPr>
                <w:sz w:val="24"/>
                <w:rtl/>
              </w:rPr>
              <w:t xml:space="preserve">סעיף 16 </w:t>
            </w:r>
          </w:p>
        </w:tc>
      </w:tr>
      <w:tr w:rsidR="00CD332C" w14:paraId="69FFA595" w14:textId="77777777">
        <w:tblPrEx>
          <w:tblCellMar>
            <w:top w:w="0" w:type="dxa"/>
            <w:bottom w:w="0" w:type="dxa"/>
          </w:tblCellMar>
        </w:tblPrEx>
        <w:tc>
          <w:tcPr>
            <w:tcW w:w="850" w:type="dxa"/>
          </w:tcPr>
          <w:p w14:paraId="41579C8B"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591D6293" w14:textId="77777777" w:rsidR="00CD332C" w:rsidRDefault="00CD332C">
            <w:pPr>
              <w:spacing w:line="240" w:lineRule="auto"/>
              <w:rPr>
                <w:sz w:val="24"/>
              </w:rPr>
            </w:pPr>
            <w:hyperlink w:anchor="Seif15" w:tooltip="צירוף בעלי דין" w:history="1">
              <w:r>
                <w:rPr>
                  <w:rStyle w:val="Hyperlink"/>
                </w:rPr>
                <w:t>Go</w:t>
              </w:r>
            </w:hyperlink>
          </w:p>
        </w:tc>
        <w:tc>
          <w:tcPr>
            <w:tcW w:w="5669" w:type="dxa"/>
          </w:tcPr>
          <w:p w14:paraId="575B98B0" w14:textId="77777777" w:rsidR="00CD332C" w:rsidRDefault="00CD332C">
            <w:pPr>
              <w:spacing w:line="240" w:lineRule="auto"/>
              <w:rPr>
                <w:sz w:val="24"/>
                <w:rtl/>
              </w:rPr>
            </w:pPr>
            <w:r>
              <w:rPr>
                <w:sz w:val="24"/>
                <w:rtl/>
              </w:rPr>
              <w:t>צירוף בעלי דין</w:t>
            </w:r>
          </w:p>
        </w:tc>
        <w:tc>
          <w:tcPr>
            <w:tcW w:w="1247" w:type="dxa"/>
          </w:tcPr>
          <w:p w14:paraId="6FFD785E" w14:textId="77777777" w:rsidR="00CD332C" w:rsidRDefault="00CD332C">
            <w:pPr>
              <w:spacing w:line="240" w:lineRule="auto"/>
              <w:rPr>
                <w:sz w:val="24"/>
              </w:rPr>
            </w:pPr>
            <w:r>
              <w:rPr>
                <w:sz w:val="24"/>
                <w:rtl/>
              </w:rPr>
              <w:t xml:space="preserve">סעיף 17 </w:t>
            </w:r>
          </w:p>
        </w:tc>
      </w:tr>
      <w:tr w:rsidR="00CD332C" w14:paraId="14CB9103" w14:textId="77777777">
        <w:tblPrEx>
          <w:tblCellMar>
            <w:top w:w="0" w:type="dxa"/>
            <w:bottom w:w="0" w:type="dxa"/>
          </w:tblCellMar>
        </w:tblPrEx>
        <w:tc>
          <w:tcPr>
            <w:tcW w:w="850" w:type="dxa"/>
          </w:tcPr>
          <w:p w14:paraId="0F8033A7" w14:textId="77777777" w:rsidR="00CD332C" w:rsidRDefault="00CD332C">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5D688D">
              <w:rPr>
                <w:noProof/>
                <w:sz w:val="24"/>
                <w:rtl/>
              </w:rPr>
              <w:t>3</w:t>
            </w:r>
            <w:r>
              <w:rPr>
                <w:sz w:val="24"/>
                <w:rtl/>
              </w:rPr>
              <w:fldChar w:fldCharType="end"/>
            </w:r>
          </w:p>
        </w:tc>
        <w:tc>
          <w:tcPr>
            <w:tcW w:w="567" w:type="dxa"/>
          </w:tcPr>
          <w:p w14:paraId="444A3E12" w14:textId="77777777" w:rsidR="00CD332C" w:rsidRDefault="00CD332C">
            <w:pPr>
              <w:spacing w:line="240" w:lineRule="auto"/>
              <w:rPr>
                <w:sz w:val="24"/>
              </w:rPr>
            </w:pPr>
            <w:hyperlink w:anchor="Seif16" w:tooltip="השם" w:history="1">
              <w:r>
                <w:rPr>
                  <w:rStyle w:val="Hyperlink"/>
                </w:rPr>
                <w:t>Go</w:t>
              </w:r>
            </w:hyperlink>
          </w:p>
        </w:tc>
        <w:tc>
          <w:tcPr>
            <w:tcW w:w="5669" w:type="dxa"/>
          </w:tcPr>
          <w:p w14:paraId="6F3C1F6A" w14:textId="77777777" w:rsidR="00CD332C" w:rsidRDefault="00CD332C">
            <w:pPr>
              <w:spacing w:line="240" w:lineRule="auto"/>
              <w:rPr>
                <w:sz w:val="24"/>
                <w:rtl/>
              </w:rPr>
            </w:pPr>
            <w:r>
              <w:rPr>
                <w:sz w:val="24"/>
                <w:rtl/>
              </w:rPr>
              <w:t>השם</w:t>
            </w:r>
          </w:p>
        </w:tc>
        <w:tc>
          <w:tcPr>
            <w:tcW w:w="1247" w:type="dxa"/>
          </w:tcPr>
          <w:p w14:paraId="708E0E68" w14:textId="77777777" w:rsidR="00CD332C" w:rsidRDefault="00CD332C">
            <w:pPr>
              <w:spacing w:line="240" w:lineRule="auto"/>
              <w:rPr>
                <w:sz w:val="24"/>
              </w:rPr>
            </w:pPr>
            <w:r>
              <w:rPr>
                <w:sz w:val="24"/>
                <w:rtl/>
              </w:rPr>
              <w:t xml:space="preserve">סעיף 18 </w:t>
            </w:r>
          </w:p>
        </w:tc>
      </w:tr>
    </w:tbl>
    <w:p w14:paraId="6086E2D9" w14:textId="77777777" w:rsidR="00CD332C" w:rsidRDefault="00CD332C">
      <w:pPr>
        <w:pStyle w:val="big-header"/>
        <w:ind w:left="0" w:right="1134"/>
        <w:rPr>
          <w:rFonts w:cs="FrankRuehl"/>
          <w:sz w:val="32"/>
          <w:rtl/>
        </w:rPr>
      </w:pPr>
    </w:p>
    <w:p w14:paraId="31B998F7" w14:textId="77777777" w:rsidR="00CD332C" w:rsidRDefault="00CD332C" w:rsidP="005C51C1">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חמרי נפץ (סדרי הדין לפני ועדת הערעור), תשי"ז</w:t>
      </w:r>
      <w:r w:rsidR="005D688D">
        <w:rPr>
          <w:rFonts w:cs="FrankRuehl" w:hint="cs"/>
          <w:sz w:val="32"/>
          <w:rtl/>
        </w:rPr>
        <w:t>-</w:t>
      </w:r>
      <w:r>
        <w:rPr>
          <w:rFonts w:cs="FrankRuehl"/>
          <w:sz w:val="32"/>
          <w:rtl/>
        </w:rPr>
        <w:t>1956</w:t>
      </w:r>
      <w:r w:rsidR="005D688D">
        <w:rPr>
          <w:rStyle w:val="a6"/>
          <w:rFonts w:cs="FrankRuehl"/>
          <w:sz w:val="32"/>
          <w:rtl/>
        </w:rPr>
        <w:footnoteReference w:customMarkFollows="1" w:id="1"/>
        <w:t>*</w:t>
      </w:r>
    </w:p>
    <w:p w14:paraId="382E186B" w14:textId="77777777" w:rsidR="00CD332C" w:rsidRDefault="00CD332C" w:rsidP="005D688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13(ג)(1) לחוק חמרי נפץ, תשי"ד</w:t>
      </w:r>
      <w:r w:rsidR="005D688D">
        <w:rPr>
          <w:rStyle w:val="default"/>
          <w:rFonts w:cs="FrankRuehl" w:hint="cs"/>
          <w:rtl/>
        </w:rPr>
        <w:t>-</w:t>
      </w:r>
      <w:r>
        <w:rPr>
          <w:rStyle w:val="default"/>
          <w:rFonts w:cs="FrankRuehl"/>
          <w:rtl/>
        </w:rPr>
        <w:t xml:space="preserve">1954, </w:t>
      </w:r>
      <w:r>
        <w:rPr>
          <w:rStyle w:val="default"/>
          <w:rFonts w:cs="FrankRuehl" w:hint="cs"/>
          <w:rtl/>
        </w:rPr>
        <w:t>אני מתקין תקנות אלה:</w:t>
      </w:r>
    </w:p>
    <w:p w14:paraId="5B6B8ECC" w14:textId="77777777" w:rsidR="00CD332C" w:rsidRDefault="00CD332C">
      <w:pPr>
        <w:pStyle w:val="P00"/>
        <w:spacing w:before="72"/>
        <w:ind w:left="0" w:right="1134"/>
        <w:rPr>
          <w:rStyle w:val="default"/>
          <w:rFonts w:cs="FrankRuehl" w:hint="cs"/>
          <w:rtl/>
        </w:rPr>
      </w:pPr>
      <w:bookmarkStart w:id="0" w:name="Seif0"/>
      <w:bookmarkEnd w:id="0"/>
      <w:r>
        <w:rPr>
          <w:lang w:val="he-IL"/>
        </w:rPr>
        <w:pict w14:anchorId="75D55C93">
          <v:rect id="_x0000_s1026" style="position:absolute;left:0;text-align:left;margin-left:464.5pt;margin-top:8.05pt;width:75.05pt;height:11.6pt;z-index:251649024" o:allowincell="f" filled="f" stroked="f" strokecolor="lime" strokeweight=".25pt">
            <v:textbox inset="0,0,0,0">
              <w:txbxContent>
                <w:p w14:paraId="38AEC3C4" w14:textId="77777777" w:rsidR="00CD332C" w:rsidRDefault="00CD332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5D688D">
        <w:rPr>
          <w:rStyle w:val="default"/>
          <w:rFonts w:cs="FrankRuehl"/>
          <w:rtl/>
        </w:rPr>
        <w:t>–</w:t>
      </w:r>
    </w:p>
    <w:p w14:paraId="4851FE5A" w14:textId="77777777" w:rsidR="00CD332C" w:rsidRDefault="00CD332C" w:rsidP="005D688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w:t>
      </w:r>
      <w:r w:rsidR="005D688D">
        <w:rPr>
          <w:rStyle w:val="default"/>
          <w:rFonts w:cs="FrankRuehl" w:hint="cs"/>
          <w:rtl/>
        </w:rPr>
        <w:t>-</w:t>
      </w:r>
      <w:r>
        <w:rPr>
          <w:rStyle w:val="default"/>
          <w:rFonts w:cs="FrankRuehl"/>
          <w:rtl/>
        </w:rPr>
        <w:t xml:space="preserve"> </w:t>
      </w:r>
      <w:r>
        <w:rPr>
          <w:rStyle w:val="default"/>
          <w:rFonts w:cs="FrankRuehl" w:hint="cs"/>
          <w:rtl/>
        </w:rPr>
        <w:t>ועדת ערעור שנתמנתה על פי סעיף 13(א) לחוק;</w:t>
      </w:r>
    </w:p>
    <w:p w14:paraId="0C979F29" w14:textId="77777777" w:rsidR="00CD332C" w:rsidRDefault="00CD332C" w:rsidP="005D688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רעור" </w:t>
      </w:r>
      <w:r w:rsidR="005D688D">
        <w:rPr>
          <w:rStyle w:val="default"/>
          <w:rFonts w:cs="FrankRuehl" w:hint="cs"/>
          <w:rtl/>
        </w:rPr>
        <w:t>-</w:t>
      </w:r>
      <w:r>
        <w:rPr>
          <w:rStyle w:val="default"/>
          <w:rFonts w:cs="FrankRuehl"/>
          <w:rtl/>
        </w:rPr>
        <w:t xml:space="preserve"> </w:t>
      </w:r>
      <w:r>
        <w:rPr>
          <w:rStyle w:val="default"/>
          <w:rFonts w:cs="FrankRuehl" w:hint="cs"/>
          <w:rtl/>
        </w:rPr>
        <w:t>ערעור שהוגש על פי ס</w:t>
      </w:r>
      <w:r>
        <w:rPr>
          <w:rStyle w:val="default"/>
          <w:rFonts w:cs="FrankRuehl"/>
          <w:rtl/>
        </w:rPr>
        <w:t>עי</w:t>
      </w:r>
      <w:r>
        <w:rPr>
          <w:rStyle w:val="default"/>
          <w:rFonts w:cs="FrankRuehl" w:hint="cs"/>
          <w:rtl/>
        </w:rPr>
        <w:t>ף 14 לחוק;</w:t>
      </w:r>
    </w:p>
    <w:p w14:paraId="2FC1A0EB" w14:textId="77777777" w:rsidR="00CD332C" w:rsidRDefault="00CD332C" w:rsidP="005D688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חלטת המפקח" </w:t>
      </w:r>
      <w:r w:rsidR="004E3645">
        <w:rPr>
          <w:rStyle w:val="default"/>
          <w:rFonts w:cs="FrankRuehl"/>
          <w:rtl/>
        </w:rPr>
        <w:t>–</w:t>
      </w:r>
      <w:r>
        <w:rPr>
          <w:rStyle w:val="default"/>
          <w:rFonts w:cs="FrankRuehl"/>
          <w:rtl/>
        </w:rPr>
        <w:t xml:space="preserve"> </w:t>
      </w:r>
      <w:r>
        <w:rPr>
          <w:rStyle w:val="default"/>
          <w:rFonts w:cs="FrankRuehl" w:hint="cs"/>
          <w:rtl/>
        </w:rPr>
        <w:t>החלטת המפקח שניתנה על פי סעיף 14(א) לחוק.</w:t>
      </w:r>
    </w:p>
    <w:p w14:paraId="3247139D" w14:textId="77777777" w:rsidR="00CD332C" w:rsidRDefault="00CD332C">
      <w:pPr>
        <w:pStyle w:val="P00"/>
        <w:spacing w:before="72"/>
        <w:ind w:left="0" w:right="1134"/>
        <w:rPr>
          <w:rStyle w:val="default"/>
          <w:rFonts w:cs="FrankRuehl"/>
          <w:rtl/>
        </w:rPr>
      </w:pPr>
      <w:bookmarkStart w:id="1" w:name="Seif1"/>
      <w:bookmarkEnd w:id="1"/>
      <w:r>
        <w:rPr>
          <w:lang w:val="he-IL"/>
        </w:rPr>
        <w:pict w14:anchorId="154D6632">
          <v:rect id="_x0000_s1027" style="position:absolute;left:0;text-align:left;margin-left:464.5pt;margin-top:8.05pt;width:75.05pt;height:14.45pt;z-index:251650048" o:allowincell="f" filled="f" stroked="f" strokecolor="lime" strokeweight=".25pt">
            <v:textbox inset="0,0,0,0">
              <w:txbxContent>
                <w:p w14:paraId="3F49075A" w14:textId="77777777" w:rsidR="00CD332C" w:rsidRDefault="00CD332C">
                  <w:pPr>
                    <w:spacing w:line="160" w:lineRule="exact"/>
                    <w:jc w:val="left"/>
                    <w:rPr>
                      <w:rFonts w:cs="Miriam"/>
                      <w:noProof/>
                      <w:sz w:val="18"/>
                      <w:szCs w:val="18"/>
                      <w:rtl/>
                    </w:rPr>
                  </w:pPr>
                  <w:r>
                    <w:rPr>
                      <w:rFonts w:cs="Miriam"/>
                      <w:sz w:val="18"/>
                      <w:szCs w:val="18"/>
                      <w:rtl/>
                    </w:rPr>
                    <w:t>הג</w:t>
                  </w:r>
                  <w:r>
                    <w:rPr>
                      <w:rFonts w:cs="Miriam" w:hint="cs"/>
                      <w:sz w:val="18"/>
                      <w:szCs w:val="18"/>
                      <w:rtl/>
                    </w:rPr>
                    <w:t>שת ערעור</w:t>
                  </w:r>
                </w:p>
              </w:txbxContent>
            </v:textbox>
            <w10:anchorlock/>
          </v:rect>
        </w:pict>
      </w:r>
      <w:r>
        <w:rPr>
          <w:rStyle w:val="big-number"/>
          <w:rFonts w:cs="Miriam"/>
          <w:rtl/>
        </w:rPr>
        <w:t>2.</w:t>
      </w:r>
      <w:r>
        <w:rPr>
          <w:rStyle w:val="big-number"/>
          <w:rFonts w:cs="Miriam"/>
          <w:rtl/>
        </w:rPr>
        <w:tab/>
      </w:r>
      <w:r>
        <w:rPr>
          <w:rStyle w:val="default"/>
          <w:rFonts w:cs="FrankRuehl"/>
          <w:rtl/>
        </w:rPr>
        <w:t>ער</w:t>
      </w:r>
      <w:r>
        <w:rPr>
          <w:rStyle w:val="default"/>
          <w:rFonts w:cs="FrankRuehl" w:hint="cs"/>
          <w:rtl/>
        </w:rPr>
        <w:t>עור יוגש במסירת הודעת ערעור לועדה תוך שלושים יום מיום מסירת החלטת המפקח למערער, אך יושב ראש הועדה רשאי להאריך את הזמן להגשת הערעור, אם יראה סיבה מספק</w:t>
      </w:r>
      <w:r>
        <w:rPr>
          <w:rStyle w:val="default"/>
          <w:rFonts w:cs="FrankRuehl"/>
          <w:rtl/>
        </w:rPr>
        <w:t>ת</w:t>
      </w:r>
      <w:r>
        <w:rPr>
          <w:rStyle w:val="default"/>
          <w:rFonts w:cs="FrankRuehl" w:hint="cs"/>
          <w:rtl/>
        </w:rPr>
        <w:t xml:space="preserve"> לכך.</w:t>
      </w:r>
    </w:p>
    <w:p w14:paraId="6BC8495F" w14:textId="77777777" w:rsidR="00CD332C" w:rsidRDefault="00CD332C">
      <w:pPr>
        <w:pStyle w:val="P00"/>
        <w:spacing w:before="72"/>
        <w:ind w:left="0" w:right="1134"/>
        <w:rPr>
          <w:rStyle w:val="default"/>
          <w:rFonts w:cs="FrankRuehl" w:hint="cs"/>
          <w:rtl/>
        </w:rPr>
      </w:pPr>
      <w:bookmarkStart w:id="2" w:name="Seif2"/>
      <w:bookmarkEnd w:id="2"/>
      <w:r>
        <w:rPr>
          <w:lang w:val="he-IL"/>
        </w:rPr>
        <w:pict w14:anchorId="55564A21">
          <v:rect id="_x0000_s1028" style="position:absolute;left:0;text-align:left;margin-left:464.5pt;margin-top:8.05pt;width:75.05pt;height:13.35pt;z-index:251651072" o:allowincell="f" filled="f" stroked="f" strokecolor="lime" strokeweight=".25pt">
            <v:textbox inset="0,0,0,0">
              <w:txbxContent>
                <w:p w14:paraId="31BB6223" w14:textId="77777777" w:rsidR="00CD332C" w:rsidRDefault="00CD332C">
                  <w:pPr>
                    <w:spacing w:line="160" w:lineRule="exact"/>
                    <w:jc w:val="left"/>
                    <w:rPr>
                      <w:rFonts w:cs="Miriam"/>
                      <w:noProof/>
                      <w:sz w:val="18"/>
                      <w:szCs w:val="18"/>
                      <w:rtl/>
                    </w:rPr>
                  </w:pPr>
                  <w:r>
                    <w:rPr>
                      <w:rFonts w:cs="Miriam"/>
                      <w:sz w:val="18"/>
                      <w:szCs w:val="18"/>
                      <w:rtl/>
                    </w:rPr>
                    <w:t>פר</w:t>
                  </w:r>
                  <w:r>
                    <w:rPr>
                      <w:rFonts w:cs="Miriam" w:hint="cs"/>
                      <w:sz w:val="18"/>
                      <w:szCs w:val="18"/>
                      <w:rtl/>
                    </w:rPr>
                    <w:t>טי הודעת ערעור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הודעת ערעור י</w:t>
      </w:r>
      <w:r>
        <w:rPr>
          <w:rStyle w:val="default"/>
          <w:rFonts w:cs="FrankRuehl"/>
          <w:rtl/>
        </w:rPr>
        <w:t>פו</w:t>
      </w:r>
      <w:r>
        <w:rPr>
          <w:rStyle w:val="default"/>
          <w:rFonts w:cs="FrankRuehl" w:hint="cs"/>
          <w:rtl/>
        </w:rPr>
        <w:t xml:space="preserve">רטו </w:t>
      </w:r>
      <w:r w:rsidR="005D688D">
        <w:rPr>
          <w:rStyle w:val="default"/>
          <w:rFonts w:cs="FrankRuehl"/>
          <w:rtl/>
        </w:rPr>
        <w:t>–</w:t>
      </w:r>
    </w:p>
    <w:p w14:paraId="7DB3AB75" w14:textId="77777777" w:rsidR="00CD332C" w:rsidRDefault="00CD332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של המערער, תיאורו, משלח ידו ומענו והמען למסירת מסמכים;</w:t>
      </w:r>
    </w:p>
    <w:p w14:paraId="70C5A1B6" w14:textId="77777777" w:rsidR="00CD332C" w:rsidRDefault="00CD332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תאריך שבו נמסרה החלטת המפקח למערער;</w:t>
      </w:r>
    </w:p>
    <w:p w14:paraId="68D9A6D8" w14:textId="77777777" w:rsidR="00CD332C" w:rsidRDefault="00CD332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עובדות שעליהן מסתמך המערער;</w:t>
      </w:r>
    </w:p>
    <w:p w14:paraId="00E2A3AF" w14:textId="77777777" w:rsidR="00CD332C" w:rsidRDefault="00CD332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נימוקים שעליהם מבסס המערער את ערעורו, כל נימוק בפסקה מיוחד</w:t>
      </w:r>
      <w:r>
        <w:rPr>
          <w:rStyle w:val="default"/>
          <w:rFonts w:cs="FrankRuehl"/>
          <w:rtl/>
        </w:rPr>
        <w:t>ת</w:t>
      </w:r>
      <w:r>
        <w:rPr>
          <w:rStyle w:val="default"/>
          <w:rFonts w:cs="FrankRuehl" w:hint="cs"/>
          <w:rtl/>
        </w:rPr>
        <w:t xml:space="preserve"> ובקיצור;</w:t>
      </w:r>
    </w:p>
    <w:p w14:paraId="11AE23AE" w14:textId="77777777" w:rsidR="00CD332C" w:rsidRDefault="00CD332C">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סעד המבוקש.</w:t>
      </w:r>
    </w:p>
    <w:p w14:paraId="609B790A" w14:textId="77777777" w:rsidR="00CD332C" w:rsidRDefault="00CD33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ודעת ערעור תהא</w:t>
      </w:r>
      <w:r>
        <w:rPr>
          <w:rStyle w:val="default"/>
          <w:rFonts w:cs="FrankRuehl"/>
          <w:rtl/>
        </w:rPr>
        <w:t xml:space="preserve"> ח</w:t>
      </w:r>
      <w:r>
        <w:rPr>
          <w:rStyle w:val="default"/>
          <w:rFonts w:cs="FrankRuehl" w:hint="cs"/>
          <w:rtl/>
        </w:rPr>
        <w:t>תומה ביד המערער או בא כוחו.</w:t>
      </w:r>
    </w:p>
    <w:p w14:paraId="477F6E21" w14:textId="77777777" w:rsidR="00CD332C" w:rsidRDefault="00CD332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הודעת ערעור יצורפו </w:t>
      </w:r>
      <w:r w:rsidR="005D688D">
        <w:rPr>
          <w:rStyle w:val="default"/>
          <w:rFonts w:cs="FrankRuehl"/>
          <w:rtl/>
        </w:rPr>
        <w:t>–</w:t>
      </w:r>
    </w:p>
    <w:p w14:paraId="7EB0C2F3" w14:textId="77777777" w:rsidR="00CD332C" w:rsidRDefault="00CD332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צהרה בשבועה לאימות העובדות שעליהן מסתמך המערער;</w:t>
      </w:r>
    </w:p>
    <w:p w14:paraId="5E33D1BF" w14:textId="77777777" w:rsidR="00CD332C" w:rsidRDefault="00CD332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עתק החלטת המפקח שעליה הוא מערער.</w:t>
      </w:r>
    </w:p>
    <w:p w14:paraId="050274C4" w14:textId="77777777" w:rsidR="00CD332C" w:rsidRDefault="00CD332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מפקח יצויין בהודעת ערעור כמשיב.</w:t>
      </w:r>
    </w:p>
    <w:p w14:paraId="4A4637A7" w14:textId="77777777" w:rsidR="00CD332C" w:rsidRDefault="00CD332C">
      <w:pPr>
        <w:pStyle w:val="P00"/>
        <w:spacing w:before="72"/>
        <w:ind w:left="0" w:right="1134"/>
        <w:rPr>
          <w:rStyle w:val="default"/>
          <w:rFonts w:cs="FrankRuehl"/>
          <w:rtl/>
        </w:rPr>
      </w:pPr>
      <w:bookmarkStart w:id="3" w:name="Seif3"/>
      <w:bookmarkEnd w:id="3"/>
      <w:r>
        <w:rPr>
          <w:lang w:val="he-IL"/>
        </w:rPr>
        <w:pict w14:anchorId="6A66B624">
          <v:rect id="_x0000_s1029" style="position:absolute;left:0;text-align:left;margin-left:464.5pt;margin-top:8.05pt;width:75.05pt;height:14.1pt;z-index:251652096" o:allowincell="f" filled="f" stroked="f" strokecolor="lime" strokeweight=".25pt">
            <v:textbox inset="0,0,0,0">
              <w:txbxContent>
                <w:p w14:paraId="2276BAFC" w14:textId="77777777" w:rsidR="00CD332C" w:rsidRDefault="00CD332C">
                  <w:pPr>
                    <w:spacing w:line="160" w:lineRule="exact"/>
                    <w:jc w:val="left"/>
                    <w:rPr>
                      <w:rFonts w:cs="Miriam"/>
                      <w:noProof/>
                      <w:sz w:val="18"/>
                      <w:szCs w:val="18"/>
                      <w:rtl/>
                    </w:rPr>
                  </w:pPr>
                  <w:r>
                    <w:rPr>
                      <w:rFonts w:cs="Miriam"/>
                      <w:sz w:val="18"/>
                      <w:szCs w:val="18"/>
                      <w:rtl/>
                    </w:rPr>
                    <w:t>מס</w:t>
                  </w:r>
                  <w:r>
                    <w:rPr>
                      <w:rFonts w:cs="Miriam" w:hint="cs"/>
                      <w:sz w:val="18"/>
                      <w:szCs w:val="18"/>
                      <w:rtl/>
                    </w:rPr>
                    <w:t>ירת העתקים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מערער יגיש לועדה שני העתקים של המסמכים האלה:</w:t>
      </w:r>
    </w:p>
    <w:p w14:paraId="02D1E135" w14:textId="77777777" w:rsidR="00CD332C" w:rsidRDefault="00CD332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ודעת הערעור;</w:t>
      </w:r>
    </w:p>
    <w:p w14:paraId="48B95212" w14:textId="77777777" w:rsidR="00CD332C" w:rsidRDefault="004B1268">
      <w:pPr>
        <w:pStyle w:val="P22"/>
        <w:spacing w:before="72"/>
        <w:ind w:left="1021" w:right="1134"/>
        <w:rPr>
          <w:rStyle w:val="default"/>
          <w:rFonts w:cs="FrankRuehl"/>
          <w:rtl/>
        </w:rPr>
      </w:pPr>
      <w:r>
        <w:rPr>
          <w:rFonts w:cs="FrankRuehl" w:hint="cs"/>
          <w:sz w:val="26"/>
          <w:rtl/>
          <w:lang w:eastAsia="en-US"/>
        </w:rPr>
        <w:pict w14:anchorId="01668156">
          <v:rect id="_x0000_s1045" style="position:absolute;left:0;text-align:left;margin-left:462pt;margin-top:72.75pt;width:75.05pt;height:13.65pt;z-index:251666432" filled="f" stroked="f" strokecolor="lime" strokeweight=".25pt">
            <v:textbox inset="0,0,0,0">
              <w:txbxContent>
                <w:p w14:paraId="7AA59A67" w14:textId="77777777" w:rsidR="004B1268" w:rsidRDefault="004B1268" w:rsidP="004B1268">
                  <w:pPr>
                    <w:spacing w:line="160" w:lineRule="exact"/>
                    <w:jc w:val="left"/>
                    <w:rPr>
                      <w:rFonts w:cs="Miriam" w:hint="cs"/>
                      <w:noProof/>
                      <w:sz w:val="18"/>
                      <w:szCs w:val="18"/>
                      <w:rtl/>
                    </w:rPr>
                  </w:pPr>
                  <w:r>
                    <w:rPr>
                      <w:rFonts w:cs="Miriam" w:hint="cs"/>
                      <w:sz w:val="18"/>
                      <w:szCs w:val="18"/>
                      <w:rtl/>
                    </w:rPr>
                    <w:t>תשובת המשיב</w:t>
                  </w:r>
                </w:p>
              </w:txbxContent>
            </v:textbox>
            <w10:anchorlock/>
          </v:rect>
        </w:pict>
      </w:r>
      <w:r w:rsidR="00CD332C">
        <w:rPr>
          <w:rStyle w:val="default"/>
          <w:rFonts w:cs="FrankRuehl" w:hint="cs"/>
          <w:rtl/>
        </w:rPr>
        <w:t>(2)</w:t>
      </w:r>
      <w:r w:rsidR="00CD332C">
        <w:rPr>
          <w:rStyle w:val="default"/>
          <w:rFonts w:cs="FrankRuehl"/>
          <w:rtl/>
        </w:rPr>
        <w:tab/>
        <w:t>ה</w:t>
      </w:r>
      <w:r w:rsidR="00CD332C">
        <w:rPr>
          <w:rStyle w:val="default"/>
          <w:rFonts w:cs="FrankRuehl" w:hint="cs"/>
          <w:rtl/>
        </w:rPr>
        <w:t>חלטת המפקח שעליה הוא מערער;</w:t>
      </w:r>
    </w:p>
    <w:p w14:paraId="088E4FA4" w14:textId="77777777" w:rsidR="00CD332C" w:rsidRDefault="00CD332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צהרה בשבועה המצורפת להודעת הערעור.</w:t>
      </w:r>
    </w:p>
    <w:p w14:paraId="5691FB8D" w14:textId="77777777" w:rsidR="004B1268" w:rsidRDefault="00CD332C" w:rsidP="004B1268">
      <w:pPr>
        <w:pStyle w:val="P00"/>
        <w:spacing w:before="72"/>
        <w:ind w:left="0" w:right="1134"/>
        <w:rPr>
          <w:rStyle w:val="big-number"/>
          <w:rFonts w:cs="Miriam"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הוד</w:t>
      </w:r>
      <w:r>
        <w:rPr>
          <w:rStyle w:val="default"/>
          <w:rFonts w:cs="FrankRuehl"/>
          <w:rtl/>
        </w:rPr>
        <w:t>ע</w:t>
      </w:r>
      <w:r>
        <w:rPr>
          <w:rStyle w:val="default"/>
          <w:rFonts w:cs="FrankRuehl" w:hint="cs"/>
          <w:rtl/>
        </w:rPr>
        <w:t>ת הערעור, ימסור יושב ראש הועדה העתק אחד מהמסמכים האמורים בתקנת</w:t>
      </w:r>
      <w:r>
        <w:rPr>
          <w:rStyle w:val="default"/>
          <w:rFonts w:cs="FrankRuehl"/>
          <w:rtl/>
        </w:rPr>
        <w:t xml:space="preserve"> מ</w:t>
      </w:r>
      <w:r>
        <w:rPr>
          <w:rStyle w:val="default"/>
          <w:rFonts w:cs="FrankRuehl" w:hint="cs"/>
          <w:rtl/>
        </w:rPr>
        <w:t>שנה (א) למשיב.</w:t>
      </w:r>
    </w:p>
    <w:p w14:paraId="396C3A2C" w14:textId="77777777" w:rsidR="004B1268" w:rsidRDefault="004B1268" w:rsidP="004B1268">
      <w:pPr>
        <w:pStyle w:val="P00"/>
        <w:spacing w:before="72"/>
        <w:ind w:left="0" w:right="1134"/>
        <w:rPr>
          <w:rFonts w:cs="FrankRuehl" w:hint="cs"/>
          <w:sz w:val="26"/>
          <w:rtl/>
        </w:rPr>
      </w:pP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 רשאי להגיש לועדה, תוך חמישה עשר ימים מהיום שבו נמסר לו העת</w:t>
      </w:r>
      <w:r>
        <w:rPr>
          <w:rStyle w:val="default"/>
          <w:rFonts w:cs="FrankRuehl"/>
          <w:rtl/>
        </w:rPr>
        <w:t xml:space="preserve">ק </w:t>
      </w:r>
      <w:r>
        <w:rPr>
          <w:rStyle w:val="default"/>
          <w:rFonts w:cs="FrankRuehl" w:hint="cs"/>
          <w:rtl/>
        </w:rPr>
        <w:t>מהודעת הערעור כאמור, תשובה מנומקת בשני העתקים והוא רשאי להגיש הצהרה בשבועה לאימות העובדות ש</w:t>
      </w:r>
      <w:r>
        <w:rPr>
          <w:rStyle w:val="default"/>
          <w:rFonts w:cs="FrankRuehl"/>
          <w:rtl/>
        </w:rPr>
        <w:t>ע</w:t>
      </w:r>
      <w:r>
        <w:rPr>
          <w:rStyle w:val="default"/>
          <w:rFonts w:cs="FrankRuehl" w:hint="cs"/>
          <w:rtl/>
        </w:rPr>
        <w:t>ליהן הסתמך.</w:t>
      </w:r>
    </w:p>
    <w:p w14:paraId="08007DAF" w14:textId="77777777" w:rsidR="004B1268" w:rsidRDefault="004B1268" w:rsidP="004B1268">
      <w:pPr>
        <w:pStyle w:val="P00"/>
        <w:spacing w:before="72"/>
        <w:ind w:left="0" w:right="1134"/>
        <w:rPr>
          <w:rFonts w:cs="FrankRuehl" w:hint="cs"/>
          <w:sz w:val="26"/>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תשובה תיחתם ביד המשיב או בא כוחו.</w:t>
      </w:r>
    </w:p>
    <w:p w14:paraId="15E251EF" w14:textId="77777777" w:rsidR="004B1268" w:rsidRDefault="004B1268" w:rsidP="004B126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תשובת המשיב כאמור בתקנה זו, ימסור יושב ראש הועדה למערער העתק מהתשובה.</w:t>
      </w:r>
    </w:p>
    <w:p w14:paraId="266DE982" w14:textId="77777777" w:rsidR="00CD332C" w:rsidRDefault="00CD332C">
      <w:pPr>
        <w:pStyle w:val="P00"/>
        <w:spacing w:before="72"/>
        <w:ind w:left="0" w:right="1134"/>
        <w:rPr>
          <w:rStyle w:val="default"/>
          <w:rFonts w:cs="FrankRuehl"/>
          <w:rtl/>
        </w:rPr>
      </w:pPr>
      <w:bookmarkStart w:id="4" w:name="Seif4"/>
      <w:bookmarkEnd w:id="4"/>
      <w:r>
        <w:rPr>
          <w:lang w:val="he-IL"/>
        </w:rPr>
        <w:pict w14:anchorId="547C7631">
          <v:rect id="_x0000_s1030" style="position:absolute;left:0;text-align:left;margin-left:462pt;margin-top:8.05pt;width:77.55pt;height:18.6pt;z-index:251653120" o:allowincell="f" filled="f" stroked="f" strokecolor="lime" strokeweight=".25pt">
            <v:textbox style="mso-next-textbox:#_x0000_s1030" inset="0,0,0,0">
              <w:txbxContent>
                <w:p w14:paraId="77437517" w14:textId="77777777" w:rsidR="00CD332C" w:rsidRDefault="004B1268">
                  <w:pPr>
                    <w:spacing w:line="160" w:lineRule="exact"/>
                    <w:jc w:val="left"/>
                    <w:rPr>
                      <w:rFonts w:cs="Miriam" w:hint="cs"/>
                      <w:noProof/>
                      <w:sz w:val="18"/>
                      <w:szCs w:val="18"/>
                      <w:rtl/>
                    </w:rPr>
                  </w:pPr>
                  <w:r>
                    <w:rPr>
                      <w:rFonts w:cs="Miriam" w:hint="cs"/>
                      <w:sz w:val="18"/>
                      <w:szCs w:val="18"/>
                      <w:rtl/>
                    </w:rPr>
                    <w:t>החלטה על יסוד החומר בכתב</w:t>
                  </w:r>
                </w:p>
              </w:txbxContent>
            </v:textbox>
            <w10:anchorlock/>
          </v:rect>
        </w:pict>
      </w:r>
      <w:r>
        <w:rPr>
          <w:rStyle w:val="big-number"/>
          <w:rFonts w:cs="Miriam"/>
          <w:rtl/>
        </w:rPr>
        <w:t>6.</w:t>
      </w:r>
      <w:r>
        <w:rPr>
          <w:rStyle w:val="big-number"/>
          <w:rFonts w:cs="Miriam"/>
          <w:rtl/>
        </w:rPr>
        <w:tab/>
      </w:r>
      <w:r>
        <w:rPr>
          <w:rStyle w:val="default"/>
          <w:rFonts w:cs="FrankRuehl"/>
          <w:rtl/>
        </w:rPr>
        <w:t>וי</w:t>
      </w:r>
      <w:r>
        <w:rPr>
          <w:rStyle w:val="default"/>
          <w:rFonts w:cs="FrankRuehl" w:hint="cs"/>
          <w:rtl/>
        </w:rPr>
        <w:t>תרו המערער והמשיב לטעון את טענותיהם בפני הועדה, רשאית הועדת לתת את החלטתה על יסוד החומר בכתב שהובא בפניה.</w:t>
      </w:r>
    </w:p>
    <w:p w14:paraId="61A3F618" w14:textId="77777777" w:rsidR="00CD332C" w:rsidRDefault="00CD332C">
      <w:pPr>
        <w:pStyle w:val="P00"/>
        <w:spacing w:before="72"/>
        <w:ind w:left="0" w:right="1134"/>
        <w:rPr>
          <w:rStyle w:val="default"/>
          <w:rFonts w:cs="FrankRuehl"/>
          <w:rtl/>
        </w:rPr>
      </w:pPr>
      <w:bookmarkStart w:id="5" w:name="Seif5"/>
      <w:bookmarkEnd w:id="5"/>
      <w:r>
        <w:rPr>
          <w:lang w:val="he-IL"/>
        </w:rPr>
        <w:pict w14:anchorId="45CF0740">
          <v:rect id="_x0000_s1031" style="position:absolute;left:0;text-align:left;margin-left:464.5pt;margin-top:8.05pt;width:75.05pt;height:19.35pt;z-index:251654144" o:allowincell="f" filled="f" stroked="f" strokecolor="lime" strokeweight=".25pt">
            <v:textbox inset="0,0,0,0">
              <w:txbxContent>
                <w:p w14:paraId="1ABEE4F6" w14:textId="77777777" w:rsidR="00CD332C" w:rsidRDefault="00CD332C">
                  <w:pPr>
                    <w:spacing w:line="160" w:lineRule="exact"/>
                    <w:jc w:val="left"/>
                    <w:rPr>
                      <w:rFonts w:cs="Miriam"/>
                      <w:noProof/>
                      <w:sz w:val="18"/>
                      <w:szCs w:val="18"/>
                      <w:rtl/>
                    </w:rPr>
                  </w:pPr>
                  <w:r>
                    <w:rPr>
                      <w:rFonts w:cs="Miriam"/>
                      <w:sz w:val="18"/>
                      <w:szCs w:val="18"/>
                      <w:rtl/>
                    </w:rPr>
                    <w:t>קב</w:t>
                  </w:r>
                  <w:r>
                    <w:rPr>
                      <w:rFonts w:cs="Miriam" w:hint="cs"/>
                      <w:sz w:val="18"/>
                      <w:szCs w:val="18"/>
                      <w:rtl/>
                    </w:rPr>
                    <w:t>י</w:t>
                  </w:r>
                  <w:r>
                    <w:rPr>
                      <w:rFonts w:cs="Miriam"/>
                      <w:sz w:val="18"/>
                      <w:szCs w:val="18"/>
                      <w:rtl/>
                    </w:rPr>
                    <w:t>עת</w:t>
                  </w:r>
                  <w:r>
                    <w:rPr>
                      <w:rFonts w:cs="Miriam" w:hint="cs"/>
                      <w:sz w:val="18"/>
                      <w:szCs w:val="18"/>
                      <w:rtl/>
                    </w:rPr>
                    <w:t xml:space="preserve"> מועד לשמיעת הערעור</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ויתרו בעלי הדין כאמור בתקנה 6, או החליט יושב ראש הועדה להזמין את בעלי הדין, ייקבע, כתום חמישה עשר יום מיום הגשת הודעת ער</w:t>
      </w:r>
      <w:r>
        <w:rPr>
          <w:rStyle w:val="default"/>
          <w:rFonts w:cs="FrankRuehl"/>
          <w:rtl/>
        </w:rPr>
        <w:t>עו</w:t>
      </w:r>
      <w:r>
        <w:rPr>
          <w:rStyle w:val="default"/>
          <w:rFonts w:cs="FrankRuehl" w:hint="cs"/>
          <w:rtl/>
        </w:rPr>
        <w:t>ר, מועד לשמיעת הערעור, ותימסר לבעלי הדין על כך הודעה מוקדמת של חמישה עשר יום לפחות.</w:t>
      </w:r>
    </w:p>
    <w:p w14:paraId="6A24D6B3" w14:textId="77777777" w:rsidR="00CD332C" w:rsidRDefault="00CD332C">
      <w:pPr>
        <w:pStyle w:val="P00"/>
        <w:spacing w:before="72"/>
        <w:ind w:left="0" w:right="1134"/>
        <w:rPr>
          <w:rStyle w:val="default"/>
          <w:rFonts w:cs="FrankRuehl"/>
          <w:rtl/>
        </w:rPr>
      </w:pPr>
      <w:bookmarkStart w:id="6" w:name="Seif6"/>
      <w:bookmarkEnd w:id="6"/>
      <w:r>
        <w:rPr>
          <w:lang w:val="he-IL"/>
        </w:rPr>
        <w:lastRenderedPageBreak/>
        <w:pict w14:anchorId="3255F233">
          <v:rect id="_x0000_s1032" style="position:absolute;left:0;text-align:left;margin-left:464.5pt;margin-top:8.05pt;width:75.05pt;height:19.3pt;z-index:251655168" o:allowincell="f" filled="f" stroked="f" strokecolor="lime" strokeweight=".25pt">
            <v:textbox inset="0,0,0,0">
              <w:txbxContent>
                <w:p w14:paraId="6389AFB5" w14:textId="77777777" w:rsidR="00CD332C" w:rsidRDefault="00CD332C" w:rsidP="005D688D">
                  <w:pPr>
                    <w:spacing w:line="160" w:lineRule="exact"/>
                    <w:jc w:val="left"/>
                    <w:rPr>
                      <w:rFonts w:cs="Miriam"/>
                      <w:noProof/>
                      <w:sz w:val="18"/>
                      <w:szCs w:val="18"/>
                      <w:rtl/>
                    </w:rPr>
                  </w:pPr>
                  <w:r>
                    <w:rPr>
                      <w:rFonts w:cs="Miriam"/>
                      <w:sz w:val="18"/>
                      <w:szCs w:val="18"/>
                      <w:rtl/>
                    </w:rPr>
                    <w:t>הת</w:t>
                  </w:r>
                  <w:r>
                    <w:rPr>
                      <w:rFonts w:cs="Miriam" w:hint="cs"/>
                      <w:sz w:val="18"/>
                      <w:szCs w:val="18"/>
                      <w:rtl/>
                    </w:rPr>
                    <w:t>ייצבות</w:t>
                  </w:r>
                  <w:r w:rsidR="005D688D">
                    <w:rPr>
                      <w:rFonts w:cs="Miriam" w:hint="cs"/>
                      <w:sz w:val="18"/>
                      <w:szCs w:val="18"/>
                      <w:rtl/>
                    </w:rPr>
                    <w:t xml:space="preserve"> </w:t>
                  </w:r>
                  <w:r>
                    <w:rPr>
                      <w:rFonts w:cs="Miriam"/>
                      <w:sz w:val="18"/>
                      <w:szCs w:val="18"/>
                      <w:rtl/>
                    </w:rPr>
                    <w:t>לח</w:t>
                  </w:r>
                  <w:r>
                    <w:rPr>
                      <w:rFonts w:cs="Miriam" w:hint="cs"/>
                      <w:sz w:val="18"/>
                      <w:szCs w:val="18"/>
                      <w:rtl/>
                    </w:rPr>
                    <w:t>קירה שכנגד</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דין, הרוצה לחקור חקירה שכנגד אדם שמסר הצהרה בשבועה לאימות העובדות שעליהן מסתמך יריבו, יודיע על כך ליושב ראש הועדה ולאותו בעל דין לפחות שבעה ימים לפני המועד שנ</w:t>
      </w:r>
      <w:r>
        <w:rPr>
          <w:rStyle w:val="default"/>
          <w:rFonts w:cs="FrankRuehl"/>
          <w:rtl/>
        </w:rPr>
        <w:t>קב</w:t>
      </w:r>
      <w:r>
        <w:rPr>
          <w:rStyle w:val="default"/>
          <w:rFonts w:cs="FrankRuehl" w:hint="cs"/>
          <w:rtl/>
        </w:rPr>
        <w:t>ע לשמיעת הערעור.</w:t>
      </w:r>
    </w:p>
    <w:p w14:paraId="224D8505" w14:textId="77777777" w:rsidR="00CD332C" w:rsidRDefault="00CD33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דין, שנמסרה לו הודעה כאמור בתקנת </w:t>
      </w:r>
      <w:r>
        <w:rPr>
          <w:rStyle w:val="default"/>
          <w:rFonts w:cs="FrankRuehl"/>
          <w:rtl/>
        </w:rPr>
        <w:t>מ</w:t>
      </w:r>
      <w:r>
        <w:rPr>
          <w:rStyle w:val="default"/>
          <w:rFonts w:cs="FrankRuehl" w:hint="cs"/>
          <w:rtl/>
        </w:rPr>
        <w:t>שנה (א), יביא בפני הועדה את האדם שנדרש לחקירה שכנגד כאמור, ביום שנקבע לשמיעת הערעור.</w:t>
      </w:r>
    </w:p>
    <w:p w14:paraId="12F4CB30" w14:textId="77777777" w:rsidR="00CD332C" w:rsidRDefault="00CD332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הביא בעל דין אדם לחקירה שכנגד כאמור בתקנת משנה (ב), או סירב אותו אדם להשיב על שאלות שנשאל בחקירה שכנג</w:t>
      </w:r>
      <w:r>
        <w:rPr>
          <w:rStyle w:val="default"/>
          <w:rFonts w:cs="FrankRuehl"/>
          <w:rtl/>
        </w:rPr>
        <w:t xml:space="preserve">ד </w:t>
      </w:r>
      <w:r>
        <w:rPr>
          <w:rStyle w:val="default"/>
          <w:rFonts w:cs="FrankRuehl" w:hint="cs"/>
          <w:rtl/>
        </w:rPr>
        <w:t>בלי סיבה המתקבלת על דעת הועדה, לא תשמש הצהרת אותו אדם עדות,</w:t>
      </w:r>
      <w:r>
        <w:rPr>
          <w:rStyle w:val="default"/>
          <w:rFonts w:cs="FrankRuehl"/>
          <w:rtl/>
        </w:rPr>
        <w:t xml:space="preserve"> </w:t>
      </w:r>
      <w:r>
        <w:rPr>
          <w:rStyle w:val="default"/>
          <w:rFonts w:cs="FrankRuehl" w:hint="cs"/>
          <w:rtl/>
        </w:rPr>
        <w:t>אלא אם כן היתה הועדה משוכנעת שקבלת ההצהרה דרושה למען הצדק.</w:t>
      </w:r>
    </w:p>
    <w:p w14:paraId="5423B705" w14:textId="77777777" w:rsidR="00CD332C" w:rsidRDefault="00CD332C">
      <w:pPr>
        <w:pStyle w:val="P00"/>
        <w:spacing w:before="72"/>
        <w:ind w:left="0" w:right="1134"/>
        <w:rPr>
          <w:rStyle w:val="default"/>
          <w:rFonts w:cs="FrankRuehl"/>
          <w:rtl/>
        </w:rPr>
      </w:pPr>
      <w:bookmarkStart w:id="7" w:name="Seif7"/>
      <w:bookmarkEnd w:id="7"/>
      <w:r>
        <w:rPr>
          <w:lang w:val="he-IL"/>
        </w:rPr>
        <w:pict w14:anchorId="2639611A">
          <v:rect id="_x0000_s1033" style="position:absolute;left:0;text-align:left;margin-left:464.5pt;margin-top:8.05pt;width:75.05pt;height:13.35pt;z-index:251656192" o:allowincell="f" filled="f" stroked="f" strokecolor="lime" strokeweight=".25pt">
            <v:textbox inset="0,0,0,0">
              <w:txbxContent>
                <w:p w14:paraId="460373DB" w14:textId="77777777" w:rsidR="00CD332C" w:rsidRDefault="00CD332C">
                  <w:pPr>
                    <w:spacing w:line="160" w:lineRule="exact"/>
                    <w:jc w:val="left"/>
                    <w:rPr>
                      <w:rFonts w:cs="Miriam"/>
                      <w:noProof/>
                      <w:sz w:val="18"/>
                      <w:szCs w:val="18"/>
                      <w:rtl/>
                    </w:rPr>
                  </w:pPr>
                  <w:r>
                    <w:rPr>
                      <w:rFonts w:cs="Miriam"/>
                      <w:sz w:val="18"/>
                      <w:szCs w:val="18"/>
                      <w:rtl/>
                    </w:rPr>
                    <w:t>סד</w:t>
                  </w:r>
                  <w:r>
                    <w:rPr>
                      <w:rFonts w:cs="Miriam" w:hint="cs"/>
                      <w:sz w:val="18"/>
                      <w:szCs w:val="18"/>
                      <w:rtl/>
                    </w:rPr>
                    <w:t>ר הטענות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תשמע תחילה את טענות המערער ולאחר מכן את טענות המשיב.</w:t>
      </w:r>
    </w:p>
    <w:p w14:paraId="793118B3" w14:textId="77777777" w:rsidR="00CD332C" w:rsidRDefault="00CD33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להתיר למערער להשיב על טע</w:t>
      </w:r>
      <w:r>
        <w:rPr>
          <w:rStyle w:val="default"/>
          <w:rFonts w:cs="FrankRuehl"/>
          <w:rtl/>
        </w:rPr>
        <w:t>נו</w:t>
      </w:r>
      <w:r>
        <w:rPr>
          <w:rStyle w:val="default"/>
          <w:rFonts w:cs="FrankRuehl" w:hint="cs"/>
          <w:rtl/>
        </w:rPr>
        <w:t>ת המשיב, ככל שהדבר ייראה לה.</w:t>
      </w:r>
    </w:p>
    <w:p w14:paraId="6B8D7BB8" w14:textId="77777777" w:rsidR="00CD332C" w:rsidRDefault="00CD332C">
      <w:pPr>
        <w:pStyle w:val="P00"/>
        <w:spacing w:before="72"/>
        <w:ind w:left="0" w:right="1134"/>
        <w:rPr>
          <w:rStyle w:val="default"/>
          <w:rFonts w:cs="FrankRuehl"/>
          <w:rtl/>
        </w:rPr>
      </w:pPr>
      <w:bookmarkStart w:id="8" w:name="Seif8"/>
      <w:bookmarkEnd w:id="8"/>
      <w:r>
        <w:rPr>
          <w:lang w:val="he-IL"/>
        </w:rPr>
        <w:pict w14:anchorId="024EDC5E">
          <v:rect id="_x0000_s1034" style="position:absolute;left:0;text-align:left;margin-left:464.5pt;margin-top:8.05pt;width:75.05pt;height:21.45pt;z-index:251657216" o:allowincell="f" filled="f" stroked="f" strokecolor="lime" strokeweight=".25pt">
            <v:textbox inset="0,0,0,0">
              <w:txbxContent>
                <w:p w14:paraId="146F3C32" w14:textId="77777777" w:rsidR="00CD332C" w:rsidRDefault="00CD332C">
                  <w:pPr>
                    <w:spacing w:line="160" w:lineRule="exact"/>
                    <w:jc w:val="left"/>
                    <w:rPr>
                      <w:rFonts w:cs="Miriam"/>
                      <w:noProof/>
                      <w:sz w:val="18"/>
                      <w:szCs w:val="18"/>
                      <w:rtl/>
                    </w:rPr>
                  </w:pPr>
                  <w:r>
                    <w:rPr>
                      <w:rFonts w:cs="Miriam"/>
                      <w:sz w:val="18"/>
                      <w:szCs w:val="18"/>
                      <w:rtl/>
                    </w:rPr>
                    <w:t>די</w:t>
                  </w:r>
                  <w:r>
                    <w:rPr>
                      <w:rFonts w:cs="Miriam" w:hint="cs"/>
                      <w:sz w:val="18"/>
                      <w:szCs w:val="18"/>
                      <w:rtl/>
                    </w:rPr>
                    <w:t>ון שלא בפני בעלי הדין</w:t>
                  </w:r>
                </w:p>
              </w:txbxContent>
            </v:textbox>
            <w10:anchorlock/>
          </v:rect>
        </w:pict>
      </w:r>
      <w:r>
        <w:rPr>
          <w:rStyle w:val="big-number"/>
          <w:rFonts w:cs="Miriam"/>
          <w:rtl/>
        </w:rPr>
        <w:t>10.</w:t>
      </w:r>
      <w:r>
        <w:rPr>
          <w:rStyle w:val="big-number"/>
          <w:rFonts w:cs="Miriam"/>
          <w:rtl/>
        </w:rPr>
        <w:tab/>
      </w:r>
      <w:r>
        <w:rPr>
          <w:rStyle w:val="default"/>
          <w:rFonts w:cs="FrankRuehl"/>
          <w:rtl/>
        </w:rPr>
        <w:t>בע</w:t>
      </w:r>
      <w:r>
        <w:rPr>
          <w:rStyle w:val="default"/>
          <w:rFonts w:cs="FrankRuehl" w:hint="cs"/>
          <w:rtl/>
        </w:rPr>
        <w:t>לי דין שהוזמנו כדין ולא התייצבו שניהם או אחד מהם בפני הועדה, במועד שנקבע לשמיעת הערעור או במועד שנדחה לפי תקנה 13, יחולו לגביהם הוראות אלה:</w:t>
      </w:r>
    </w:p>
    <w:p w14:paraId="2DD022E1" w14:textId="77777777" w:rsidR="00CD332C" w:rsidRDefault="00CD332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תייצב המערער ולא התייצב המשיב, רשאית הועדה לדחות את שמיעת הערעור או לשמוע</w:t>
      </w:r>
      <w:r>
        <w:rPr>
          <w:rStyle w:val="default"/>
          <w:rFonts w:cs="FrankRuehl"/>
          <w:rtl/>
        </w:rPr>
        <w:t xml:space="preserve"> א</w:t>
      </w:r>
      <w:r>
        <w:rPr>
          <w:rStyle w:val="default"/>
          <w:rFonts w:cs="FrankRuehl" w:hint="cs"/>
          <w:rtl/>
        </w:rPr>
        <w:t>ת הערעור שלא בפני המ</w:t>
      </w:r>
      <w:r>
        <w:rPr>
          <w:rStyle w:val="default"/>
          <w:rFonts w:cs="FrankRuehl"/>
          <w:rtl/>
        </w:rPr>
        <w:t>ש</w:t>
      </w:r>
      <w:r>
        <w:rPr>
          <w:rStyle w:val="default"/>
          <w:rFonts w:cs="FrankRuehl" w:hint="cs"/>
          <w:rtl/>
        </w:rPr>
        <w:t>יב;</w:t>
      </w:r>
    </w:p>
    <w:p w14:paraId="24D6CDE8" w14:textId="77777777" w:rsidR="00CD332C" w:rsidRDefault="00CD332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תייצב המשיב ולא התייצב המערער או לא התייצבו שניהם, רשאית הועדה לדחות את שמיעת הערעור או לבטל את הערעור.</w:t>
      </w:r>
    </w:p>
    <w:p w14:paraId="5FA611A6" w14:textId="77777777" w:rsidR="00CD332C" w:rsidRDefault="00CD332C">
      <w:pPr>
        <w:pStyle w:val="P00"/>
        <w:spacing w:before="72"/>
        <w:ind w:left="0" w:right="1134"/>
        <w:rPr>
          <w:rStyle w:val="default"/>
          <w:rFonts w:cs="FrankRuehl"/>
          <w:rtl/>
        </w:rPr>
      </w:pPr>
      <w:bookmarkStart w:id="9" w:name="Seif9"/>
      <w:bookmarkEnd w:id="9"/>
      <w:r>
        <w:rPr>
          <w:lang w:val="he-IL"/>
        </w:rPr>
        <w:pict w14:anchorId="2668C549">
          <v:rect id="_x0000_s1035" style="position:absolute;left:0;text-align:left;margin-left:464.5pt;margin-top:8.05pt;width:75.05pt;height:13.3pt;z-index:251658240" o:allowincell="f" filled="f" stroked="f" strokecolor="lime" strokeweight=".25pt">
            <v:textbox inset="0,0,0,0">
              <w:txbxContent>
                <w:p w14:paraId="5ECDD4F9" w14:textId="77777777" w:rsidR="00CD332C" w:rsidRDefault="00CD332C">
                  <w:pPr>
                    <w:spacing w:line="160" w:lineRule="exact"/>
                    <w:jc w:val="left"/>
                    <w:rPr>
                      <w:rFonts w:cs="Miriam"/>
                      <w:noProof/>
                      <w:sz w:val="18"/>
                      <w:szCs w:val="18"/>
                      <w:rtl/>
                    </w:rPr>
                  </w:pPr>
                  <w:r>
                    <w:rPr>
                      <w:rFonts w:cs="Miriam"/>
                      <w:sz w:val="18"/>
                      <w:szCs w:val="18"/>
                      <w:rtl/>
                    </w:rPr>
                    <w:t>טע</w:t>
                  </w:r>
                  <w:r>
                    <w:rPr>
                      <w:rFonts w:cs="Miriam" w:hint="cs"/>
                      <w:sz w:val="18"/>
                      <w:szCs w:val="18"/>
                      <w:rtl/>
                    </w:rPr>
                    <w:t>נת פגם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שמיעת הערעור לא תיזקק הועדה לכל טענות פגם בצורת הודעת הערעור אלא אם כן נמסרה הודעה בכתב על כך למערער לפחות שבע</w:t>
      </w:r>
      <w:r>
        <w:rPr>
          <w:rStyle w:val="default"/>
          <w:rFonts w:cs="FrankRuehl"/>
          <w:rtl/>
        </w:rPr>
        <w:t xml:space="preserve">ה </w:t>
      </w:r>
      <w:r>
        <w:rPr>
          <w:rStyle w:val="default"/>
          <w:rFonts w:cs="FrankRuehl" w:hint="cs"/>
          <w:rtl/>
        </w:rPr>
        <w:t>ימים לפני היום שנקבע לשמיעת הערעור והמערער לא תיקן את הפגם לפני אותו יום.</w:t>
      </w:r>
    </w:p>
    <w:p w14:paraId="00FFFB61" w14:textId="77777777" w:rsidR="00CD332C" w:rsidRDefault="00CD332C" w:rsidP="005D688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מסרה הודעה כאמור בתקנת משנה (א) והמערער לא תיקן את הפגם בעוד מועד, רשאית הועדה </w:t>
      </w:r>
      <w:r w:rsidR="005D688D">
        <w:rPr>
          <w:rStyle w:val="default"/>
          <w:rFonts w:cs="FrankRuehl" w:hint="cs"/>
          <w:rtl/>
        </w:rPr>
        <w:t>-</w:t>
      </w:r>
      <w:r>
        <w:rPr>
          <w:rStyle w:val="default"/>
          <w:rFonts w:cs="FrankRuehl"/>
          <w:rtl/>
        </w:rPr>
        <w:t xml:space="preserve"> </w:t>
      </w:r>
      <w:r>
        <w:rPr>
          <w:rStyle w:val="default"/>
          <w:rFonts w:cs="FrankRuehl" w:hint="cs"/>
          <w:rtl/>
        </w:rPr>
        <w:t xml:space="preserve">מטעמים מיוחדים </w:t>
      </w:r>
      <w:r w:rsidR="005D688D">
        <w:rPr>
          <w:rStyle w:val="default"/>
          <w:rFonts w:cs="FrankRuehl" w:hint="cs"/>
          <w:rtl/>
        </w:rPr>
        <w:t>-</w:t>
      </w:r>
      <w:r>
        <w:rPr>
          <w:rStyle w:val="default"/>
          <w:rFonts w:cs="FrankRuehl"/>
          <w:rtl/>
        </w:rPr>
        <w:t xml:space="preserve"> </w:t>
      </w:r>
      <w:r>
        <w:rPr>
          <w:rStyle w:val="default"/>
          <w:rFonts w:cs="FrankRuehl" w:hint="cs"/>
          <w:rtl/>
        </w:rPr>
        <w:t>להרשות למערער לתקן את הפגם בתנאים שתקבעם.</w:t>
      </w:r>
    </w:p>
    <w:p w14:paraId="775B6531" w14:textId="77777777" w:rsidR="00CD332C" w:rsidRDefault="00CD332C">
      <w:pPr>
        <w:pStyle w:val="P00"/>
        <w:spacing w:before="72"/>
        <w:ind w:left="0" w:right="1134"/>
        <w:rPr>
          <w:rStyle w:val="default"/>
          <w:rFonts w:cs="FrankRuehl"/>
          <w:rtl/>
        </w:rPr>
      </w:pPr>
      <w:bookmarkStart w:id="10" w:name="Seif10"/>
      <w:bookmarkEnd w:id="10"/>
      <w:r>
        <w:rPr>
          <w:lang w:val="he-IL"/>
        </w:rPr>
        <w:pict w14:anchorId="1C6551C6">
          <v:rect id="_x0000_s1036" style="position:absolute;left:0;text-align:left;margin-left:464.5pt;margin-top:8.05pt;width:75.05pt;height:19.85pt;z-index:251659264" o:allowincell="f" filled="f" stroked="f" strokecolor="lime" strokeweight=".25pt">
            <v:textbox inset="0,0,0,0">
              <w:txbxContent>
                <w:p w14:paraId="02FA0543" w14:textId="77777777" w:rsidR="00CD332C" w:rsidRDefault="00CD332C">
                  <w:pPr>
                    <w:spacing w:line="160" w:lineRule="exact"/>
                    <w:jc w:val="left"/>
                    <w:rPr>
                      <w:rFonts w:cs="Miriam"/>
                      <w:noProof/>
                      <w:sz w:val="18"/>
                      <w:szCs w:val="18"/>
                      <w:rtl/>
                    </w:rPr>
                  </w:pPr>
                  <w:r>
                    <w:rPr>
                      <w:rFonts w:cs="Miriam"/>
                      <w:sz w:val="18"/>
                      <w:szCs w:val="18"/>
                      <w:rtl/>
                    </w:rPr>
                    <w:t>הד</w:t>
                  </w:r>
                  <w:r>
                    <w:rPr>
                      <w:rFonts w:cs="Miriam" w:hint="cs"/>
                      <w:sz w:val="18"/>
                      <w:szCs w:val="18"/>
                      <w:rtl/>
                    </w:rPr>
                    <w:t>יון מוגבל לנימוקים שבכתב</w:t>
                  </w:r>
                </w:p>
              </w:txbxContent>
            </v:textbox>
            <w10:anchorlock/>
          </v:rect>
        </w:pict>
      </w:r>
      <w:r>
        <w:rPr>
          <w:rStyle w:val="big-number"/>
          <w:rFonts w:cs="Miriam"/>
          <w:rtl/>
        </w:rPr>
        <w:t>12.</w:t>
      </w:r>
      <w:r>
        <w:rPr>
          <w:rStyle w:val="big-number"/>
          <w:rFonts w:cs="Miriam"/>
          <w:rtl/>
        </w:rPr>
        <w:tab/>
      </w:r>
      <w:r>
        <w:rPr>
          <w:rStyle w:val="default"/>
          <w:rFonts w:cs="FrankRuehl"/>
          <w:rtl/>
        </w:rPr>
        <w:t>בש</w:t>
      </w:r>
      <w:r>
        <w:rPr>
          <w:rStyle w:val="default"/>
          <w:rFonts w:cs="FrankRuehl" w:hint="cs"/>
          <w:rtl/>
        </w:rPr>
        <w:t>מיעת הערע</w:t>
      </w:r>
      <w:r>
        <w:rPr>
          <w:rStyle w:val="default"/>
          <w:rFonts w:cs="FrankRuehl"/>
          <w:rtl/>
        </w:rPr>
        <w:t>ו</w:t>
      </w:r>
      <w:r>
        <w:rPr>
          <w:rStyle w:val="default"/>
          <w:rFonts w:cs="FrankRuehl" w:hint="cs"/>
          <w:rtl/>
        </w:rPr>
        <w:t xml:space="preserve">ר לא תיזקק הועדה </w:t>
      </w:r>
      <w:r>
        <w:rPr>
          <w:rStyle w:val="default"/>
          <w:rFonts w:cs="FrankRuehl"/>
          <w:rtl/>
        </w:rPr>
        <w:t>לכ</w:t>
      </w:r>
      <w:r>
        <w:rPr>
          <w:rStyle w:val="default"/>
          <w:rFonts w:cs="FrankRuehl" w:hint="cs"/>
          <w:rtl/>
        </w:rPr>
        <w:t>ל נימוק שלא הוזכר בהודעת הערעור או בתשובת המשיב, אלא אם כן היא משוכנעת ששמיעת הנימוק שלא הוזכר כאמור דרושה למען הצדק.</w:t>
      </w:r>
    </w:p>
    <w:p w14:paraId="08460869" w14:textId="77777777" w:rsidR="00CD332C" w:rsidRDefault="00CD332C">
      <w:pPr>
        <w:pStyle w:val="P00"/>
        <w:spacing w:before="72"/>
        <w:ind w:left="0" w:right="1134"/>
        <w:rPr>
          <w:rStyle w:val="default"/>
          <w:rFonts w:cs="FrankRuehl"/>
          <w:rtl/>
        </w:rPr>
      </w:pPr>
      <w:bookmarkStart w:id="11" w:name="Seif11"/>
      <w:bookmarkEnd w:id="11"/>
      <w:r>
        <w:rPr>
          <w:lang w:val="he-IL"/>
        </w:rPr>
        <w:pict w14:anchorId="75FED1A6">
          <v:rect id="_x0000_s1037" style="position:absolute;left:0;text-align:left;margin-left:464.5pt;margin-top:8.05pt;width:75.05pt;height:14.95pt;z-index:251660288" o:allowincell="f" filled="f" stroked="f" strokecolor="lime" strokeweight=".25pt">
            <v:textbox inset="0,0,0,0">
              <w:txbxContent>
                <w:p w14:paraId="7BD19EB2" w14:textId="77777777" w:rsidR="00CD332C" w:rsidRDefault="00CD332C">
                  <w:pPr>
                    <w:spacing w:line="160" w:lineRule="exact"/>
                    <w:jc w:val="left"/>
                    <w:rPr>
                      <w:rFonts w:cs="Miriam"/>
                      <w:noProof/>
                      <w:sz w:val="18"/>
                      <w:szCs w:val="18"/>
                      <w:rtl/>
                    </w:rPr>
                  </w:pPr>
                  <w:r>
                    <w:rPr>
                      <w:rFonts w:cs="Miriam"/>
                      <w:sz w:val="18"/>
                      <w:szCs w:val="18"/>
                      <w:rtl/>
                    </w:rPr>
                    <w:t>דח</w:t>
                  </w:r>
                  <w:r>
                    <w:rPr>
                      <w:rFonts w:cs="Miriam" w:hint="cs"/>
                      <w:sz w:val="18"/>
                      <w:szCs w:val="18"/>
                      <w:rtl/>
                    </w:rPr>
                    <w:t>יית הבירור</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עדה רשאית לדחות את שמיעת הערעור או את המשך הדיון בו.</w:t>
      </w:r>
    </w:p>
    <w:p w14:paraId="01BD49B0" w14:textId="77777777" w:rsidR="00CD332C" w:rsidRDefault="00CD332C">
      <w:pPr>
        <w:pStyle w:val="P00"/>
        <w:spacing w:before="72"/>
        <w:ind w:left="0" w:right="1134"/>
        <w:rPr>
          <w:rStyle w:val="default"/>
          <w:rFonts w:cs="FrankRuehl"/>
          <w:rtl/>
        </w:rPr>
      </w:pPr>
      <w:bookmarkStart w:id="12" w:name="Seif12"/>
      <w:bookmarkEnd w:id="12"/>
      <w:r>
        <w:rPr>
          <w:lang w:val="he-IL"/>
        </w:rPr>
        <w:pict w14:anchorId="4BBDBA66">
          <v:rect id="_x0000_s1038" style="position:absolute;left:0;text-align:left;margin-left:464.5pt;margin-top:8.05pt;width:75.05pt;height:11.8pt;z-index:251661312" o:allowincell="f" filled="f" stroked="f" strokecolor="lime" strokeweight=".25pt">
            <v:textbox inset="0,0,0,0">
              <w:txbxContent>
                <w:p w14:paraId="38C1F028" w14:textId="77777777" w:rsidR="00CD332C" w:rsidRDefault="00CD332C">
                  <w:pPr>
                    <w:spacing w:line="160" w:lineRule="exact"/>
                    <w:jc w:val="left"/>
                    <w:rPr>
                      <w:rFonts w:cs="Miriam"/>
                      <w:noProof/>
                      <w:sz w:val="18"/>
                      <w:szCs w:val="18"/>
                      <w:rtl/>
                    </w:rPr>
                  </w:pPr>
                  <w:r>
                    <w:rPr>
                      <w:rFonts w:cs="Miriam"/>
                      <w:sz w:val="18"/>
                      <w:szCs w:val="18"/>
                      <w:rtl/>
                    </w:rPr>
                    <w:t>בי</w:t>
                  </w:r>
                  <w:r>
                    <w:rPr>
                      <w:rFonts w:cs="Miriam" w:hint="cs"/>
                      <w:sz w:val="18"/>
                      <w:szCs w:val="18"/>
                      <w:rtl/>
                    </w:rPr>
                    <w:t>טול ערעור</w:t>
                  </w:r>
                </w:p>
              </w:txbxContent>
            </v:textbox>
            <w10:anchorlock/>
          </v:rect>
        </w:pict>
      </w:r>
      <w:r>
        <w:rPr>
          <w:rStyle w:val="big-number"/>
          <w:rFonts w:cs="Miriam"/>
          <w:rtl/>
        </w:rPr>
        <w:t>14.</w:t>
      </w:r>
      <w:r>
        <w:rPr>
          <w:rStyle w:val="big-number"/>
          <w:rFonts w:cs="Miriam"/>
          <w:rtl/>
        </w:rPr>
        <w:tab/>
      </w:r>
      <w:r>
        <w:rPr>
          <w:rStyle w:val="default"/>
          <w:rFonts w:cs="FrankRuehl"/>
          <w:rtl/>
        </w:rPr>
        <w:t>עד</w:t>
      </w:r>
      <w:r>
        <w:rPr>
          <w:rStyle w:val="default"/>
          <w:rFonts w:cs="FrankRuehl" w:hint="cs"/>
          <w:rtl/>
        </w:rPr>
        <w:t xml:space="preserve"> למתן החלטת הועדה, רשאי המערער לחזור בו מערעורו על ידי מתן הודעה בכתב</w:t>
      </w:r>
      <w:r>
        <w:rPr>
          <w:rStyle w:val="default"/>
          <w:rFonts w:cs="FrankRuehl"/>
          <w:rtl/>
        </w:rPr>
        <w:t xml:space="preserve"> ל</w:t>
      </w:r>
      <w:r>
        <w:rPr>
          <w:rStyle w:val="default"/>
          <w:rFonts w:cs="FrankRuehl" w:hint="cs"/>
          <w:rtl/>
        </w:rPr>
        <w:t>ועדה ומסירת העתק ממנה למשיב; משעשה כן, בטל הערעור והמערער ישלם למשיב, על פי בקשתו, את ההוצאות שתקבע הועדה.</w:t>
      </w:r>
    </w:p>
    <w:p w14:paraId="55C0987D" w14:textId="77777777" w:rsidR="00CD332C" w:rsidRDefault="00CD332C">
      <w:pPr>
        <w:pStyle w:val="P00"/>
        <w:spacing w:before="72"/>
        <w:ind w:left="0" w:right="1134"/>
        <w:rPr>
          <w:rStyle w:val="default"/>
          <w:rFonts w:cs="FrankRuehl"/>
          <w:rtl/>
        </w:rPr>
      </w:pPr>
      <w:bookmarkStart w:id="13" w:name="Seif13"/>
      <w:bookmarkEnd w:id="13"/>
      <w:r>
        <w:rPr>
          <w:lang w:val="he-IL"/>
        </w:rPr>
        <w:pict w14:anchorId="48A4C6E0">
          <v:rect id="_x0000_s1039" style="position:absolute;left:0;text-align:left;margin-left:464.5pt;margin-top:8.05pt;width:75.05pt;height:10.7pt;z-index:251662336" o:allowincell="f" filled="f" stroked="f" strokecolor="lime" strokeweight=".25pt">
            <v:textbox inset="0,0,0,0">
              <w:txbxContent>
                <w:p w14:paraId="08F23349" w14:textId="77777777" w:rsidR="00CD332C" w:rsidRDefault="00CD332C">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חלטת הועדה תהיה מנומקת.</w:t>
      </w:r>
    </w:p>
    <w:p w14:paraId="58A6CC0D" w14:textId="77777777" w:rsidR="00CD332C" w:rsidRDefault="00CD33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הועדה תיערך בכתב ותיחתם ביד היושב ראש וחב</w:t>
      </w:r>
      <w:r>
        <w:rPr>
          <w:rStyle w:val="default"/>
          <w:rFonts w:cs="FrankRuehl"/>
          <w:rtl/>
        </w:rPr>
        <w:t>ר</w:t>
      </w:r>
      <w:r>
        <w:rPr>
          <w:rStyle w:val="default"/>
          <w:rFonts w:cs="FrankRuehl" w:hint="cs"/>
          <w:rtl/>
        </w:rPr>
        <w:t>י הועדה.</w:t>
      </w:r>
    </w:p>
    <w:p w14:paraId="11EEFAFF" w14:textId="77777777" w:rsidR="00CD332C" w:rsidRDefault="00CD332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עתק ההחלטה מאושר ב</w:t>
      </w:r>
      <w:r>
        <w:rPr>
          <w:rStyle w:val="default"/>
          <w:rFonts w:cs="FrankRuehl"/>
          <w:rtl/>
        </w:rPr>
        <w:t>יד</w:t>
      </w:r>
      <w:r>
        <w:rPr>
          <w:rStyle w:val="default"/>
          <w:rFonts w:cs="FrankRuehl" w:hint="cs"/>
          <w:rtl/>
        </w:rPr>
        <w:t xml:space="preserve"> יושב ראש הועדה, יימסר למערער ולמשיב סמוך ככל האפשר למתן ההחלטה.</w:t>
      </w:r>
    </w:p>
    <w:p w14:paraId="181FCE2C" w14:textId="77777777" w:rsidR="00CD332C" w:rsidRDefault="00CD332C">
      <w:pPr>
        <w:pStyle w:val="P00"/>
        <w:spacing w:before="72"/>
        <w:ind w:left="0" w:right="1134"/>
        <w:rPr>
          <w:rStyle w:val="default"/>
          <w:rFonts w:cs="FrankRuehl"/>
          <w:rtl/>
        </w:rPr>
      </w:pPr>
      <w:bookmarkStart w:id="14" w:name="Seif14"/>
      <w:bookmarkEnd w:id="14"/>
      <w:r>
        <w:rPr>
          <w:lang w:val="he-IL"/>
        </w:rPr>
        <w:pict w14:anchorId="746E67D2">
          <v:rect id="_x0000_s1040" style="position:absolute;left:0;text-align:left;margin-left:464.5pt;margin-top:8.05pt;width:75.05pt;height:11.8pt;z-index:251663360" o:allowincell="f" filled="f" stroked="f" strokecolor="lime" strokeweight=".25pt">
            <v:textbox inset="0,0,0,0">
              <w:txbxContent>
                <w:p w14:paraId="58B536D3" w14:textId="77777777" w:rsidR="00CD332C" w:rsidRDefault="00CD332C">
                  <w:pPr>
                    <w:spacing w:line="160" w:lineRule="exact"/>
                    <w:jc w:val="left"/>
                    <w:rPr>
                      <w:rFonts w:cs="Miriam"/>
                      <w:noProof/>
                      <w:sz w:val="18"/>
                      <w:szCs w:val="18"/>
                      <w:rtl/>
                    </w:rPr>
                  </w:pPr>
                  <w:r>
                    <w:rPr>
                      <w:rFonts w:cs="Miriam"/>
                      <w:sz w:val="18"/>
                      <w:szCs w:val="18"/>
                      <w:rtl/>
                    </w:rPr>
                    <w:t>מי</w:t>
                  </w:r>
                  <w:r>
                    <w:rPr>
                      <w:rFonts w:cs="Miriam" w:hint="cs"/>
                      <w:sz w:val="18"/>
                      <w:szCs w:val="18"/>
                      <w:rtl/>
                    </w:rPr>
                    <w:t>זוג ערעורים</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עדה רשאית למזג ערעורים התלויים ועומדים בפניה, לדון בהם במשותף ולתת החלטה אחת בכולם, אם כרוכות בהם אותן בעיות חוק או אותן בעיות עובדה, או בעיות חוק או בעיות עובדה דומות.</w:t>
      </w:r>
    </w:p>
    <w:p w14:paraId="1735370B" w14:textId="77777777" w:rsidR="00CD332C" w:rsidRDefault="00CD332C">
      <w:pPr>
        <w:pStyle w:val="P00"/>
        <w:spacing w:before="72"/>
        <w:ind w:left="0" w:right="1134"/>
        <w:rPr>
          <w:rStyle w:val="default"/>
          <w:rFonts w:cs="FrankRuehl"/>
          <w:rtl/>
        </w:rPr>
      </w:pPr>
      <w:bookmarkStart w:id="15" w:name="Seif15"/>
      <w:bookmarkEnd w:id="15"/>
      <w:r>
        <w:rPr>
          <w:lang w:val="he-IL"/>
        </w:rPr>
        <w:pict w14:anchorId="4A91EB6F">
          <v:rect id="_x0000_s1041" style="position:absolute;left:0;text-align:left;margin-left:464.5pt;margin-top:8.05pt;width:75.05pt;height:10.65pt;z-index:251664384" o:allowincell="f" filled="f" stroked="f" strokecolor="lime" strokeweight=".25pt">
            <v:textbox inset="0,0,0,0">
              <w:txbxContent>
                <w:p w14:paraId="50FCC640" w14:textId="77777777" w:rsidR="00CD332C" w:rsidRDefault="00CD332C">
                  <w:pPr>
                    <w:spacing w:line="160" w:lineRule="exact"/>
                    <w:jc w:val="left"/>
                    <w:rPr>
                      <w:rFonts w:cs="Miriam"/>
                      <w:noProof/>
                      <w:sz w:val="18"/>
                      <w:szCs w:val="18"/>
                      <w:rtl/>
                    </w:rPr>
                  </w:pPr>
                  <w:r>
                    <w:rPr>
                      <w:rFonts w:cs="Miriam"/>
                      <w:sz w:val="18"/>
                      <w:szCs w:val="18"/>
                      <w:rtl/>
                    </w:rPr>
                    <w:t>צי</w:t>
                  </w:r>
                  <w:r>
                    <w:rPr>
                      <w:rFonts w:cs="Miriam" w:hint="cs"/>
                      <w:sz w:val="18"/>
                      <w:szCs w:val="18"/>
                      <w:rtl/>
                    </w:rPr>
                    <w:t>רוף בעלי-דין</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עדה רש</w:t>
      </w:r>
      <w:r>
        <w:rPr>
          <w:rStyle w:val="default"/>
          <w:rFonts w:cs="FrankRuehl"/>
          <w:rtl/>
        </w:rPr>
        <w:t>אי</w:t>
      </w:r>
      <w:r>
        <w:rPr>
          <w:rStyle w:val="default"/>
          <w:rFonts w:cs="FrankRuehl" w:hint="cs"/>
          <w:rtl/>
        </w:rPr>
        <w:t>ת בכל שלב משלבי מהלך הדיון לצרף כמערער או כמשיב בערעור שבפניה, כל אדם שלדעתה יש לו ענין בערעור.</w:t>
      </w:r>
    </w:p>
    <w:p w14:paraId="6F8D584A" w14:textId="77777777" w:rsidR="00CD332C" w:rsidRDefault="00CD332C" w:rsidP="005D688D">
      <w:pPr>
        <w:pStyle w:val="P00"/>
        <w:spacing w:before="72"/>
        <w:ind w:left="0" w:right="1134"/>
        <w:rPr>
          <w:rStyle w:val="default"/>
          <w:rFonts w:cs="FrankRuehl"/>
          <w:rtl/>
        </w:rPr>
      </w:pPr>
      <w:bookmarkStart w:id="16" w:name="Seif16"/>
      <w:bookmarkEnd w:id="16"/>
      <w:r>
        <w:rPr>
          <w:lang w:val="he-IL"/>
        </w:rPr>
        <w:pict w14:anchorId="5B01DCCF">
          <v:rect id="_x0000_s1042" style="position:absolute;left:0;text-align:left;margin-left:464.5pt;margin-top:8.05pt;width:75.05pt;height:11.35pt;z-index:251665408" o:allowincell="f" filled="f" stroked="f" strokecolor="lime" strokeweight=".25pt">
            <v:textbox inset="0,0,0,0">
              <w:txbxContent>
                <w:p w14:paraId="3643BFC9" w14:textId="77777777" w:rsidR="00CD332C" w:rsidRDefault="00CD332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18.</w:t>
      </w:r>
      <w:r>
        <w:rPr>
          <w:rStyle w:val="big-number"/>
          <w:rFonts w:cs="Miriam"/>
          <w:rtl/>
        </w:rPr>
        <w:tab/>
      </w:r>
      <w:r>
        <w:rPr>
          <w:rStyle w:val="default"/>
          <w:rFonts w:cs="FrankRuehl"/>
          <w:rtl/>
        </w:rPr>
        <w:t>לת</w:t>
      </w:r>
      <w:r>
        <w:rPr>
          <w:rStyle w:val="default"/>
          <w:rFonts w:cs="FrankRuehl" w:hint="cs"/>
          <w:rtl/>
        </w:rPr>
        <w:t>קנות אלה ייקרא "תקנות חמרי נפץ (סדרי הדין לפני ועדת הערעור), תשי"ז</w:t>
      </w:r>
      <w:r w:rsidR="005D688D">
        <w:rPr>
          <w:rStyle w:val="default"/>
          <w:rFonts w:cs="FrankRuehl" w:hint="cs"/>
          <w:rtl/>
        </w:rPr>
        <w:t>-</w:t>
      </w:r>
      <w:r>
        <w:rPr>
          <w:rStyle w:val="default"/>
          <w:rFonts w:cs="FrankRuehl"/>
          <w:rtl/>
        </w:rPr>
        <w:t>1956".</w:t>
      </w:r>
    </w:p>
    <w:p w14:paraId="1C811109" w14:textId="77777777" w:rsidR="00CD332C" w:rsidRDefault="00CD332C">
      <w:pPr>
        <w:pStyle w:val="P00"/>
        <w:spacing w:before="72"/>
        <w:ind w:left="0" w:right="1134"/>
        <w:rPr>
          <w:rStyle w:val="default"/>
          <w:rFonts w:cs="FrankRuehl" w:hint="cs"/>
          <w:rtl/>
        </w:rPr>
      </w:pPr>
    </w:p>
    <w:p w14:paraId="1E774D61" w14:textId="77777777" w:rsidR="005D688D" w:rsidRDefault="005D688D">
      <w:pPr>
        <w:pStyle w:val="P00"/>
        <w:spacing w:before="72"/>
        <w:ind w:left="0" w:right="1134"/>
        <w:rPr>
          <w:rStyle w:val="default"/>
          <w:rFonts w:cs="FrankRuehl" w:hint="cs"/>
          <w:rtl/>
        </w:rPr>
      </w:pPr>
    </w:p>
    <w:p w14:paraId="61E0442C" w14:textId="77777777" w:rsidR="00CD332C" w:rsidRDefault="00CD332C">
      <w:pPr>
        <w:pStyle w:val="sig-0"/>
        <w:ind w:left="0" w:right="1134"/>
        <w:rPr>
          <w:rFonts w:cs="FrankRuehl"/>
          <w:sz w:val="26"/>
          <w:rtl/>
        </w:rPr>
      </w:pPr>
      <w:r>
        <w:rPr>
          <w:rFonts w:cs="FrankRuehl"/>
          <w:sz w:val="26"/>
          <w:rtl/>
        </w:rPr>
        <w:t>כ"</w:t>
      </w:r>
      <w:r>
        <w:rPr>
          <w:rFonts w:cs="FrankRuehl" w:hint="cs"/>
          <w:sz w:val="26"/>
          <w:rtl/>
        </w:rPr>
        <w:t>ו בכסלו תשי"ז (30 בנובמבר 1956)</w:t>
      </w:r>
      <w:r>
        <w:rPr>
          <w:rFonts w:cs="FrankRuehl"/>
          <w:sz w:val="26"/>
          <w:rtl/>
        </w:rPr>
        <w:tab/>
        <w:t>פ</w:t>
      </w:r>
      <w:r>
        <w:rPr>
          <w:rFonts w:cs="FrankRuehl" w:hint="cs"/>
          <w:sz w:val="26"/>
          <w:rtl/>
        </w:rPr>
        <w:t>נחס רוזן</w:t>
      </w:r>
    </w:p>
    <w:p w14:paraId="73A44631" w14:textId="77777777" w:rsidR="00CD332C" w:rsidRDefault="00CD332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0025A976" w14:textId="77777777" w:rsidR="00CD332C" w:rsidRPr="005D688D" w:rsidRDefault="00CD332C" w:rsidP="005D688D">
      <w:pPr>
        <w:pStyle w:val="P00"/>
        <w:spacing w:before="72"/>
        <w:ind w:left="0" w:right="1134"/>
        <w:rPr>
          <w:rStyle w:val="default"/>
          <w:rFonts w:cs="FrankRuehl"/>
          <w:rtl/>
        </w:rPr>
      </w:pPr>
    </w:p>
    <w:p w14:paraId="3FE2B775" w14:textId="77777777" w:rsidR="00CD332C" w:rsidRPr="005D688D" w:rsidRDefault="00CD332C" w:rsidP="005D688D">
      <w:pPr>
        <w:pStyle w:val="P00"/>
        <w:spacing w:before="72"/>
        <w:ind w:left="0" w:right="1134"/>
        <w:rPr>
          <w:rStyle w:val="default"/>
          <w:rFonts w:cs="FrankRuehl"/>
          <w:rtl/>
        </w:rPr>
      </w:pPr>
    </w:p>
    <w:p w14:paraId="77A4E80E" w14:textId="77777777" w:rsidR="00CD332C" w:rsidRPr="005D688D" w:rsidRDefault="00CD332C" w:rsidP="005D688D">
      <w:pPr>
        <w:pStyle w:val="P00"/>
        <w:spacing w:before="72"/>
        <w:ind w:left="0" w:right="1134"/>
        <w:rPr>
          <w:rStyle w:val="default"/>
          <w:rFonts w:cs="FrankRuehl"/>
          <w:rtl/>
        </w:rPr>
      </w:pPr>
      <w:bookmarkStart w:id="17" w:name="LawPartEnd"/>
    </w:p>
    <w:bookmarkEnd w:id="17"/>
    <w:p w14:paraId="0C676689" w14:textId="77777777" w:rsidR="00CD332C" w:rsidRPr="005D688D" w:rsidRDefault="00CD332C" w:rsidP="005D688D">
      <w:pPr>
        <w:pStyle w:val="P00"/>
        <w:spacing w:before="72"/>
        <w:ind w:left="0" w:right="1134"/>
        <w:rPr>
          <w:rStyle w:val="default"/>
          <w:rFonts w:cs="FrankRuehl"/>
          <w:rtl/>
        </w:rPr>
      </w:pPr>
    </w:p>
    <w:sectPr w:rsidR="00CD332C" w:rsidRPr="005D688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BCAA" w14:textId="77777777" w:rsidR="00945C29" w:rsidRDefault="00945C29">
      <w:r>
        <w:separator/>
      </w:r>
    </w:p>
  </w:endnote>
  <w:endnote w:type="continuationSeparator" w:id="0">
    <w:p w14:paraId="1E458BA0" w14:textId="77777777" w:rsidR="00945C29" w:rsidRDefault="0094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5846" w14:textId="77777777" w:rsidR="00CD332C" w:rsidRDefault="00CD33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6756E9" w14:textId="77777777" w:rsidR="00CD332C" w:rsidRDefault="00CD33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7E0E8C" w14:textId="77777777" w:rsidR="00CD332C" w:rsidRDefault="00CD33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D688D">
      <w:rPr>
        <w:rFonts w:cs="TopType Jerushalmi"/>
        <w:noProof/>
        <w:color w:val="000000"/>
        <w:sz w:val="14"/>
        <w:szCs w:val="14"/>
      </w:rPr>
      <w:t>D:\Yael\hakika\Revadim\153_002.doc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A4A1" w14:textId="77777777" w:rsidR="00CD332C" w:rsidRDefault="00CD332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51C1">
      <w:rPr>
        <w:rFonts w:hAnsi="FrankRuehl" w:cs="FrankRuehl"/>
        <w:noProof/>
        <w:sz w:val="24"/>
        <w:szCs w:val="24"/>
        <w:rtl/>
      </w:rPr>
      <w:t>2</w:t>
    </w:r>
    <w:r>
      <w:rPr>
        <w:rFonts w:hAnsi="FrankRuehl" w:cs="FrankRuehl"/>
        <w:sz w:val="24"/>
        <w:szCs w:val="24"/>
        <w:rtl/>
      </w:rPr>
      <w:fldChar w:fldCharType="end"/>
    </w:r>
  </w:p>
  <w:p w14:paraId="23C698AB" w14:textId="77777777" w:rsidR="00CD332C" w:rsidRDefault="00CD332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DBAC58" w14:textId="77777777" w:rsidR="00CD332C" w:rsidRDefault="00CD332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D688D">
      <w:rPr>
        <w:rFonts w:cs="TopType Jerushalmi"/>
        <w:noProof/>
        <w:color w:val="000000"/>
        <w:sz w:val="14"/>
        <w:szCs w:val="14"/>
      </w:rPr>
      <w:t>D:\Yael\hakika\Revadim\153_002.doc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E915" w14:textId="77777777" w:rsidR="00945C29" w:rsidRDefault="00945C29" w:rsidP="005D688D">
      <w:pPr>
        <w:spacing w:before="60" w:line="240" w:lineRule="auto"/>
        <w:ind w:right="1134"/>
      </w:pPr>
      <w:r>
        <w:separator/>
      </w:r>
    </w:p>
  </w:footnote>
  <w:footnote w:type="continuationSeparator" w:id="0">
    <w:p w14:paraId="749C37F4" w14:textId="77777777" w:rsidR="00945C29" w:rsidRDefault="00945C29">
      <w:r>
        <w:continuationSeparator/>
      </w:r>
    </w:p>
  </w:footnote>
  <w:footnote w:id="1">
    <w:p w14:paraId="1FE66633" w14:textId="77777777" w:rsidR="005D688D" w:rsidRPr="005D688D" w:rsidRDefault="005D688D" w:rsidP="005D68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5D688D">
        <w:rPr>
          <w:rFonts w:cs="FrankRuehl"/>
          <w:rtl/>
        </w:rPr>
        <w:t xml:space="preserve">* </w:t>
      </w:r>
      <w:r>
        <w:rPr>
          <w:rFonts w:cs="FrankRuehl"/>
          <w:rtl/>
        </w:rPr>
        <w:t>פו</w:t>
      </w:r>
      <w:r>
        <w:rPr>
          <w:rFonts w:cs="FrankRuehl" w:hint="cs"/>
          <w:rtl/>
        </w:rPr>
        <w:t xml:space="preserve">רסמו </w:t>
      </w:r>
      <w:hyperlink r:id="rId1" w:history="1">
        <w:r w:rsidRPr="00D00D31">
          <w:rPr>
            <w:rStyle w:val="Hyperlink"/>
            <w:rFonts w:cs="FrankRuehl" w:hint="cs"/>
            <w:rtl/>
          </w:rPr>
          <w:t>ק"ת תשי"ז מס' 663</w:t>
        </w:r>
      </w:hyperlink>
      <w:r>
        <w:rPr>
          <w:rFonts w:cs="FrankRuehl" w:hint="cs"/>
          <w:rtl/>
        </w:rPr>
        <w:t xml:space="preserve"> מיום 13.12.1956 עמ</w:t>
      </w:r>
      <w:r>
        <w:rPr>
          <w:rFonts w:cs="FrankRuehl"/>
          <w:rtl/>
        </w:rPr>
        <w:t>' 568.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94F2" w14:textId="77777777" w:rsidR="00CD332C" w:rsidRDefault="00CD33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חמרי נפץ (סדרי הדין לפני ועדת הערעור), תשי"ז–1956</w:t>
    </w:r>
  </w:p>
  <w:p w14:paraId="7599CD12" w14:textId="77777777" w:rsidR="00CD332C" w:rsidRDefault="00CD33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5D1E7B" w14:textId="77777777" w:rsidR="00CD332C" w:rsidRDefault="00CD332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FB425" w14:textId="77777777" w:rsidR="00CD332C" w:rsidRDefault="00CD332C" w:rsidP="005D68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חמרי נפץ (סדרי הדין לפני ועדת הערעור), תשי"ז</w:t>
    </w:r>
    <w:r w:rsidR="005D688D">
      <w:rPr>
        <w:rFonts w:hAnsi="FrankRuehl" w:cs="FrankRuehl" w:hint="cs"/>
        <w:color w:val="000000"/>
        <w:sz w:val="28"/>
        <w:szCs w:val="28"/>
        <w:rtl/>
      </w:rPr>
      <w:t>-</w:t>
    </w:r>
    <w:r>
      <w:rPr>
        <w:rFonts w:hAnsi="FrankRuehl" w:cs="FrankRuehl"/>
        <w:color w:val="000000"/>
        <w:sz w:val="28"/>
        <w:szCs w:val="28"/>
        <w:rtl/>
      </w:rPr>
      <w:t>1956</w:t>
    </w:r>
  </w:p>
  <w:p w14:paraId="748EE633" w14:textId="77777777" w:rsidR="00CD332C" w:rsidRDefault="00CD332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222EE9" w14:textId="77777777" w:rsidR="00CD332C" w:rsidRDefault="00CD332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268"/>
    <w:rsid w:val="00287CFD"/>
    <w:rsid w:val="004B1268"/>
    <w:rsid w:val="004E3645"/>
    <w:rsid w:val="005C51C1"/>
    <w:rsid w:val="005D688D"/>
    <w:rsid w:val="00876B78"/>
    <w:rsid w:val="00924015"/>
    <w:rsid w:val="00945C29"/>
    <w:rsid w:val="00C7773C"/>
    <w:rsid w:val="00CD332C"/>
    <w:rsid w:val="00D00D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EA50E1"/>
  <w15:chartTrackingRefBased/>
  <w15:docId w15:val="{219FEE57-816A-4950-8ADE-2ECA8EE7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D688D"/>
    <w:rPr>
      <w:sz w:val="20"/>
      <w:szCs w:val="20"/>
    </w:rPr>
  </w:style>
  <w:style w:type="character" w:styleId="a6">
    <w:name w:val="footnote reference"/>
    <w:basedOn w:val="a0"/>
    <w:semiHidden/>
    <w:rsid w:val="005D68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6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פרק 153</vt:lpstr>
    </vt:vector>
  </TitlesOfParts>
  <Company/>
  <LinksUpToDate>false</LinksUpToDate>
  <CharactersWithSpaces>5986</CharactersWithSpaces>
  <SharedDoc>false</SharedDoc>
  <HLinks>
    <vt:vector size="108" baseType="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8323085</vt:i4>
      </vt:variant>
      <vt:variant>
        <vt:i4>0</vt:i4>
      </vt:variant>
      <vt:variant>
        <vt:i4>0</vt:i4>
      </vt:variant>
      <vt:variant>
        <vt:i4>5</vt:i4>
      </vt:variant>
      <vt:variant>
        <vt:lpwstr>http://www.nevo.co.il/Law_word/law06/TAK-0663.pdf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153</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0153</vt:lpwstr>
  </property>
  <property fmtid="{D5CDD505-2E9C-101B-9397-08002B2CF9AE}" pid="3" name="CHNAME">
    <vt:lpwstr>חמרי נפץ</vt:lpwstr>
  </property>
  <property fmtid="{D5CDD505-2E9C-101B-9397-08002B2CF9AE}" pid="4" name="LAWNAME">
    <vt:lpwstr>תקנות חמרי נפץ (סדרי הדין לפני ועדת הערעור), תשי"ז-1956</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חמרי נפץ</vt:lpwstr>
  </property>
  <property fmtid="{D5CDD505-2E9C-101B-9397-08002B2CF9AE}" pid="8" name="MEKOR_SAIF1">
    <vt:lpwstr>13XגX1X</vt:lpwstr>
  </property>
  <property fmtid="{D5CDD505-2E9C-101B-9397-08002B2CF9AE}" pid="9" name="NOSE11">
    <vt:lpwstr>רשויות ומשפט מנהלי</vt:lpwstr>
  </property>
  <property fmtid="{D5CDD505-2E9C-101B-9397-08002B2CF9AE}" pid="10" name="NOSE21">
    <vt:lpwstr>חומרי נפץ</vt:lpwstr>
  </property>
  <property fmtid="{D5CDD505-2E9C-101B-9397-08002B2CF9AE}" pid="11" name="NOSE31">
    <vt:lpwstr>ועדה</vt:lpwstr>
  </property>
  <property fmtid="{D5CDD505-2E9C-101B-9397-08002B2CF9AE}" pid="12" name="NOSE41">
    <vt:lpwstr>סדרי דין וערעור</vt:lpwstr>
  </property>
  <property fmtid="{D5CDD505-2E9C-101B-9397-08002B2CF9AE}" pid="13" name="NOSE12">
    <vt:lpwstr>בתי משפט וסדרי דין</vt:lpwstr>
  </property>
  <property fmtid="{D5CDD505-2E9C-101B-9397-08002B2CF9AE}" pid="14" name="NOSE22">
    <vt:lpwstr>סדר דין אזרחי</vt:lpwstr>
  </property>
  <property fmtid="{D5CDD505-2E9C-101B-9397-08002B2CF9AE}" pid="15" name="NOSE32">
    <vt:lpwstr>ערעור על ועדות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