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C81C" w14:textId="77777777" w:rsidR="00C33BE1" w:rsidRDefault="00C33BE1" w:rsidP="00D73B0A">
      <w:pPr>
        <w:pStyle w:val="big-header"/>
        <w:ind w:left="0" w:right="1134"/>
        <w:rPr>
          <w:rFonts w:cs="FrankRuehl" w:hint="cs"/>
          <w:sz w:val="32"/>
          <w:rtl/>
        </w:rPr>
      </w:pPr>
      <w:r>
        <w:rPr>
          <w:rFonts w:cs="FrankRuehl" w:hint="cs"/>
          <w:sz w:val="32"/>
          <w:rtl/>
        </w:rPr>
        <w:t>תקנות יישום תכנית ההתנתקות (</w:t>
      </w:r>
      <w:r w:rsidR="00D73B0A">
        <w:rPr>
          <w:rFonts w:cs="FrankRuehl" w:hint="cs"/>
          <w:sz w:val="32"/>
          <w:rtl/>
        </w:rPr>
        <w:t>הארכת מועד לביצוע השקעות מוכרות), תשע"ג-2013</w:t>
      </w:r>
    </w:p>
    <w:p w14:paraId="5DCBA267" w14:textId="77777777" w:rsidR="00C02844" w:rsidRDefault="00C02844" w:rsidP="00C02844">
      <w:pPr>
        <w:spacing w:line="320" w:lineRule="auto"/>
        <w:rPr>
          <w:rFonts w:cs="FrankRuehl" w:hint="cs"/>
          <w:szCs w:val="26"/>
          <w:rtl/>
        </w:rPr>
      </w:pPr>
    </w:p>
    <w:p w14:paraId="68222727" w14:textId="77777777" w:rsidR="00B872C7" w:rsidRPr="00C02844" w:rsidRDefault="00B872C7" w:rsidP="00C02844">
      <w:pPr>
        <w:spacing w:line="320" w:lineRule="auto"/>
        <w:rPr>
          <w:rFonts w:cs="FrankRuehl" w:hint="cs"/>
          <w:szCs w:val="26"/>
          <w:rtl/>
        </w:rPr>
      </w:pPr>
    </w:p>
    <w:p w14:paraId="0144E5ED" w14:textId="77777777" w:rsidR="00C02844" w:rsidRDefault="00C02844" w:rsidP="00C02844">
      <w:pPr>
        <w:spacing w:line="320" w:lineRule="auto"/>
        <w:rPr>
          <w:rFonts w:cs="Miriam"/>
          <w:szCs w:val="22"/>
          <w:rtl/>
        </w:rPr>
      </w:pPr>
      <w:r w:rsidRPr="00C02844">
        <w:rPr>
          <w:rFonts w:cs="Miriam"/>
          <w:szCs w:val="22"/>
          <w:rtl/>
        </w:rPr>
        <w:t>בטחון</w:t>
      </w:r>
      <w:r w:rsidRPr="00C02844">
        <w:rPr>
          <w:rFonts w:cs="FrankRuehl"/>
          <w:szCs w:val="26"/>
          <w:rtl/>
        </w:rPr>
        <w:t xml:space="preserve"> – תכנית ההתנתקות – פיצוי, תשלום ומענק</w:t>
      </w:r>
    </w:p>
    <w:p w14:paraId="4B357802" w14:textId="77777777" w:rsidR="00C02844" w:rsidRDefault="00C02844" w:rsidP="00C02844">
      <w:pPr>
        <w:spacing w:line="320" w:lineRule="auto"/>
        <w:rPr>
          <w:rFonts w:cs="Miriam"/>
          <w:szCs w:val="22"/>
          <w:rtl/>
        </w:rPr>
      </w:pPr>
      <w:r w:rsidRPr="00C02844">
        <w:rPr>
          <w:rFonts w:cs="Miriam"/>
          <w:szCs w:val="22"/>
          <w:rtl/>
        </w:rPr>
        <w:t>חקלאות טבע וסביבה</w:t>
      </w:r>
      <w:r w:rsidRPr="00C02844">
        <w:rPr>
          <w:rFonts w:cs="FrankRuehl"/>
          <w:szCs w:val="26"/>
          <w:rtl/>
        </w:rPr>
        <w:t xml:space="preserve"> – חקלאות</w:t>
      </w:r>
    </w:p>
    <w:p w14:paraId="5D49C66F" w14:textId="77777777" w:rsidR="00071D81" w:rsidRPr="00C02844" w:rsidRDefault="00C02844" w:rsidP="00C02844">
      <w:pPr>
        <w:spacing w:line="320" w:lineRule="auto"/>
        <w:rPr>
          <w:rFonts w:cs="Miriam"/>
          <w:szCs w:val="22"/>
          <w:rtl/>
        </w:rPr>
      </w:pPr>
      <w:r w:rsidRPr="00C02844">
        <w:rPr>
          <w:rFonts w:cs="Miriam"/>
          <w:szCs w:val="22"/>
          <w:rtl/>
        </w:rPr>
        <w:t>משפט פרטי וכלכלה</w:t>
      </w:r>
      <w:r w:rsidRPr="00C02844">
        <w:rPr>
          <w:rFonts w:cs="FrankRuehl"/>
          <w:szCs w:val="26"/>
          <w:rtl/>
        </w:rPr>
        <w:t xml:space="preserve"> – כספים – השקעות </w:t>
      </w:r>
    </w:p>
    <w:p w14:paraId="724E703B" w14:textId="77777777" w:rsidR="00C33BE1" w:rsidRDefault="00C33BE1">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29ED" w:rsidRPr="00A629ED" w14:paraId="041E9184" w14:textId="77777777" w:rsidTr="00A629ED">
        <w:tblPrEx>
          <w:tblCellMar>
            <w:top w:w="0" w:type="dxa"/>
            <w:bottom w:w="0" w:type="dxa"/>
          </w:tblCellMar>
        </w:tblPrEx>
        <w:tc>
          <w:tcPr>
            <w:tcW w:w="1247" w:type="dxa"/>
          </w:tcPr>
          <w:p w14:paraId="46347474" w14:textId="77777777" w:rsidR="00A629ED" w:rsidRPr="00A629ED" w:rsidRDefault="00A629ED" w:rsidP="00A629ED">
            <w:pPr>
              <w:rPr>
                <w:rFonts w:cs="Frankruhel"/>
                <w:rtl/>
              </w:rPr>
            </w:pPr>
            <w:r>
              <w:rPr>
                <w:rtl/>
              </w:rPr>
              <w:t xml:space="preserve">סעיף 1 </w:t>
            </w:r>
          </w:p>
        </w:tc>
        <w:tc>
          <w:tcPr>
            <w:tcW w:w="5669" w:type="dxa"/>
          </w:tcPr>
          <w:p w14:paraId="65646B11" w14:textId="77777777" w:rsidR="00A629ED" w:rsidRPr="00A629ED" w:rsidRDefault="00A629ED" w:rsidP="00A629ED">
            <w:pPr>
              <w:rPr>
                <w:rFonts w:cs="Frankruhel"/>
                <w:rtl/>
              </w:rPr>
            </w:pPr>
            <w:r>
              <w:rPr>
                <w:rtl/>
              </w:rPr>
              <w:t>הארכת המועד האחרון לביצוע השקעות מוכרות</w:t>
            </w:r>
          </w:p>
        </w:tc>
        <w:tc>
          <w:tcPr>
            <w:tcW w:w="567" w:type="dxa"/>
          </w:tcPr>
          <w:p w14:paraId="586C5EB7" w14:textId="77777777" w:rsidR="00A629ED" w:rsidRPr="00A629ED" w:rsidRDefault="00A629ED" w:rsidP="00A629ED">
            <w:pPr>
              <w:rPr>
                <w:rStyle w:val="Hyperlink"/>
                <w:rtl/>
              </w:rPr>
            </w:pPr>
            <w:hyperlink w:anchor="Seif1" w:tooltip="הארכת המועד האחרון לביצוע השקעות מוכרות" w:history="1">
              <w:r w:rsidRPr="00A629ED">
                <w:rPr>
                  <w:rStyle w:val="Hyperlink"/>
                </w:rPr>
                <w:t>Go</w:t>
              </w:r>
            </w:hyperlink>
          </w:p>
        </w:tc>
        <w:tc>
          <w:tcPr>
            <w:tcW w:w="850" w:type="dxa"/>
          </w:tcPr>
          <w:p w14:paraId="507A6FC4" w14:textId="77777777" w:rsidR="00A629ED" w:rsidRPr="00A629ED" w:rsidRDefault="00A629ED" w:rsidP="00A629E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629ED" w:rsidRPr="00A629ED" w14:paraId="3C1EC35C" w14:textId="77777777" w:rsidTr="00A629ED">
        <w:tblPrEx>
          <w:tblCellMar>
            <w:top w:w="0" w:type="dxa"/>
            <w:bottom w:w="0" w:type="dxa"/>
          </w:tblCellMar>
        </w:tblPrEx>
        <w:tc>
          <w:tcPr>
            <w:tcW w:w="1247" w:type="dxa"/>
          </w:tcPr>
          <w:p w14:paraId="23C12A3B" w14:textId="77777777" w:rsidR="00A629ED" w:rsidRPr="00A629ED" w:rsidRDefault="00A629ED" w:rsidP="00A629ED">
            <w:pPr>
              <w:rPr>
                <w:rFonts w:cs="Frankruhel"/>
                <w:rtl/>
              </w:rPr>
            </w:pPr>
            <w:r>
              <w:rPr>
                <w:rtl/>
              </w:rPr>
              <w:t xml:space="preserve">סעיף 2 </w:t>
            </w:r>
          </w:p>
        </w:tc>
        <w:tc>
          <w:tcPr>
            <w:tcW w:w="5669" w:type="dxa"/>
          </w:tcPr>
          <w:p w14:paraId="447DD287" w14:textId="77777777" w:rsidR="00A629ED" w:rsidRPr="00A629ED" w:rsidRDefault="00A629ED" w:rsidP="00A629ED">
            <w:pPr>
              <w:rPr>
                <w:rFonts w:cs="Frankruhel"/>
                <w:rtl/>
              </w:rPr>
            </w:pPr>
            <w:r>
              <w:rPr>
                <w:rtl/>
              </w:rPr>
              <w:t>הארכת המועד לביצוע השקעות למי שהוקצתה לו קרקע חקלאית</w:t>
            </w:r>
          </w:p>
        </w:tc>
        <w:tc>
          <w:tcPr>
            <w:tcW w:w="567" w:type="dxa"/>
          </w:tcPr>
          <w:p w14:paraId="2A026E9E" w14:textId="77777777" w:rsidR="00A629ED" w:rsidRPr="00A629ED" w:rsidRDefault="00A629ED" w:rsidP="00A629ED">
            <w:pPr>
              <w:rPr>
                <w:rStyle w:val="Hyperlink"/>
                <w:rtl/>
              </w:rPr>
            </w:pPr>
            <w:hyperlink w:anchor="Seif2" w:tooltip="הארכת המועד לביצוע השקעות למי שהוקצתה לו קרקע חקלאית" w:history="1">
              <w:r w:rsidRPr="00A629ED">
                <w:rPr>
                  <w:rStyle w:val="Hyperlink"/>
                </w:rPr>
                <w:t>Go</w:t>
              </w:r>
            </w:hyperlink>
          </w:p>
        </w:tc>
        <w:tc>
          <w:tcPr>
            <w:tcW w:w="850" w:type="dxa"/>
          </w:tcPr>
          <w:p w14:paraId="3A5A7A9E" w14:textId="77777777" w:rsidR="00A629ED" w:rsidRPr="00A629ED" w:rsidRDefault="00A629ED" w:rsidP="00A629E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3397099" w14:textId="77777777" w:rsidR="00C33BE1" w:rsidRPr="00071D81" w:rsidRDefault="00C33BE1" w:rsidP="00D73B0A">
      <w:pPr>
        <w:pStyle w:val="big-header"/>
        <w:ind w:left="0" w:right="1134"/>
        <w:rPr>
          <w:rStyle w:val="default"/>
          <w:rFonts w:cs="FrankRuehl" w:hint="cs"/>
          <w:sz w:val="32"/>
          <w:szCs w:val="32"/>
          <w:rtl/>
        </w:rPr>
      </w:pPr>
      <w:r>
        <w:rPr>
          <w:rFonts w:cs="FrankRuehl"/>
          <w:sz w:val="32"/>
          <w:rtl/>
        </w:rPr>
        <w:br w:type="page"/>
      </w:r>
      <w:r w:rsidR="00D73B0A">
        <w:rPr>
          <w:rFonts w:cs="FrankRuehl" w:hint="cs"/>
          <w:sz w:val="32"/>
          <w:rtl/>
        </w:rPr>
        <w:lastRenderedPageBreak/>
        <w:t>תקנות יישום תכנית ההתנתקות (הארכת מועד לביצוע השקעות מוכרות), תשע"ג-2013</w:t>
      </w:r>
      <w:r>
        <w:rPr>
          <w:rStyle w:val="default"/>
          <w:sz w:val="22"/>
          <w:szCs w:val="22"/>
          <w:rtl/>
        </w:rPr>
        <w:footnoteReference w:customMarkFollows="1" w:id="1"/>
        <w:t>*</w:t>
      </w:r>
    </w:p>
    <w:p w14:paraId="4DA15EB2" w14:textId="77777777" w:rsidR="00C33BE1" w:rsidRDefault="00C33BE1" w:rsidP="00D73B0A">
      <w:pPr>
        <w:pStyle w:val="P00"/>
        <w:spacing w:before="72"/>
        <w:ind w:left="0" w:right="1134"/>
        <w:rPr>
          <w:rStyle w:val="default"/>
          <w:rFonts w:cs="FrankRuehl" w:hint="cs"/>
          <w:rtl/>
        </w:rPr>
      </w:pPr>
      <w:r>
        <w:rPr>
          <w:rStyle w:val="default"/>
          <w:rFonts w:cs="FrankRuehl" w:hint="cs"/>
          <w:rtl/>
        </w:rPr>
        <w:tab/>
      </w:r>
      <w:r w:rsidR="00D73B0A">
        <w:rPr>
          <w:rStyle w:val="default"/>
          <w:rFonts w:cs="FrankRuehl"/>
          <w:rtl/>
        </w:rPr>
        <w:t>בתוקף סמכות</w:t>
      </w:r>
      <w:r w:rsidR="00D73B0A">
        <w:rPr>
          <w:rStyle w:val="default"/>
          <w:rFonts w:cs="FrankRuehl" w:hint="cs"/>
          <w:rtl/>
        </w:rPr>
        <w:t>נו</w:t>
      </w:r>
      <w:r>
        <w:rPr>
          <w:rStyle w:val="default"/>
          <w:rFonts w:cs="FrankRuehl"/>
          <w:rtl/>
        </w:rPr>
        <w:t xml:space="preserve"> לפי סעיף 70(</w:t>
      </w:r>
      <w:r w:rsidR="00D73B0A">
        <w:rPr>
          <w:rStyle w:val="default"/>
          <w:rFonts w:cs="FrankRuehl" w:hint="cs"/>
          <w:rtl/>
        </w:rPr>
        <w:t>א1)(2</w:t>
      </w:r>
      <w:r>
        <w:rPr>
          <w:rStyle w:val="default"/>
          <w:rFonts w:cs="FrankRuehl"/>
          <w:rtl/>
        </w:rPr>
        <w:t>) לחוק יישום תכנית ההתנתקות, התשס"ה</w:t>
      </w:r>
      <w:r>
        <w:rPr>
          <w:rStyle w:val="default"/>
          <w:rFonts w:cs="FrankRuehl" w:hint="cs"/>
          <w:rtl/>
        </w:rPr>
        <w:t>-2005</w:t>
      </w:r>
      <w:r>
        <w:rPr>
          <w:rStyle w:val="default"/>
          <w:rFonts w:cs="FrankRuehl"/>
          <w:rtl/>
        </w:rPr>
        <w:t xml:space="preserve"> (להלן – החוק), </w:t>
      </w:r>
      <w:r w:rsidR="00D73B0A">
        <w:rPr>
          <w:rStyle w:val="default"/>
          <w:rFonts w:cs="FrankRuehl"/>
          <w:rtl/>
        </w:rPr>
        <w:t>אנ</w:t>
      </w:r>
      <w:r w:rsidR="00D73B0A">
        <w:rPr>
          <w:rStyle w:val="default"/>
          <w:rFonts w:cs="FrankRuehl" w:hint="cs"/>
          <w:rtl/>
        </w:rPr>
        <w:t>ו</w:t>
      </w:r>
      <w:r w:rsidR="00D73B0A">
        <w:rPr>
          <w:rStyle w:val="default"/>
          <w:rFonts w:cs="FrankRuehl"/>
          <w:rtl/>
        </w:rPr>
        <w:t xml:space="preserve"> מתקי</w:t>
      </w:r>
      <w:r w:rsidR="00D73B0A">
        <w:rPr>
          <w:rStyle w:val="default"/>
          <w:rFonts w:cs="FrankRuehl" w:hint="cs"/>
          <w:rtl/>
        </w:rPr>
        <w:t>נים</w:t>
      </w:r>
      <w:r>
        <w:rPr>
          <w:rStyle w:val="default"/>
          <w:rFonts w:cs="FrankRuehl"/>
          <w:rtl/>
        </w:rPr>
        <w:t xml:space="preserve"> תקנות אלה:</w:t>
      </w:r>
    </w:p>
    <w:p w14:paraId="42BAA696" w14:textId="77777777" w:rsidR="00C33BE1" w:rsidRDefault="00C33BE1" w:rsidP="00D73B0A">
      <w:pPr>
        <w:pStyle w:val="P00"/>
        <w:spacing w:before="72"/>
        <w:ind w:left="0" w:right="1134"/>
        <w:rPr>
          <w:rStyle w:val="default"/>
          <w:rFonts w:cs="FrankRuehl" w:hint="cs"/>
          <w:rtl/>
        </w:rPr>
      </w:pPr>
      <w:bookmarkStart w:id="0" w:name="Seif1"/>
      <w:bookmarkEnd w:id="0"/>
      <w:r>
        <w:rPr>
          <w:rFonts w:cs="Miriam"/>
          <w:lang w:val="he-IL"/>
        </w:rPr>
        <w:pict w14:anchorId="25558ACD">
          <v:rect id="_x0000_s1026" style="position:absolute;left:0;text-align:left;margin-left:464.35pt;margin-top:7.1pt;width:75.05pt;height:32.95pt;z-index:251657216" o:allowincell="f" filled="f" stroked="f" strokecolor="lime" strokeweight=".25pt">
            <v:textbox style="mso-next-textbox:#_x0000_s1026" inset="0,0,0,0">
              <w:txbxContent>
                <w:p w14:paraId="2CD30FBE" w14:textId="77777777" w:rsidR="00C33BE1" w:rsidRDefault="00D73B0A">
                  <w:pPr>
                    <w:spacing w:line="160" w:lineRule="exact"/>
                    <w:rPr>
                      <w:rFonts w:cs="Miriam" w:hint="cs"/>
                      <w:noProof/>
                      <w:sz w:val="18"/>
                      <w:szCs w:val="18"/>
                      <w:rtl/>
                    </w:rPr>
                  </w:pPr>
                  <w:r>
                    <w:rPr>
                      <w:rFonts w:cs="Miriam" w:hint="cs"/>
                      <w:sz w:val="18"/>
                      <w:szCs w:val="18"/>
                      <w:rtl/>
                    </w:rPr>
                    <w:t>הארכת המועד האחרון לביצוע השקעות מוכרות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73B0A">
        <w:rPr>
          <w:rStyle w:val="default"/>
          <w:rFonts w:cs="FrankRuehl" w:hint="cs"/>
          <w:rtl/>
        </w:rPr>
        <w:t xml:space="preserve">המועד האחרון לביצוע השקעות מוכרות הקבוע בסעיף 70(ה) לחוק יוארך עד יום כ"ח בטבת התשע"ד (31 בדצמבר 2013) (להלן </w:t>
      </w:r>
      <w:r w:rsidR="00D73B0A">
        <w:rPr>
          <w:rStyle w:val="default"/>
          <w:rFonts w:cs="FrankRuehl"/>
          <w:rtl/>
        </w:rPr>
        <w:t>–</w:t>
      </w:r>
      <w:r w:rsidR="00D73B0A">
        <w:rPr>
          <w:rStyle w:val="default"/>
          <w:rFonts w:cs="FrankRuehl" w:hint="cs"/>
          <w:rtl/>
        </w:rPr>
        <w:t xml:space="preserve"> המועד האחרון), למעט לגבי עסק שנקבע לו עד יום ה' בטבת התשע"ה (31 בדצמבר 2011) פיצוי בשיעור של 70% לפחות מכלל הפיצוי שנקבע לעסק עד המועד האחרון, ולא הגיש עד יום י"ח בטבת התשע"ג (31 בדצמבר 2012) בקשה לקבלת מענק כאמור בסעיף 70(א) לחוק; לעניין זה, "פיצוי" </w:t>
      </w:r>
      <w:r w:rsidR="00D73B0A">
        <w:rPr>
          <w:rStyle w:val="default"/>
          <w:rFonts w:cs="FrankRuehl"/>
          <w:rtl/>
        </w:rPr>
        <w:t>–</w:t>
      </w:r>
      <w:r w:rsidR="00D73B0A">
        <w:rPr>
          <w:rStyle w:val="default"/>
          <w:rFonts w:cs="FrankRuehl" w:hint="cs"/>
          <w:rtl/>
        </w:rPr>
        <w:t xml:space="preserve"> כהגדרתו בסעיף 70(ה) לחוק.</w:t>
      </w:r>
    </w:p>
    <w:p w14:paraId="0D95A3C2" w14:textId="77777777" w:rsidR="00C33BE1" w:rsidRDefault="00C33BE1" w:rsidP="00D73B0A">
      <w:pPr>
        <w:pStyle w:val="P00"/>
        <w:spacing w:before="72"/>
        <w:ind w:left="0" w:right="1134"/>
        <w:rPr>
          <w:rStyle w:val="default"/>
          <w:rFonts w:cs="FrankRuehl" w:hint="cs"/>
          <w:rtl/>
        </w:rPr>
      </w:pPr>
      <w:bookmarkStart w:id="1" w:name="Seif2"/>
      <w:bookmarkEnd w:id="1"/>
      <w:r>
        <w:rPr>
          <w:rFonts w:cs="Miriam"/>
          <w:lang w:val="he-IL"/>
        </w:rPr>
        <w:pict w14:anchorId="5DBAAE64">
          <v:rect id="_x0000_s1170" style="position:absolute;left:0;text-align:left;margin-left:464.35pt;margin-top:7.1pt;width:75.05pt;height:33.05pt;z-index:251658240" o:allowincell="f" filled="f" stroked="f" strokecolor="lime" strokeweight=".25pt">
            <v:textbox style="mso-next-textbox:#_x0000_s1170" inset="0,0,0,0">
              <w:txbxContent>
                <w:p w14:paraId="1DFFACEA" w14:textId="77777777" w:rsidR="00C33BE1" w:rsidRDefault="00D73B0A">
                  <w:pPr>
                    <w:spacing w:line="160" w:lineRule="exact"/>
                    <w:rPr>
                      <w:rFonts w:cs="Miriam" w:hint="cs"/>
                      <w:noProof/>
                      <w:sz w:val="18"/>
                      <w:szCs w:val="18"/>
                      <w:rtl/>
                    </w:rPr>
                  </w:pPr>
                  <w:r>
                    <w:rPr>
                      <w:rFonts w:cs="Miriam" w:hint="cs"/>
                      <w:sz w:val="18"/>
                      <w:szCs w:val="18"/>
                      <w:rtl/>
                    </w:rPr>
                    <w:t>הארכת המועד לביצוע השקעות למי שהוקצתה לו קרקע חקלאית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73B0A">
        <w:rPr>
          <w:rStyle w:val="default"/>
          <w:rFonts w:cs="FrankRuehl" w:hint="cs"/>
          <w:rtl/>
        </w:rPr>
        <w:t>על אף האמור בתקנה 1, לגבי מי שהוקצתה לו קרקע חקלאית לפי החוק יהיה המועד האחרון לביצוע השקעות מוכרות בעסק שהוקם בקרקע האמורה, שנתיים ממועד סיום ביצוע עבודות הפיתוח של הקרקע החקלאית או ממועד תחילת עיבוד הקרקע בפועל, המוקדם מביניהם</w:t>
      </w:r>
      <w:r>
        <w:rPr>
          <w:rStyle w:val="default"/>
          <w:rFonts w:cs="FrankRuehl"/>
          <w:rtl/>
        </w:rPr>
        <w:t>.</w:t>
      </w:r>
    </w:p>
    <w:p w14:paraId="40B80618" w14:textId="77777777" w:rsidR="00D73B0A" w:rsidRDefault="00D73B0A">
      <w:pPr>
        <w:pStyle w:val="P00"/>
        <w:spacing w:before="72"/>
        <w:ind w:left="0" w:right="1134"/>
        <w:rPr>
          <w:rStyle w:val="default"/>
          <w:rFonts w:cs="FrankRuehl" w:hint="cs"/>
          <w:rtl/>
        </w:rPr>
      </w:pPr>
    </w:p>
    <w:p w14:paraId="6ECE9E88" w14:textId="77777777" w:rsidR="00D73B0A" w:rsidRDefault="00D73B0A">
      <w:pPr>
        <w:pStyle w:val="P00"/>
        <w:spacing w:before="72"/>
        <w:ind w:left="0" w:right="1134"/>
        <w:rPr>
          <w:rStyle w:val="default"/>
          <w:rFonts w:cs="FrankRuehl" w:hint="cs"/>
          <w:rtl/>
        </w:rPr>
      </w:pPr>
    </w:p>
    <w:p w14:paraId="07A4C31E" w14:textId="77777777" w:rsidR="00C33BE1" w:rsidRPr="00D73B0A" w:rsidRDefault="00D73B0A" w:rsidP="00D73B0A">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י' בתמוז התשע"ג (18 ביוני 2013</w:t>
      </w:r>
      <w:r w:rsidR="00C33BE1">
        <w:rPr>
          <w:rStyle w:val="default"/>
          <w:rFonts w:cs="FrankRuehl" w:hint="cs"/>
          <w:rtl/>
        </w:rPr>
        <w:t>)</w:t>
      </w:r>
      <w:r w:rsidR="00C33BE1" w:rsidRPr="00D73B0A">
        <w:rPr>
          <w:rStyle w:val="default"/>
          <w:rFonts w:cs="FrankRuehl" w:hint="cs"/>
          <w:rtl/>
        </w:rPr>
        <w:tab/>
      </w:r>
      <w:r>
        <w:rPr>
          <w:rStyle w:val="default"/>
          <w:rFonts w:cs="FrankRuehl" w:hint="cs"/>
          <w:rtl/>
        </w:rPr>
        <w:t>יאיר לפיד</w:t>
      </w:r>
      <w:r>
        <w:rPr>
          <w:rStyle w:val="default"/>
          <w:rFonts w:cs="FrankRuehl" w:hint="cs"/>
          <w:rtl/>
        </w:rPr>
        <w:tab/>
        <w:t>בנימין נתניהו</w:t>
      </w:r>
    </w:p>
    <w:p w14:paraId="56DE052D" w14:textId="77777777" w:rsidR="00C33BE1" w:rsidRDefault="00C33BE1" w:rsidP="00D73B0A">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t xml:space="preserve">שר </w:t>
      </w:r>
      <w:r w:rsidR="00D73B0A">
        <w:rPr>
          <w:rFonts w:cs="FrankRuehl" w:hint="cs"/>
          <w:sz w:val="22"/>
          <w:szCs w:val="22"/>
          <w:rtl/>
        </w:rPr>
        <w:t>האוצר</w:t>
      </w:r>
      <w:r w:rsidR="00D73B0A">
        <w:rPr>
          <w:rFonts w:cs="FrankRuehl" w:hint="cs"/>
          <w:sz w:val="22"/>
          <w:szCs w:val="22"/>
          <w:rtl/>
        </w:rPr>
        <w:tab/>
        <w:t>ראש הממשלה</w:t>
      </w:r>
    </w:p>
    <w:p w14:paraId="1E7980CB" w14:textId="77777777" w:rsidR="00D73B0A" w:rsidRDefault="00D73B0A">
      <w:pPr>
        <w:pStyle w:val="sig-0"/>
        <w:tabs>
          <w:tab w:val="clear" w:pos="4820"/>
          <w:tab w:val="center" w:pos="5670"/>
        </w:tabs>
        <w:ind w:left="0" w:right="1134"/>
        <w:rPr>
          <w:rFonts w:cs="FrankRuehl" w:hint="cs"/>
          <w:sz w:val="26"/>
          <w:rtl/>
        </w:rPr>
      </w:pPr>
    </w:p>
    <w:p w14:paraId="364E9F5F" w14:textId="77777777" w:rsidR="00C33BE1" w:rsidRDefault="00C33BE1">
      <w:pPr>
        <w:pStyle w:val="sig-0"/>
        <w:tabs>
          <w:tab w:val="clear" w:pos="4820"/>
          <w:tab w:val="center" w:pos="5670"/>
        </w:tabs>
        <w:ind w:left="0" w:right="1134"/>
        <w:rPr>
          <w:rFonts w:cs="FrankRuehl" w:hint="cs"/>
          <w:sz w:val="26"/>
          <w:rtl/>
        </w:rPr>
      </w:pPr>
    </w:p>
    <w:p w14:paraId="0144DF20" w14:textId="77777777" w:rsidR="00A629ED" w:rsidRDefault="00A629ED">
      <w:pPr>
        <w:pStyle w:val="sig-0"/>
        <w:ind w:left="0" w:right="1134"/>
        <w:rPr>
          <w:rFonts w:cs="FrankRuehl"/>
          <w:sz w:val="26"/>
          <w:rtl/>
        </w:rPr>
      </w:pPr>
    </w:p>
    <w:p w14:paraId="4A307969" w14:textId="77777777" w:rsidR="00A629ED" w:rsidRDefault="00A629ED">
      <w:pPr>
        <w:pStyle w:val="sig-0"/>
        <w:ind w:left="0" w:right="1134"/>
        <w:rPr>
          <w:rFonts w:cs="FrankRuehl"/>
          <w:sz w:val="26"/>
          <w:rtl/>
        </w:rPr>
      </w:pPr>
    </w:p>
    <w:p w14:paraId="40AE801F" w14:textId="77777777" w:rsidR="00A629ED" w:rsidRDefault="00A629ED" w:rsidP="00A629ED">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0175F570" w14:textId="77777777" w:rsidR="00C33BE1" w:rsidRPr="00A629ED" w:rsidRDefault="00C33BE1" w:rsidP="00A629ED">
      <w:pPr>
        <w:pStyle w:val="sig-0"/>
        <w:ind w:left="0" w:right="1134"/>
        <w:jc w:val="center"/>
        <w:rPr>
          <w:rFonts w:cs="David"/>
          <w:color w:val="0000FF"/>
          <w:sz w:val="26"/>
          <w:szCs w:val="24"/>
          <w:u w:val="single"/>
          <w:rtl/>
        </w:rPr>
      </w:pPr>
    </w:p>
    <w:sectPr w:rsidR="00C33BE1" w:rsidRPr="00A629E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848B5" w14:textId="77777777" w:rsidR="00F21207" w:rsidRDefault="00F21207">
      <w:r>
        <w:separator/>
      </w:r>
    </w:p>
  </w:endnote>
  <w:endnote w:type="continuationSeparator" w:id="0">
    <w:p w14:paraId="695B8B60" w14:textId="77777777" w:rsidR="00F21207" w:rsidRDefault="00F21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F05CF" w14:textId="77777777" w:rsidR="00C33BE1" w:rsidRDefault="00C33B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05E8F5E" w14:textId="77777777" w:rsidR="00C33BE1" w:rsidRDefault="00C33B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AEF9B0" w14:textId="77777777" w:rsidR="00C33BE1" w:rsidRDefault="00C33B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C:\Yael\hakika\030908\999_600.doc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A334" w14:textId="77777777" w:rsidR="00C33BE1" w:rsidRDefault="00C33B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629ED">
      <w:rPr>
        <w:rFonts w:hAnsi="FrankRuehl" w:cs="FrankRuehl"/>
        <w:noProof/>
        <w:sz w:val="24"/>
        <w:szCs w:val="24"/>
        <w:rtl/>
      </w:rPr>
      <w:t>2</w:t>
    </w:r>
    <w:r>
      <w:rPr>
        <w:rFonts w:hAnsi="FrankRuehl" w:cs="FrankRuehl"/>
        <w:sz w:val="24"/>
        <w:szCs w:val="24"/>
        <w:rtl/>
      </w:rPr>
      <w:fldChar w:fldCharType="end"/>
    </w:r>
  </w:p>
  <w:p w14:paraId="7F56F3A1" w14:textId="77777777" w:rsidR="00C33BE1" w:rsidRDefault="00C33B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CD5D80" w14:textId="77777777" w:rsidR="00C33BE1" w:rsidRDefault="00C33B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C:\Yael\hakika\030908\999_600.doc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12873" w14:textId="77777777" w:rsidR="00F21207" w:rsidRDefault="00F21207">
      <w:r>
        <w:separator/>
      </w:r>
    </w:p>
  </w:footnote>
  <w:footnote w:type="continuationSeparator" w:id="0">
    <w:p w14:paraId="004E6F4D" w14:textId="77777777" w:rsidR="00F21207" w:rsidRDefault="00F21207">
      <w:r>
        <w:continuationSeparator/>
      </w:r>
    </w:p>
  </w:footnote>
  <w:footnote w:id="1">
    <w:p w14:paraId="1CD15886" w14:textId="77777777" w:rsidR="00AB4D0A" w:rsidRDefault="00C33BE1" w:rsidP="00AB4D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AB4D0A">
          <w:rPr>
            <w:rStyle w:val="Hyperlink"/>
            <w:rFonts w:cs="FrankRuehl" w:hint="cs"/>
            <w:rtl/>
          </w:rPr>
          <w:t xml:space="preserve">ק"ת </w:t>
        </w:r>
        <w:r w:rsidR="00D73B0A" w:rsidRPr="00AB4D0A">
          <w:rPr>
            <w:rStyle w:val="Hyperlink"/>
            <w:rFonts w:cs="FrankRuehl" w:hint="cs"/>
            <w:rtl/>
          </w:rPr>
          <w:t>תשע"ג</w:t>
        </w:r>
        <w:r w:rsidRPr="00AB4D0A">
          <w:rPr>
            <w:rStyle w:val="Hyperlink"/>
            <w:rFonts w:cs="FrankRuehl" w:hint="cs"/>
            <w:rtl/>
          </w:rPr>
          <w:t xml:space="preserve"> מס' </w:t>
        </w:r>
        <w:r w:rsidR="00D73B0A" w:rsidRPr="00AB4D0A">
          <w:rPr>
            <w:rStyle w:val="Hyperlink"/>
            <w:rFonts w:cs="FrankRuehl" w:hint="cs"/>
            <w:rtl/>
          </w:rPr>
          <w:t>7274</w:t>
        </w:r>
      </w:hyperlink>
      <w:r>
        <w:rPr>
          <w:rFonts w:cs="FrankRuehl" w:hint="cs"/>
          <w:rtl/>
        </w:rPr>
        <w:t xml:space="preserve"> מיום </w:t>
      </w:r>
      <w:r w:rsidR="00D73B0A">
        <w:rPr>
          <w:rFonts w:cs="FrankRuehl" w:hint="cs"/>
          <w:rtl/>
        </w:rPr>
        <w:t>31.7.2013</w:t>
      </w:r>
      <w:r>
        <w:rPr>
          <w:rFonts w:cs="FrankRuehl" w:hint="cs"/>
          <w:rtl/>
        </w:rPr>
        <w:t xml:space="preserve"> עמ' </w:t>
      </w:r>
      <w:r w:rsidR="00D73B0A">
        <w:rPr>
          <w:rFonts w:cs="FrankRuehl" w:hint="cs"/>
          <w:rtl/>
        </w:rPr>
        <w:t>1566</w:t>
      </w:r>
      <w:r w:rsidR="008F4893">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59C2" w14:textId="77777777" w:rsidR="00C33BE1" w:rsidRDefault="00C33B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B371628" w14:textId="77777777" w:rsidR="00C33BE1" w:rsidRDefault="00C33B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59DC96" w14:textId="77777777" w:rsidR="00C33BE1" w:rsidRDefault="00C33B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75576" w14:textId="77777777" w:rsidR="00C33BE1" w:rsidRDefault="00C33BE1" w:rsidP="00D73B0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יישום תכנית ההתנתקות (</w:t>
    </w:r>
    <w:r w:rsidR="00D73B0A">
      <w:rPr>
        <w:rFonts w:hAnsi="FrankRuehl" w:cs="FrankRuehl" w:hint="cs"/>
        <w:color w:val="000000"/>
        <w:sz w:val="28"/>
        <w:szCs w:val="28"/>
        <w:rtl/>
      </w:rPr>
      <w:t>הארכת מועד לביצוע השקעות מוכרות), תשע"ג-2013</w:t>
    </w:r>
  </w:p>
  <w:p w14:paraId="5476843B" w14:textId="77777777" w:rsidR="00C33BE1" w:rsidRDefault="00C33B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BBA8B8" w14:textId="77777777" w:rsidR="00C33BE1" w:rsidRDefault="00C33B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4641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6BE"/>
    <w:rsid w:val="00071D81"/>
    <w:rsid w:val="00151282"/>
    <w:rsid w:val="00246058"/>
    <w:rsid w:val="00446EC3"/>
    <w:rsid w:val="004A1BCB"/>
    <w:rsid w:val="008228BB"/>
    <w:rsid w:val="008F3F2E"/>
    <w:rsid w:val="008F4893"/>
    <w:rsid w:val="00961E42"/>
    <w:rsid w:val="00996C27"/>
    <w:rsid w:val="009E6501"/>
    <w:rsid w:val="00A629ED"/>
    <w:rsid w:val="00A748BB"/>
    <w:rsid w:val="00AB4D0A"/>
    <w:rsid w:val="00B739CB"/>
    <w:rsid w:val="00B872C7"/>
    <w:rsid w:val="00C02844"/>
    <w:rsid w:val="00C33BE1"/>
    <w:rsid w:val="00C830E6"/>
    <w:rsid w:val="00D61AB8"/>
    <w:rsid w:val="00D73B0A"/>
    <w:rsid w:val="00D864D6"/>
    <w:rsid w:val="00E0463F"/>
    <w:rsid w:val="00E576BE"/>
    <w:rsid w:val="00EE4E5C"/>
    <w:rsid w:val="00F21207"/>
    <w:rsid w:val="00FA5E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AB91FA9"/>
  <w15:chartTrackingRefBased/>
  <w15:docId w15:val="{5349E8C1-A674-4984-94CC-263AA7AA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1545</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7929870</vt:i4>
      </vt:variant>
      <vt:variant>
        <vt:i4>0</vt:i4>
      </vt:variant>
      <vt:variant>
        <vt:i4>0</vt:i4>
      </vt:variant>
      <vt:variant>
        <vt:i4>5</vt:i4>
      </vt:variant>
      <vt:variant>
        <vt:lpwstr>http://www.nevo.co.il/Law_word/law06/TAK-7274.pdf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יישום תכנית ההתנתקות (הארכת מועד לביצוע השקעות מוכרות), תשע"ג-2013</vt:lpwstr>
  </property>
  <property fmtid="{D5CDD505-2E9C-101B-9397-08002B2CF9AE}" pid="4" name="LAWNUMBER">
    <vt:lpwstr>0903</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בטחון</vt:lpwstr>
  </property>
  <property fmtid="{D5CDD505-2E9C-101B-9397-08002B2CF9AE}" pid="22" name="NOSE21">
    <vt:lpwstr>תכנית ההתנתקות</vt:lpwstr>
  </property>
  <property fmtid="{D5CDD505-2E9C-101B-9397-08002B2CF9AE}" pid="23" name="NOSE31">
    <vt:lpwstr>פיצוי, תשלום ומענק</vt:lpwstr>
  </property>
  <property fmtid="{D5CDD505-2E9C-101B-9397-08002B2CF9AE}" pid="24" name="NOSE41">
    <vt:lpwstr/>
  </property>
  <property fmtid="{D5CDD505-2E9C-101B-9397-08002B2CF9AE}" pid="25" name="NOSE12">
    <vt:lpwstr>חקלאות טבע וסביבה</vt:lpwstr>
  </property>
  <property fmtid="{D5CDD505-2E9C-101B-9397-08002B2CF9AE}" pid="26" name="NOSE22">
    <vt:lpwstr>חקלאות</vt:lpwstr>
  </property>
  <property fmtid="{D5CDD505-2E9C-101B-9397-08002B2CF9AE}" pid="27" name="NOSE32">
    <vt:lpwstr/>
  </property>
  <property fmtid="{D5CDD505-2E9C-101B-9397-08002B2CF9AE}" pid="28" name="NOSE42">
    <vt:lpwstr/>
  </property>
  <property fmtid="{D5CDD505-2E9C-101B-9397-08002B2CF9AE}" pid="29" name="NOSE13">
    <vt:lpwstr>משפט פרטי וכלכלה</vt:lpwstr>
  </property>
  <property fmtid="{D5CDD505-2E9C-101B-9397-08002B2CF9AE}" pid="30" name="NOSE23">
    <vt:lpwstr>כספים</vt:lpwstr>
  </property>
  <property fmtid="{D5CDD505-2E9C-101B-9397-08002B2CF9AE}" pid="31" name="NOSE33">
    <vt:lpwstr>השקעות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יישום תכנית ההתנתקות</vt:lpwstr>
  </property>
  <property fmtid="{D5CDD505-2E9C-101B-9397-08002B2CF9AE}" pid="62" name="MEKOR_SAIF1">
    <vt:lpwstr>70Xא1X2X</vt:lpwstr>
  </property>
  <property fmtid="{D5CDD505-2E9C-101B-9397-08002B2CF9AE}" pid="63" name="MEKORSAMCHUT">
    <vt:lpwstr/>
  </property>
  <property fmtid="{D5CDD505-2E9C-101B-9397-08002B2CF9AE}" pid="64" name="LINKK1">
    <vt:lpwstr>http://www.nevo.co.il/Law_word/law06/TAK-7274.pdf;‎רשומות - תקנות כלליות#פורסמו ק"ת ‏תשע"ג מס' 7274 #מיום 31.7.2013 עמ' 1566‏</vt:lpwstr>
  </property>
</Properties>
</file>