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B654" w14:textId="77777777" w:rsidR="00B51531" w:rsidRDefault="00B51531">
      <w:pPr>
        <w:pStyle w:val="big-header"/>
        <w:ind w:left="0" w:right="1134"/>
      </w:pPr>
      <w:r>
        <w:rPr>
          <w:rFonts w:hint="cs"/>
          <w:rtl/>
        </w:rPr>
        <w:t>תקנות יישום תכנית ההתנתקות (כללים ותנאים להגדלת פיצוי בשל עסק או סניף), תשס"ה-2005</w:t>
      </w:r>
    </w:p>
    <w:p w14:paraId="71BA9F5C" w14:textId="77777777" w:rsidR="00CE40B7" w:rsidRPr="00CE40B7" w:rsidRDefault="00CE40B7" w:rsidP="00CE40B7">
      <w:pPr>
        <w:spacing w:line="320" w:lineRule="auto"/>
        <w:jc w:val="left"/>
        <w:rPr>
          <w:rFonts w:cs="FrankRuehl"/>
          <w:szCs w:val="26"/>
          <w:rtl/>
        </w:rPr>
      </w:pPr>
    </w:p>
    <w:p w14:paraId="1F808D60" w14:textId="77777777" w:rsidR="00CE40B7" w:rsidRDefault="00CE40B7" w:rsidP="00CE40B7">
      <w:pPr>
        <w:spacing w:line="320" w:lineRule="auto"/>
        <w:jc w:val="left"/>
        <w:rPr>
          <w:rtl/>
        </w:rPr>
      </w:pPr>
    </w:p>
    <w:p w14:paraId="21BC6695" w14:textId="77777777" w:rsidR="00CE40B7" w:rsidRPr="00CE40B7" w:rsidRDefault="00CE40B7" w:rsidP="00CE40B7">
      <w:pPr>
        <w:spacing w:line="320" w:lineRule="auto"/>
        <w:jc w:val="left"/>
        <w:rPr>
          <w:rFonts w:cs="Miriam"/>
          <w:szCs w:val="22"/>
          <w:rtl/>
        </w:rPr>
      </w:pPr>
      <w:r w:rsidRPr="00CE40B7">
        <w:rPr>
          <w:rFonts w:cs="Miriam"/>
          <w:szCs w:val="22"/>
          <w:rtl/>
        </w:rPr>
        <w:t>בטחון</w:t>
      </w:r>
      <w:r w:rsidRPr="00CE40B7">
        <w:rPr>
          <w:rFonts w:cs="FrankRuehl"/>
          <w:szCs w:val="26"/>
          <w:rtl/>
        </w:rPr>
        <w:t xml:space="preserve"> – תכנית ההתנתקות – פיצוי, תשלום ומענק</w:t>
      </w:r>
    </w:p>
    <w:p w14:paraId="53B81946" w14:textId="77777777" w:rsidR="00B51531" w:rsidRDefault="00B51531">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51531" w14:paraId="749297EA" w14:textId="77777777">
        <w:tblPrEx>
          <w:tblCellMar>
            <w:top w:w="0" w:type="dxa"/>
            <w:bottom w:w="0" w:type="dxa"/>
          </w:tblCellMar>
        </w:tblPrEx>
        <w:trPr>
          <w:jc w:val="right"/>
        </w:trPr>
        <w:tc>
          <w:tcPr>
            <w:tcW w:w="850" w:type="dxa"/>
          </w:tcPr>
          <w:p w14:paraId="58AE86A4" w14:textId="77777777" w:rsidR="00B51531" w:rsidRDefault="00B51531">
            <w:pPr>
              <w:spacing w:line="240" w:lineRule="auto"/>
              <w:jc w:val="left"/>
              <w:rPr>
                <w:rFonts w:hint="cs"/>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A703737" w14:textId="77777777" w:rsidR="00B51531" w:rsidRDefault="00B51531">
            <w:pPr>
              <w:spacing w:line="240" w:lineRule="auto"/>
              <w:jc w:val="left"/>
              <w:rPr>
                <w:rFonts w:hint="cs"/>
                <w:sz w:val="24"/>
              </w:rPr>
            </w:pPr>
            <w:hyperlink w:anchor="Seif0" w:tooltip="הגדרות" w:history="1">
              <w:r>
                <w:rPr>
                  <w:rStyle w:val="Hyperlink"/>
                </w:rPr>
                <w:t>Go</w:t>
              </w:r>
            </w:hyperlink>
          </w:p>
        </w:tc>
        <w:tc>
          <w:tcPr>
            <w:tcW w:w="5669" w:type="dxa"/>
          </w:tcPr>
          <w:p w14:paraId="7E03198F" w14:textId="77777777" w:rsidR="00B51531" w:rsidRDefault="00B51531">
            <w:pPr>
              <w:spacing w:line="240" w:lineRule="auto"/>
              <w:jc w:val="left"/>
              <w:rPr>
                <w:sz w:val="24"/>
                <w:rtl/>
              </w:rPr>
            </w:pPr>
            <w:r>
              <w:rPr>
                <w:sz w:val="24"/>
                <w:rtl/>
              </w:rPr>
              <w:t>הגדרות</w:t>
            </w:r>
          </w:p>
        </w:tc>
        <w:tc>
          <w:tcPr>
            <w:tcW w:w="1247" w:type="dxa"/>
          </w:tcPr>
          <w:p w14:paraId="57F88852" w14:textId="77777777" w:rsidR="00B51531" w:rsidRDefault="00B51531">
            <w:pPr>
              <w:spacing w:line="240" w:lineRule="auto"/>
              <w:jc w:val="left"/>
              <w:rPr>
                <w:rFonts w:hint="cs"/>
                <w:sz w:val="24"/>
              </w:rPr>
            </w:pPr>
            <w:r>
              <w:rPr>
                <w:sz w:val="24"/>
                <w:rtl/>
              </w:rPr>
              <w:t xml:space="preserve">סעיף 1 </w:t>
            </w:r>
          </w:p>
        </w:tc>
      </w:tr>
      <w:tr w:rsidR="00B51531" w14:paraId="181AF21F" w14:textId="77777777">
        <w:tblPrEx>
          <w:tblCellMar>
            <w:top w:w="0" w:type="dxa"/>
            <w:bottom w:w="0" w:type="dxa"/>
          </w:tblCellMar>
        </w:tblPrEx>
        <w:trPr>
          <w:jc w:val="right"/>
        </w:trPr>
        <w:tc>
          <w:tcPr>
            <w:tcW w:w="850" w:type="dxa"/>
          </w:tcPr>
          <w:p w14:paraId="36DADBF4" w14:textId="77777777" w:rsidR="00B51531" w:rsidRDefault="00B51531">
            <w:pPr>
              <w:spacing w:line="240" w:lineRule="auto"/>
              <w:jc w:val="left"/>
              <w:rPr>
                <w:rFonts w:hint="cs"/>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534E182" w14:textId="77777777" w:rsidR="00B51531" w:rsidRDefault="00B51531">
            <w:pPr>
              <w:spacing w:line="240" w:lineRule="auto"/>
              <w:jc w:val="left"/>
              <w:rPr>
                <w:rFonts w:hint="cs"/>
                <w:sz w:val="24"/>
              </w:rPr>
            </w:pPr>
            <w:hyperlink w:anchor="Seif1" w:tooltip="הגשת בקשה" w:history="1">
              <w:r>
                <w:rPr>
                  <w:rStyle w:val="Hyperlink"/>
                </w:rPr>
                <w:t>Go</w:t>
              </w:r>
            </w:hyperlink>
          </w:p>
        </w:tc>
        <w:tc>
          <w:tcPr>
            <w:tcW w:w="5669" w:type="dxa"/>
          </w:tcPr>
          <w:p w14:paraId="58BBDEBD" w14:textId="77777777" w:rsidR="00B51531" w:rsidRDefault="00B51531">
            <w:pPr>
              <w:spacing w:line="240" w:lineRule="auto"/>
              <w:jc w:val="left"/>
              <w:rPr>
                <w:sz w:val="24"/>
                <w:rtl/>
              </w:rPr>
            </w:pPr>
            <w:r>
              <w:rPr>
                <w:sz w:val="24"/>
                <w:rtl/>
              </w:rPr>
              <w:t>הגשת בקשה</w:t>
            </w:r>
          </w:p>
        </w:tc>
        <w:tc>
          <w:tcPr>
            <w:tcW w:w="1247" w:type="dxa"/>
          </w:tcPr>
          <w:p w14:paraId="3A5CE070" w14:textId="77777777" w:rsidR="00B51531" w:rsidRDefault="00B51531">
            <w:pPr>
              <w:spacing w:line="240" w:lineRule="auto"/>
              <w:jc w:val="left"/>
              <w:rPr>
                <w:rFonts w:hint="cs"/>
                <w:sz w:val="24"/>
              </w:rPr>
            </w:pPr>
            <w:r>
              <w:rPr>
                <w:sz w:val="24"/>
                <w:rtl/>
              </w:rPr>
              <w:t xml:space="preserve">סעיף 2 </w:t>
            </w:r>
          </w:p>
        </w:tc>
      </w:tr>
      <w:tr w:rsidR="00B51531" w14:paraId="137F337A" w14:textId="77777777">
        <w:tblPrEx>
          <w:tblCellMar>
            <w:top w:w="0" w:type="dxa"/>
            <w:bottom w:w="0" w:type="dxa"/>
          </w:tblCellMar>
        </w:tblPrEx>
        <w:trPr>
          <w:jc w:val="right"/>
        </w:trPr>
        <w:tc>
          <w:tcPr>
            <w:tcW w:w="850" w:type="dxa"/>
          </w:tcPr>
          <w:p w14:paraId="5CC74309" w14:textId="77777777" w:rsidR="00B51531" w:rsidRDefault="00B51531">
            <w:pPr>
              <w:spacing w:line="240" w:lineRule="auto"/>
              <w:jc w:val="left"/>
              <w:rPr>
                <w:rFonts w:hint="cs"/>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3639DD0" w14:textId="77777777" w:rsidR="00B51531" w:rsidRDefault="00B51531">
            <w:pPr>
              <w:spacing w:line="240" w:lineRule="auto"/>
              <w:jc w:val="left"/>
              <w:rPr>
                <w:rFonts w:hint="cs"/>
                <w:sz w:val="24"/>
              </w:rPr>
            </w:pPr>
            <w:hyperlink w:anchor="Seif2" w:tooltip="סמכות הוועדה המיוחדת" w:history="1">
              <w:r>
                <w:rPr>
                  <w:rStyle w:val="Hyperlink"/>
                </w:rPr>
                <w:t>Go</w:t>
              </w:r>
            </w:hyperlink>
          </w:p>
        </w:tc>
        <w:tc>
          <w:tcPr>
            <w:tcW w:w="5669" w:type="dxa"/>
          </w:tcPr>
          <w:p w14:paraId="7FAA23D4" w14:textId="77777777" w:rsidR="00B51531" w:rsidRDefault="00B51531">
            <w:pPr>
              <w:spacing w:line="240" w:lineRule="auto"/>
              <w:jc w:val="left"/>
              <w:rPr>
                <w:sz w:val="24"/>
                <w:rtl/>
              </w:rPr>
            </w:pPr>
            <w:r>
              <w:rPr>
                <w:sz w:val="24"/>
                <w:rtl/>
              </w:rPr>
              <w:t>סמכות הוועדה המיוחדת</w:t>
            </w:r>
          </w:p>
        </w:tc>
        <w:tc>
          <w:tcPr>
            <w:tcW w:w="1247" w:type="dxa"/>
          </w:tcPr>
          <w:p w14:paraId="3D2D721A" w14:textId="77777777" w:rsidR="00B51531" w:rsidRDefault="00B51531">
            <w:pPr>
              <w:spacing w:line="240" w:lineRule="auto"/>
              <w:jc w:val="left"/>
              <w:rPr>
                <w:rFonts w:hint="cs"/>
                <w:sz w:val="24"/>
              </w:rPr>
            </w:pPr>
            <w:r>
              <w:rPr>
                <w:sz w:val="24"/>
                <w:rtl/>
              </w:rPr>
              <w:t xml:space="preserve">סעיף 3 </w:t>
            </w:r>
          </w:p>
        </w:tc>
      </w:tr>
      <w:tr w:rsidR="00B51531" w14:paraId="5B5854DC" w14:textId="77777777">
        <w:tblPrEx>
          <w:tblCellMar>
            <w:top w:w="0" w:type="dxa"/>
            <w:bottom w:w="0" w:type="dxa"/>
          </w:tblCellMar>
        </w:tblPrEx>
        <w:trPr>
          <w:jc w:val="right"/>
        </w:trPr>
        <w:tc>
          <w:tcPr>
            <w:tcW w:w="850" w:type="dxa"/>
          </w:tcPr>
          <w:p w14:paraId="11E6959B" w14:textId="77777777" w:rsidR="00B51531" w:rsidRDefault="00B51531">
            <w:pPr>
              <w:spacing w:line="240" w:lineRule="auto"/>
              <w:jc w:val="left"/>
              <w:rPr>
                <w:rFonts w:hint="cs"/>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6061D52" w14:textId="77777777" w:rsidR="00B51531" w:rsidRDefault="00B51531">
            <w:pPr>
              <w:spacing w:line="240" w:lineRule="auto"/>
              <w:jc w:val="left"/>
              <w:rPr>
                <w:rFonts w:hint="cs"/>
                <w:sz w:val="24"/>
              </w:rPr>
            </w:pPr>
            <w:hyperlink w:anchor="Seif3" w:tooltip="שיקולים להגדלת פיצוי" w:history="1">
              <w:r>
                <w:rPr>
                  <w:rStyle w:val="Hyperlink"/>
                </w:rPr>
                <w:t>Go</w:t>
              </w:r>
            </w:hyperlink>
          </w:p>
        </w:tc>
        <w:tc>
          <w:tcPr>
            <w:tcW w:w="5669" w:type="dxa"/>
          </w:tcPr>
          <w:p w14:paraId="439FAD9A" w14:textId="77777777" w:rsidR="00B51531" w:rsidRDefault="00B51531">
            <w:pPr>
              <w:spacing w:line="240" w:lineRule="auto"/>
              <w:jc w:val="left"/>
              <w:rPr>
                <w:sz w:val="24"/>
                <w:rtl/>
              </w:rPr>
            </w:pPr>
            <w:r>
              <w:rPr>
                <w:sz w:val="24"/>
                <w:rtl/>
              </w:rPr>
              <w:t>שיקולים להגדלת פיצוי</w:t>
            </w:r>
          </w:p>
        </w:tc>
        <w:tc>
          <w:tcPr>
            <w:tcW w:w="1247" w:type="dxa"/>
          </w:tcPr>
          <w:p w14:paraId="5FD3CC7A" w14:textId="77777777" w:rsidR="00B51531" w:rsidRDefault="00B51531">
            <w:pPr>
              <w:spacing w:line="240" w:lineRule="auto"/>
              <w:jc w:val="left"/>
              <w:rPr>
                <w:rFonts w:hint="cs"/>
                <w:sz w:val="24"/>
              </w:rPr>
            </w:pPr>
            <w:r>
              <w:rPr>
                <w:sz w:val="24"/>
                <w:rtl/>
              </w:rPr>
              <w:t xml:space="preserve">סעיף 4 </w:t>
            </w:r>
          </w:p>
        </w:tc>
      </w:tr>
      <w:tr w:rsidR="00B51531" w14:paraId="159ACD9E" w14:textId="77777777">
        <w:tblPrEx>
          <w:tblCellMar>
            <w:top w:w="0" w:type="dxa"/>
            <w:bottom w:w="0" w:type="dxa"/>
          </w:tblCellMar>
        </w:tblPrEx>
        <w:trPr>
          <w:jc w:val="right"/>
        </w:trPr>
        <w:tc>
          <w:tcPr>
            <w:tcW w:w="850" w:type="dxa"/>
          </w:tcPr>
          <w:p w14:paraId="66BC7561" w14:textId="77777777" w:rsidR="00B51531" w:rsidRDefault="00B51531">
            <w:pPr>
              <w:spacing w:line="240" w:lineRule="auto"/>
              <w:jc w:val="left"/>
              <w:rPr>
                <w:rFonts w:hint="cs"/>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6EFF4EF" w14:textId="77777777" w:rsidR="00B51531" w:rsidRDefault="00B51531">
            <w:pPr>
              <w:spacing w:line="240" w:lineRule="auto"/>
              <w:jc w:val="left"/>
              <w:rPr>
                <w:rFonts w:hint="cs"/>
                <w:sz w:val="24"/>
              </w:rPr>
            </w:pPr>
            <w:hyperlink w:anchor="Seif4" w:tooltip="צירוף מסמכים" w:history="1">
              <w:r>
                <w:rPr>
                  <w:rStyle w:val="Hyperlink"/>
                </w:rPr>
                <w:t>Go</w:t>
              </w:r>
            </w:hyperlink>
          </w:p>
        </w:tc>
        <w:tc>
          <w:tcPr>
            <w:tcW w:w="5669" w:type="dxa"/>
          </w:tcPr>
          <w:p w14:paraId="1E9467D7" w14:textId="77777777" w:rsidR="00B51531" w:rsidRDefault="00B51531">
            <w:pPr>
              <w:spacing w:line="240" w:lineRule="auto"/>
              <w:jc w:val="left"/>
              <w:rPr>
                <w:sz w:val="24"/>
                <w:rtl/>
              </w:rPr>
            </w:pPr>
            <w:r>
              <w:rPr>
                <w:sz w:val="24"/>
                <w:rtl/>
              </w:rPr>
              <w:t>צירוף מסמכים</w:t>
            </w:r>
          </w:p>
        </w:tc>
        <w:tc>
          <w:tcPr>
            <w:tcW w:w="1247" w:type="dxa"/>
          </w:tcPr>
          <w:p w14:paraId="3E6075FA" w14:textId="77777777" w:rsidR="00B51531" w:rsidRDefault="00B51531">
            <w:pPr>
              <w:spacing w:line="240" w:lineRule="auto"/>
              <w:jc w:val="left"/>
              <w:rPr>
                <w:rFonts w:hint="cs"/>
                <w:sz w:val="24"/>
              </w:rPr>
            </w:pPr>
            <w:r>
              <w:rPr>
                <w:sz w:val="24"/>
                <w:rtl/>
              </w:rPr>
              <w:t xml:space="preserve">סעיף 5 </w:t>
            </w:r>
          </w:p>
        </w:tc>
      </w:tr>
      <w:tr w:rsidR="00B51531" w14:paraId="223A7768" w14:textId="77777777">
        <w:tblPrEx>
          <w:tblCellMar>
            <w:top w:w="0" w:type="dxa"/>
            <w:bottom w:w="0" w:type="dxa"/>
          </w:tblCellMar>
        </w:tblPrEx>
        <w:trPr>
          <w:jc w:val="right"/>
        </w:trPr>
        <w:tc>
          <w:tcPr>
            <w:tcW w:w="850" w:type="dxa"/>
          </w:tcPr>
          <w:p w14:paraId="6ECED90C" w14:textId="77777777" w:rsidR="00B51531" w:rsidRDefault="00B51531">
            <w:pPr>
              <w:spacing w:line="240" w:lineRule="auto"/>
              <w:jc w:val="left"/>
              <w:rPr>
                <w:rFonts w:hint="cs"/>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0699979" w14:textId="77777777" w:rsidR="00B51531" w:rsidRDefault="00B51531">
            <w:pPr>
              <w:spacing w:line="240" w:lineRule="auto"/>
              <w:jc w:val="left"/>
              <w:rPr>
                <w:rFonts w:hint="cs"/>
                <w:sz w:val="24"/>
              </w:rPr>
            </w:pPr>
            <w:hyperlink w:anchor="Seif5" w:tooltip="בקשת פטור מחובת הצגת מסמכים" w:history="1">
              <w:r>
                <w:rPr>
                  <w:rStyle w:val="Hyperlink"/>
                </w:rPr>
                <w:t>Go</w:t>
              </w:r>
            </w:hyperlink>
          </w:p>
        </w:tc>
        <w:tc>
          <w:tcPr>
            <w:tcW w:w="5669" w:type="dxa"/>
          </w:tcPr>
          <w:p w14:paraId="3E317107" w14:textId="77777777" w:rsidR="00B51531" w:rsidRDefault="00B51531">
            <w:pPr>
              <w:spacing w:line="240" w:lineRule="auto"/>
              <w:jc w:val="left"/>
              <w:rPr>
                <w:sz w:val="24"/>
                <w:rtl/>
              </w:rPr>
            </w:pPr>
            <w:r>
              <w:rPr>
                <w:sz w:val="24"/>
                <w:rtl/>
              </w:rPr>
              <w:t>בקשת פטור מחובת הצגת מסמכים</w:t>
            </w:r>
          </w:p>
        </w:tc>
        <w:tc>
          <w:tcPr>
            <w:tcW w:w="1247" w:type="dxa"/>
          </w:tcPr>
          <w:p w14:paraId="09C9EA9E" w14:textId="77777777" w:rsidR="00B51531" w:rsidRDefault="00B51531">
            <w:pPr>
              <w:spacing w:line="240" w:lineRule="auto"/>
              <w:jc w:val="left"/>
              <w:rPr>
                <w:rFonts w:hint="cs"/>
                <w:sz w:val="24"/>
              </w:rPr>
            </w:pPr>
            <w:r>
              <w:rPr>
                <w:sz w:val="24"/>
                <w:rtl/>
              </w:rPr>
              <w:t xml:space="preserve">סעיף 6 </w:t>
            </w:r>
          </w:p>
        </w:tc>
      </w:tr>
      <w:tr w:rsidR="00B51531" w14:paraId="7FBF5A7B" w14:textId="77777777">
        <w:tblPrEx>
          <w:tblCellMar>
            <w:top w:w="0" w:type="dxa"/>
            <w:bottom w:w="0" w:type="dxa"/>
          </w:tblCellMar>
        </w:tblPrEx>
        <w:trPr>
          <w:jc w:val="right"/>
        </w:trPr>
        <w:tc>
          <w:tcPr>
            <w:tcW w:w="850" w:type="dxa"/>
          </w:tcPr>
          <w:p w14:paraId="3803999D" w14:textId="77777777" w:rsidR="00B51531" w:rsidRDefault="00B51531">
            <w:pPr>
              <w:spacing w:line="240" w:lineRule="auto"/>
              <w:jc w:val="left"/>
              <w:rPr>
                <w:rFonts w:hint="cs"/>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D28E4CA" w14:textId="77777777" w:rsidR="00B51531" w:rsidRDefault="00B51531">
            <w:pPr>
              <w:spacing w:line="240" w:lineRule="auto"/>
              <w:jc w:val="left"/>
              <w:rPr>
                <w:rFonts w:hint="cs"/>
                <w:sz w:val="24"/>
              </w:rPr>
            </w:pPr>
            <w:hyperlink w:anchor="Seif6" w:tooltip="השלמת פרטים" w:history="1">
              <w:r>
                <w:rPr>
                  <w:rStyle w:val="Hyperlink"/>
                </w:rPr>
                <w:t>Go</w:t>
              </w:r>
            </w:hyperlink>
          </w:p>
        </w:tc>
        <w:tc>
          <w:tcPr>
            <w:tcW w:w="5669" w:type="dxa"/>
          </w:tcPr>
          <w:p w14:paraId="24DE0189" w14:textId="77777777" w:rsidR="00B51531" w:rsidRDefault="00B51531">
            <w:pPr>
              <w:spacing w:line="240" w:lineRule="auto"/>
              <w:jc w:val="left"/>
              <w:rPr>
                <w:sz w:val="24"/>
                <w:rtl/>
              </w:rPr>
            </w:pPr>
            <w:r>
              <w:rPr>
                <w:sz w:val="24"/>
                <w:rtl/>
              </w:rPr>
              <w:t>השלמת פרטים</w:t>
            </w:r>
          </w:p>
        </w:tc>
        <w:tc>
          <w:tcPr>
            <w:tcW w:w="1247" w:type="dxa"/>
          </w:tcPr>
          <w:p w14:paraId="73EDAAD3" w14:textId="77777777" w:rsidR="00B51531" w:rsidRDefault="00B51531">
            <w:pPr>
              <w:spacing w:line="240" w:lineRule="auto"/>
              <w:jc w:val="left"/>
              <w:rPr>
                <w:rFonts w:hint="cs"/>
                <w:sz w:val="24"/>
              </w:rPr>
            </w:pPr>
            <w:r>
              <w:rPr>
                <w:sz w:val="24"/>
                <w:rtl/>
              </w:rPr>
              <w:t xml:space="preserve">סעיף 7 </w:t>
            </w:r>
          </w:p>
        </w:tc>
      </w:tr>
    </w:tbl>
    <w:p w14:paraId="6AFF2E5F" w14:textId="77777777" w:rsidR="00B51531" w:rsidRDefault="00B51531">
      <w:pPr>
        <w:pStyle w:val="P00"/>
        <w:spacing w:before="72"/>
        <w:ind w:left="0" w:right="1134"/>
        <w:rPr>
          <w:rFonts w:hint="cs"/>
          <w:rtl/>
        </w:rPr>
      </w:pPr>
    </w:p>
    <w:p w14:paraId="5AA2DEEF" w14:textId="77777777" w:rsidR="00B51531" w:rsidRDefault="00B51531" w:rsidP="00CE40B7">
      <w:pPr>
        <w:pStyle w:val="big-header"/>
        <w:ind w:left="0" w:right="1134"/>
        <w:rPr>
          <w:rStyle w:val="default"/>
          <w:rFonts w:cs="FrankRuehl"/>
          <w:rtl/>
        </w:rPr>
      </w:pPr>
      <w:r>
        <w:rPr>
          <w:rtl/>
        </w:rPr>
        <w:br w:type="page"/>
      </w:r>
      <w:r>
        <w:rPr>
          <w:rFonts w:hint="cs"/>
          <w:rtl/>
        </w:rPr>
        <w:lastRenderedPageBreak/>
        <w:t>תקנות יישום תכנית ההתנתקות (כללים ותנאים להגדלת פיצוי בשל עסק או סניף), תשס"ה-2005</w:t>
      </w:r>
      <w:r>
        <w:rPr>
          <w:rStyle w:val="default"/>
          <w:sz w:val="22"/>
          <w:szCs w:val="22"/>
          <w:rtl/>
        </w:rPr>
        <w:footnoteReference w:customMarkFollows="1" w:id="1"/>
        <w:t>*</w:t>
      </w:r>
    </w:p>
    <w:p w14:paraId="354F4A5F" w14:textId="77777777" w:rsidR="00B51531" w:rsidRDefault="00B51531">
      <w:pPr>
        <w:pStyle w:val="P00"/>
        <w:spacing w:before="72"/>
        <w:ind w:left="0" w:right="1134"/>
        <w:rPr>
          <w:rStyle w:val="default"/>
          <w:rFonts w:cs="FrankRuehl" w:hint="cs"/>
          <w:rtl/>
        </w:rPr>
      </w:pPr>
      <w:r>
        <w:rPr>
          <w:rStyle w:val="default"/>
          <w:rFonts w:cs="FrankRuehl" w:hint="cs"/>
          <w:rtl/>
        </w:rPr>
        <w:tab/>
        <w:t xml:space="preserve">בתוקף סמכותי לפי סעיף 68 לחוק יישום תכנית ההתנתקות, התשס"ה-2005 (להלן </w:t>
      </w:r>
      <w:r>
        <w:rPr>
          <w:rStyle w:val="default"/>
          <w:rFonts w:cs="FrankRuehl"/>
          <w:rtl/>
        </w:rPr>
        <w:t>–</w:t>
      </w:r>
      <w:r>
        <w:rPr>
          <w:rStyle w:val="default"/>
          <w:rFonts w:cs="FrankRuehl" w:hint="cs"/>
          <w:rtl/>
        </w:rPr>
        <w:t xml:space="preserve"> החוק), בהסכמת שר האוצר, ובאישור ועדת הכספים של הכנסת, אני מתקינה תקנות אלה:</w:t>
      </w:r>
    </w:p>
    <w:p w14:paraId="3DE4E64B" w14:textId="77777777" w:rsidR="00B51531" w:rsidRDefault="00B51531">
      <w:pPr>
        <w:pStyle w:val="P00"/>
        <w:spacing w:before="72"/>
        <w:ind w:left="0" w:right="1134"/>
        <w:rPr>
          <w:rStyle w:val="default"/>
          <w:rFonts w:cs="FrankRuehl" w:hint="cs"/>
          <w:rtl/>
        </w:rPr>
      </w:pPr>
      <w:bookmarkStart w:id="0" w:name="Seif0"/>
      <w:bookmarkEnd w:id="0"/>
      <w:r>
        <w:rPr>
          <w:lang w:val="he-IL"/>
        </w:rPr>
        <w:pict w14:anchorId="03DFC553">
          <v:rect id="_x0000_s1026" style="position:absolute;left:0;text-align:left;margin-left:464.5pt;margin-top:8.05pt;width:75.05pt;height:7.6pt;z-index:251654656" o:allowincell="f" filled="f" stroked="f" strokecolor="lime" strokeweight=".25pt">
            <v:textbox inset="0,0,0,0">
              <w:txbxContent>
                <w:p w14:paraId="6104A433" w14:textId="77777777" w:rsidR="00B51531" w:rsidRDefault="00B51531">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בתקנות אלה, "פיצוי" </w:t>
      </w:r>
      <w:r>
        <w:rPr>
          <w:rStyle w:val="default"/>
          <w:rFonts w:cs="FrankRuehl"/>
          <w:rtl/>
        </w:rPr>
        <w:t>–</w:t>
      </w:r>
      <w:r>
        <w:rPr>
          <w:rStyle w:val="default"/>
          <w:rFonts w:cs="FrankRuehl" w:hint="cs"/>
          <w:rtl/>
        </w:rPr>
        <w:t xml:space="preserve"> הפיצוי המחושב לפי סימן ד' בפרק ה' לחוק.</w:t>
      </w:r>
    </w:p>
    <w:p w14:paraId="1163A58A" w14:textId="77777777" w:rsidR="00B51531" w:rsidRDefault="00B51531">
      <w:pPr>
        <w:pStyle w:val="P00"/>
        <w:spacing w:before="72"/>
        <w:ind w:left="0" w:right="1134"/>
        <w:rPr>
          <w:rStyle w:val="default"/>
          <w:rFonts w:cs="FrankRuehl" w:hint="cs"/>
          <w:rtl/>
        </w:rPr>
      </w:pPr>
      <w:bookmarkStart w:id="1" w:name="Seif1"/>
      <w:bookmarkEnd w:id="1"/>
      <w:r>
        <w:rPr>
          <w:lang w:val="he-IL"/>
        </w:rPr>
        <w:pict w14:anchorId="3AA1ADCF">
          <v:rect id="_x0000_s1120" style="position:absolute;left:0;text-align:left;margin-left:464.5pt;margin-top:8.05pt;width:75.05pt;height:11.1pt;z-index:251655680" o:allowincell="f" filled="f" stroked="f" strokecolor="lime" strokeweight=".25pt">
            <v:textbox inset="0,0,0,0">
              <w:txbxContent>
                <w:p w14:paraId="5BB154DA" w14:textId="77777777" w:rsidR="00B51531" w:rsidRDefault="00B51531">
                  <w:pPr>
                    <w:spacing w:line="160" w:lineRule="exact"/>
                    <w:jc w:val="left"/>
                    <w:rPr>
                      <w:rFonts w:cs="Miriam" w:hint="cs"/>
                      <w:noProof/>
                      <w:szCs w:val="18"/>
                      <w:rtl/>
                    </w:rPr>
                  </w:pPr>
                  <w:r>
                    <w:rPr>
                      <w:rFonts w:cs="Miriam" w:hint="cs"/>
                      <w:szCs w:val="18"/>
                      <w:rtl/>
                    </w:rPr>
                    <w:t>הגשת בקשה</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(א)</w:t>
      </w:r>
      <w:r>
        <w:rPr>
          <w:rStyle w:val="default"/>
          <w:rFonts w:cs="FrankRuehl" w:hint="cs"/>
          <w:rtl/>
        </w:rPr>
        <w:tab/>
        <w:t xml:space="preserve">בקשה להגדלת פיצוי במקרים יוצאי דופן לפי סעיף 68 לחוק (להלן </w:t>
      </w:r>
      <w:r>
        <w:rPr>
          <w:rStyle w:val="default"/>
          <w:rFonts w:cs="FrankRuehl"/>
          <w:rtl/>
        </w:rPr>
        <w:t>–</w:t>
      </w:r>
      <w:r>
        <w:rPr>
          <w:rStyle w:val="default"/>
          <w:rFonts w:cs="FrankRuehl" w:hint="cs"/>
          <w:rtl/>
        </w:rPr>
        <w:t xml:space="preserve"> הבקשה) תוגש לוועדת הזכאות בידי המבקש, בהתאם לתקנות אלה.</w:t>
      </w:r>
    </w:p>
    <w:p w14:paraId="36D24DE4" w14:textId="77777777" w:rsidR="00B51531" w:rsidRDefault="00B5153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מצאה ועדת הזכאות כי התקיים טעם המצדיק הגדלת פיצוי, תעביר את הבקשה להחלטתה של הוועדה המיוחדת, בצירוף הצעתה לגבי הגדלת הפיצוי, סכום ההגדלה ותנאיה.</w:t>
      </w:r>
    </w:p>
    <w:p w14:paraId="3D02E47E" w14:textId="77777777" w:rsidR="00B51531" w:rsidRDefault="00B51531">
      <w:pPr>
        <w:pStyle w:val="P00"/>
        <w:spacing w:before="72"/>
        <w:ind w:left="0" w:right="1134"/>
        <w:rPr>
          <w:rStyle w:val="default"/>
          <w:rFonts w:cs="FrankRuehl" w:hint="cs"/>
          <w:rtl/>
        </w:rPr>
      </w:pPr>
      <w:bookmarkStart w:id="2" w:name="Seif2"/>
      <w:bookmarkEnd w:id="2"/>
      <w:r>
        <w:rPr>
          <w:lang w:val="he-IL"/>
        </w:rPr>
        <w:pict w14:anchorId="6795C1ED">
          <v:rect id="_x0000_s1126" style="position:absolute;left:0;text-align:left;margin-left:464.5pt;margin-top:8.05pt;width:75.05pt;height:15.75pt;z-index:251656704" o:allowincell="f" filled="f" stroked="f" strokecolor="lime" strokeweight=".25pt">
            <v:textbox inset="0,0,0,0">
              <w:txbxContent>
                <w:p w14:paraId="5E9F00DA" w14:textId="77777777" w:rsidR="00B51531" w:rsidRDefault="00B51531">
                  <w:pPr>
                    <w:spacing w:line="160" w:lineRule="exact"/>
                    <w:jc w:val="left"/>
                    <w:rPr>
                      <w:rFonts w:cs="Miriam" w:hint="cs"/>
                      <w:noProof/>
                      <w:szCs w:val="18"/>
                      <w:rtl/>
                    </w:rPr>
                  </w:pPr>
                  <w:r>
                    <w:rPr>
                      <w:rFonts w:cs="Miriam" w:hint="cs"/>
                      <w:szCs w:val="18"/>
                      <w:rtl/>
                    </w:rPr>
                    <w:t>סמכות הוועדה המיוחדת</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(א)</w:t>
      </w:r>
      <w:r>
        <w:rPr>
          <w:rStyle w:val="default"/>
          <w:rFonts w:cs="FrankRuehl" w:hint="cs"/>
          <w:rtl/>
        </w:rPr>
        <w:tab/>
        <w:t>הוועדה המיוחדת רשאית להורות על הגדלת פיצוי בשל עסק או סניף, בהיקף, בתנאים ובאופן שתמצא לנכון בנסיבות הענין, לפי הצעת ועדת הזכאות ולאחר שבחנה את הבקשה, אם שוכנעה כי התקיים אחד מאלה:</w:t>
      </w:r>
    </w:p>
    <w:p w14:paraId="3304863F" w14:textId="77777777" w:rsidR="00B51531" w:rsidRDefault="00B5153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מתקיימות בעסק או בבעלי העסק נסיבות יוצאות דופן שבשלהן הפיצוי אינו מהווה פיצוי הוגן וראוי;</w:t>
      </w:r>
    </w:p>
    <w:p w14:paraId="4F9EFBDF" w14:textId="77777777" w:rsidR="00B51531" w:rsidRDefault="00B5153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בשל נסיבות יוצרות דופן הקיימות אצל בעל העסק, לרבות בני משפחתו, הפיצוי אינו מאפשר לו ליצור מקור פרנסה חליפי והוא נותר בלא יכולת השתכרות, ובשל כך קיים טעם מן הצדק להגדיל את הפיצוי;</w:t>
      </w:r>
    </w:p>
    <w:p w14:paraId="213183D0" w14:textId="77777777" w:rsidR="00B51531" w:rsidRDefault="00B5153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יש לעסק חובות שנוצרו בזיקה ישירה ליישום החוק, אשר הפיצוי אינו מכסה אותם, ובעלי העסק עשו כל שביכולתם כדי למנוע את היווצרות החובות ולצמצמם, ובשל כך קיים טעם מן הצדק להגדיל את הפיצוי.</w:t>
      </w:r>
    </w:p>
    <w:p w14:paraId="039A8853" w14:textId="77777777" w:rsidR="00B51531" w:rsidRDefault="00B5153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לענין בקשה להגדלת פיצוי בשל סניף כאמור בסעיף 68(ב) לחוק </w:t>
      </w:r>
      <w:r>
        <w:rPr>
          <w:rStyle w:val="default"/>
          <w:rFonts w:cs="FrankRuehl"/>
          <w:rtl/>
        </w:rPr>
        <w:t>–</w:t>
      </w:r>
      <w:r>
        <w:rPr>
          <w:rStyle w:val="default"/>
          <w:rFonts w:cs="FrankRuehl" w:hint="cs"/>
          <w:rtl/>
        </w:rPr>
        <w:t xml:space="preserve"> רשיאת הוועדה המיוחדת, על פי הצעת ועדת זכאות, להורות על הגדלת פיצוי בשל הסניף לפי השווי הפיננסי של הסניף, בשינויים המחויבים, אם הוועדה המיוחדת סבורה כי בנסיבות המיוחדות של הסניף אין הפיצוי הניתן לו על פי החוק ראוי והוגן.</w:t>
      </w:r>
    </w:p>
    <w:p w14:paraId="5A6C8FBF" w14:textId="77777777" w:rsidR="00B51531" w:rsidRDefault="00B5153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בבחינת הנסיבות המיוחדות של הסניף כאמור בתקנת משנה (ב), ישקלו ועדת הזכאות והוועדה המיוחדת, בין השאר, את השיקולים האלה:</w:t>
      </w:r>
    </w:p>
    <w:p w14:paraId="11D38A0D" w14:textId="77777777" w:rsidR="00B51531" w:rsidRDefault="00B5153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מוניטין ייחודיים הקשורים לפעילות בשטח המפונה, ואשר אפשרו לסניף לצבור קהל לקוחות;</w:t>
      </w:r>
    </w:p>
    <w:p w14:paraId="7B63CB44" w14:textId="77777777" w:rsidR="00B51531" w:rsidRDefault="00B5153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יכולת לשמר את פעילות הסניף מחוץ לאזור לאחר הפינוי, או להעברת עיקר פעילות הסניף ליחידות אחרות של בעל הסניף;</w:t>
      </w:r>
    </w:p>
    <w:p w14:paraId="3E79F8E6" w14:textId="77777777" w:rsidR="00B51531" w:rsidRDefault="00B5153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מאמץ מיוחד שהיה כרוך בהפעלת הסניף באזור;</w:t>
      </w:r>
    </w:p>
    <w:p w14:paraId="684E5982" w14:textId="77777777" w:rsidR="00B51531" w:rsidRDefault="00B5153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אופייה המרכזי של פעילות הסניף היתה מתן שירות בסיסי לתושבי השטח המפונה, שלא משיקולי רווח בלבד.</w:t>
      </w:r>
    </w:p>
    <w:p w14:paraId="20CCB4C8" w14:textId="77777777" w:rsidR="00B51531" w:rsidRDefault="00B51531">
      <w:pPr>
        <w:pStyle w:val="P00"/>
        <w:spacing w:before="72"/>
        <w:ind w:left="0" w:right="1134"/>
        <w:rPr>
          <w:rStyle w:val="default"/>
          <w:rFonts w:cs="FrankRuehl" w:hint="cs"/>
          <w:rtl/>
        </w:rPr>
      </w:pPr>
      <w:bookmarkStart w:id="3" w:name="Seif3"/>
      <w:bookmarkEnd w:id="3"/>
      <w:r>
        <w:rPr>
          <w:lang w:val="he-IL"/>
        </w:rPr>
        <w:pict w14:anchorId="773D983B">
          <v:rect id="_x0000_s1127" style="position:absolute;left:0;text-align:left;margin-left:464.5pt;margin-top:8.05pt;width:75.05pt;height:17.25pt;z-index:251657728" o:allowincell="f" filled="f" stroked="f" strokecolor="lime" strokeweight=".25pt">
            <v:textbox style="mso-next-textbox:#_x0000_s1127" inset="0,0,0,0">
              <w:txbxContent>
                <w:p w14:paraId="2FCDC2A0" w14:textId="77777777" w:rsidR="00B51531" w:rsidRDefault="00B51531">
                  <w:pPr>
                    <w:spacing w:line="160" w:lineRule="exact"/>
                    <w:jc w:val="left"/>
                    <w:rPr>
                      <w:rFonts w:cs="Miriam" w:hint="cs"/>
                      <w:noProof/>
                      <w:szCs w:val="18"/>
                      <w:rtl/>
                    </w:rPr>
                  </w:pPr>
                  <w:r>
                    <w:rPr>
                      <w:rFonts w:cs="Miriam" w:hint="cs"/>
                      <w:szCs w:val="18"/>
                      <w:rtl/>
                    </w:rPr>
                    <w:t>שיקולים להגדלת פיצוי</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בלי לגרוע מן האמור בתקנה 3, בעת בחינת הבקשה, תשקול הוועדה המיוחדת, בין השאר, את השיקולים שלהלן:</w:t>
      </w:r>
    </w:p>
    <w:p w14:paraId="68402D5A" w14:textId="77777777" w:rsidR="00B51531" w:rsidRDefault="00B5153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זכויות המבקש בעסק שבקשר אליו מבוקש התשלום;</w:t>
      </w:r>
    </w:p>
    <w:p w14:paraId="0118C797" w14:textId="77777777" w:rsidR="00B51531" w:rsidRDefault="00B5153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הנסיבות המיוחדות של העסק או של הסניף והאופי הייחודי שלהם;</w:t>
      </w:r>
    </w:p>
    <w:p w14:paraId="2EADA2EE" w14:textId="77777777" w:rsidR="00B51531" w:rsidRDefault="00B5153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תקבולים מיוחדים ומענקים שנתקבלו מאת המדינה או מגופים ציבוריים אחרים;</w:t>
      </w:r>
    </w:p>
    <w:p w14:paraId="56504B58" w14:textId="77777777" w:rsidR="00B51531" w:rsidRDefault="00B51531">
      <w:pPr>
        <w:pStyle w:val="P00"/>
        <w:spacing w:before="72"/>
        <w:ind w:left="624" w:right="1134"/>
        <w:rPr>
          <w:rStyle w:val="default"/>
          <w:rFonts w:cs="FrankRuehl" w:hint="cs"/>
          <w:rtl/>
        </w:rPr>
      </w:pPr>
      <w:r>
        <w:rPr>
          <w:rStyle w:val="default"/>
          <w:rFonts w:cs="FrankRuehl" w:hint="cs"/>
          <w:rtl/>
        </w:rPr>
        <w:lastRenderedPageBreak/>
        <w:t>(4)</w:t>
      </w:r>
      <w:r>
        <w:rPr>
          <w:rStyle w:val="default"/>
          <w:rFonts w:cs="FrankRuehl" w:hint="cs"/>
          <w:rtl/>
        </w:rPr>
        <w:tab/>
        <w:t>מכלול נסיבותיו של המבקש, הפיצויים להם הוא זכאי לפי החוק והעילות שלא נתקיימו בו ושבעטיין אינו זכאי למרכיבי פיצוי אחרים לפי החוק;</w:t>
      </w:r>
    </w:p>
    <w:p w14:paraId="61674DDD" w14:textId="77777777" w:rsidR="00B51531" w:rsidRDefault="00B51531">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נתונים אודות עסקים דומים בשטח המפונה שיש להם נסיבות דומות למבקש;</w:t>
      </w:r>
    </w:p>
    <w:p w14:paraId="5323062E" w14:textId="77777777" w:rsidR="00B51531" w:rsidRDefault="00B51531">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סכומי הפיצויים המשולמים בשל עסקים או סניפים דומים בשטח המפונה.</w:t>
      </w:r>
    </w:p>
    <w:p w14:paraId="01B0E5F6" w14:textId="77777777" w:rsidR="00B51531" w:rsidRDefault="00B51531">
      <w:pPr>
        <w:pStyle w:val="P00"/>
        <w:spacing w:before="72"/>
        <w:ind w:left="0" w:right="1134"/>
        <w:rPr>
          <w:rStyle w:val="default"/>
          <w:rFonts w:cs="FrankRuehl" w:hint="cs"/>
          <w:rtl/>
        </w:rPr>
      </w:pPr>
      <w:bookmarkStart w:id="4" w:name="Seif4"/>
      <w:bookmarkEnd w:id="4"/>
      <w:r>
        <w:rPr>
          <w:lang w:val="he-IL"/>
        </w:rPr>
        <w:pict w14:anchorId="1106084C">
          <v:rect id="_x0000_s1128" style="position:absolute;left:0;text-align:left;margin-left:464.5pt;margin-top:8.05pt;width:75.05pt;height:11.1pt;z-index:251658752" o:allowincell="f" filled="f" stroked="f" strokecolor="lime" strokeweight=".25pt">
            <v:textbox inset="0,0,0,0">
              <w:txbxContent>
                <w:p w14:paraId="1620177A" w14:textId="77777777" w:rsidR="00B51531" w:rsidRDefault="00B51531">
                  <w:pPr>
                    <w:spacing w:line="160" w:lineRule="exact"/>
                    <w:jc w:val="left"/>
                    <w:rPr>
                      <w:rFonts w:cs="Miriam" w:hint="cs"/>
                      <w:noProof/>
                      <w:szCs w:val="18"/>
                      <w:rtl/>
                    </w:rPr>
                  </w:pPr>
                  <w:r>
                    <w:rPr>
                      <w:rFonts w:cs="Miriam" w:hint="cs"/>
                      <w:szCs w:val="18"/>
                      <w:rtl/>
                    </w:rPr>
                    <w:t>צירוף מסמכים</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(א)</w:t>
      </w:r>
      <w:r>
        <w:rPr>
          <w:rStyle w:val="default"/>
          <w:rFonts w:cs="FrankRuehl" w:hint="cs"/>
          <w:rtl/>
        </w:rPr>
        <w:tab/>
        <w:t>לבקשה יצורפו מסמכים שיש בהם כדי לתמוך בה, בין השאר בהתייחס לאלה:</w:t>
      </w:r>
    </w:p>
    <w:p w14:paraId="7A72BA46" w14:textId="77777777" w:rsidR="00B51531" w:rsidRDefault="00B5153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הנסיבות האישיות המיוחדות של בעל העסק, וכן חוות דעת מקצועיות הרלבנטיות לפירוט הנסיבות האמורות;</w:t>
      </w:r>
    </w:p>
    <w:p w14:paraId="1E60FA35" w14:textId="77777777" w:rsidR="00B51531" w:rsidRDefault="00B5153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הנסיבות המיוחדות של העסק והאופי הייחודי של העסק;</w:t>
      </w:r>
    </w:p>
    <w:p w14:paraId="096B8784" w14:textId="77777777" w:rsidR="00B51531" w:rsidRDefault="00B5153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המקרה המיוחד המצדיק הגדלת הפיצוי;</w:t>
      </w:r>
    </w:p>
    <w:p w14:paraId="7D3A98A2" w14:textId="77777777" w:rsidR="00B51531" w:rsidRDefault="00B5153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ההחלטות שניתנו על פי החוק בענין העסק או הסניף, אם ניתנו;</w:t>
      </w:r>
    </w:p>
    <w:p w14:paraId="4BFE7C35" w14:textId="77777777" w:rsidR="00B51531" w:rsidRDefault="00B5153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הטעמים לכך שהפיצוי המחושב לפי שיטות החישוב הקבועות בחוק, נמוך במידה ניכרת מפיצוי ראוי והוגן על פי מטרות החוק;</w:t>
      </w:r>
    </w:p>
    <w:p w14:paraId="7CEFD2BE" w14:textId="77777777" w:rsidR="00B51531" w:rsidRDefault="00B5153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ההטבות שהתקבלו מהמדינה לפי החוק;</w:t>
      </w:r>
    </w:p>
    <w:p w14:paraId="1774CCE5" w14:textId="77777777" w:rsidR="00B51531" w:rsidRDefault="00B5153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המענקים וההטבות שקיבל העסק מן המדינה או מגופים ציבוריים אחרים ממועד הקמת העסק;</w:t>
      </w:r>
    </w:p>
    <w:p w14:paraId="76E5290E" w14:textId="77777777" w:rsidR="00B51531" w:rsidRDefault="00B51531">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חובות העסק כאמור בתקנה 3(א)(3).</w:t>
      </w:r>
    </w:p>
    <w:p w14:paraId="5065034F" w14:textId="77777777" w:rsidR="00B51531" w:rsidRDefault="00B5153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לבקשה להגדלת פיצוי כאמור בתקנה 3(ב) </w:t>
      </w:r>
      <w:r>
        <w:rPr>
          <w:rStyle w:val="default"/>
          <w:rFonts w:cs="FrankRuehl"/>
          <w:rtl/>
        </w:rPr>
        <w:t>–</w:t>
      </w:r>
      <w:r>
        <w:rPr>
          <w:rStyle w:val="default"/>
          <w:rFonts w:cs="FrankRuehl" w:hint="cs"/>
          <w:rtl/>
        </w:rPr>
        <w:t xml:space="preserve"> יצורפו המסמכים שיש בהם להוכיח את המבוקש, וכל הראיות האחרות אשר יאפשרו חישוב הגדלת הפיצוי המבוקשת.</w:t>
      </w:r>
    </w:p>
    <w:p w14:paraId="4E3CC60A" w14:textId="77777777" w:rsidR="00B51531" w:rsidRDefault="00B5153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הבקשה להיתמך בתצהיר לאימות העובדות והמסמכים הכלולים בה; על עובדות שהן בתחום ידיעתו האישית של המצהיר, יצהיר שהן נכונות, ועל עובדות אחרות יצהיר שהן נכונות לפי מיטב ידיעתו ואמונתו.</w:t>
      </w:r>
    </w:p>
    <w:p w14:paraId="0C864D65" w14:textId="77777777" w:rsidR="00B51531" w:rsidRDefault="00B5153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מסמכים לענין פעולות של רשויות המדינה וכל מסמך אחר שיצורף לבקשה ושאינם מקור יאומתו כמתאימים למקור בידי עורך דין.</w:t>
      </w:r>
    </w:p>
    <w:p w14:paraId="1753D46A" w14:textId="77777777" w:rsidR="00B51531" w:rsidRDefault="00B51531">
      <w:pPr>
        <w:pStyle w:val="P00"/>
        <w:spacing w:before="72"/>
        <w:ind w:left="0" w:right="1134"/>
        <w:rPr>
          <w:rStyle w:val="default"/>
          <w:rFonts w:cs="FrankRuehl" w:hint="cs"/>
          <w:rtl/>
        </w:rPr>
      </w:pPr>
      <w:bookmarkStart w:id="5" w:name="Seif5"/>
      <w:bookmarkEnd w:id="5"/>
      <w:r>
        <w:rPr>
          <w:lang w:val="he-IL"/>
        </w:rPr>
        <w:pict w14:anchorId="2F78FEA3">
          <v:rect id="_x0000_s1129" style="position:absolute;left:0;text-align:left;margin-left:464.5pt;margin-top:8.05pt;width:75.05pt;height:19.7pt;z-index:251659776" o:allowincell="f" filled="f" stroked="f" strokecolor="lime" strokeweight=".25pt">
            <v:textbox inset="0,0,0,0">
              <w:txbxContent>
                <w:p w14:paraId="241126C5" w14:textId="77777777" w:rsidR="00B51531" w:rsidRDefault="00B51531">
                  <w:pPr>
                    <w:spacing w:line="160" w:lineRule="exact"/>
                    <w:jc w:val="left"/>
                    <w:rPr>
                      <w:rFonts w:cs="Miriam" w:hint="cs"/>
                      <w:noProof/>
                      <w:szCs w:val="18"/>
                      <w:rtl/>
                    </w:rPr>
                  </w:pPr>
                  <w:r>
                    <w:rPr>
                      <w:rFonts w:cs="Miriam" w:hint="cs"/>
                      <w:szCs w:val="18"/>
                      <w:rtl/>
                    </w:rPr>
                    <w:t>בקשת פטור מחובת הצגת מסמכים</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(א)</w:t>
      </w:r>
      <w:r>
        <w:rPr>
          <w:rStyle w:val="default"/>
          <w:rFonts w:cs="FrankRuehl" w:hint="cs"/>
          <w:rtl/>
        </w:rPr>
        <w:tab/>
        <w:t>מי שנבצר ממנו להגיש מסמך הנדרש על פי תקנות אלה, יציין בפני ועדת הזכאות את הטעמים לכך, ורשאית הוועדה לפטרו מחובת הגשת המסמך האמור, אם שוכנעה כי אין בידו לעשות כן.</w:t>
      </w:r>
    </w:p>
    <w:p w14:paraId="0608AD3E" w14:textId="77777777" w:rsidR="00B51531" w:rsidRDefault="00B5153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פטרה הוועדה מבקש מחובת הגשת מסמך רשאיות ועדת הזכאות והועדה המיוחדת לקבוע ממצאים ולהניח הנחות לפי שיקול דעתן והחומר שלפניהן.</w:t>
      </w:r>
    </w:p>
    <w:p w14:paraId="15EAE8FC" w14:textId="77777777" w:rsidR="00B51531" w:rsidRDefault="00B51531">
      <w:pPr>
        <w:pStyle w:val="P00"/>
        <w:spacing w:before="72"/>
        <w:ind w:left="0" w:right="1134"/>
        <w:rPr>
          <w:rStyle w:val="default"/>
          <w:rFonts w:cs="FrankRuehl" w:hint="cs"/>
          <w:rtl/>
        </w:rPr>
      </w:pPr>
      <w:bookmarkStart w:id="6" w:name="Seif6"/>
      <w:bookmarkEnd w:id="6"/>
      <w:r>
        <w:rPr>
          <w:lang w:val="he-IL"/>
        </w:rPr>
        <w:pict w14:anchorId="4FCD8170">
          <v:rect id="_x0000_s1130" style="position:absolute;left:0;text-align:left;margin-left:464.5pt;margin-top:8.05pt;width:75.05pt;height:11.1pt;z-index:251660800" o:allowincell="f" filled="f" stroked="f" strokecolor="lime" strokeweight=".25pt">
            <v:textbox inset="0,0,0,0">
              <w:txbxContent>
                <w:p w14:paraId="737200E0" w14:textId="77777777" w:rsidR="00B51531" w:rsidRDefault="00B51531">
                  <w:pPr>
                    <w:spacing w:line="160" w:lineRule="exact"/>
                    <w:jc w:val="left"/>
                    <w:rPr>
                      <w:rFonts w:cs="Miriam" w:hint="cs"/>
                      <w:noProof/>
                      <w:szCs w:val="18"/>
                      <w:rtl/>
                    </w:rPr>
                  </w:pPr>
                  <w:r>
                    <w:rPr>
                      <w:rFonts w:cs="Miriam" w:hint="cs"/>
                      <w:szCs w:val="18"/>
                      <w:rtl/>
                    </w:rPr>
                    <w:t>השלמת פרטים</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ראתה ועדת הזכאות או הוועדה המיוחדת שפרטי הבקשה או המסמכים המצורפים לה אינם מספיקים כדי לבררה, או כדי לקבוע את שיעור ההגדלה, תדרוש מהמבקש השלמת הפרטים החסרים, ורשאית היא להורות כי הפרטים יאושרו או יאומתו בדרך שתקבע, לרבות בידי רואה חשבון; לא השלים התובע את הפרטים בתוך 30 ימים מיום שנדרש לכך, תידחה הבקשה, ואולם המבקש יהיה רשאי להגיש בקשה חדשה.</w:t>
      </w:r>
    </w:p>
    <w:p w14:paraId="6FF8CDA2" w14:textId="77777777" w:rsidR="00B51531" w:rsidRDefault="00B51531">
      <w:pPr>
        <w:pStyle w:val="P00"/>
        <w:spacing w:before="72"/>
        <w:ind w:left="0" w:right="1134"/>
        <w:rPr>
          <w:rFonts w:hint="cs"/>
          <w:rtl/>
        </w:rPr>
      </w:pPr>
    </w:p>
    <w:p w14:paraId="36F5A1A2" w14:textId="77777777" w:rsidR="00B51531" w:rsidRDefault="00B51531">
      <w:pPr>
        <w:pStyle w:val="P00"/>
        <w:spacing w:before="72"/>
        <w:ind w:left="0" w:right="1134"/>
        <w:rPr>
          <w:rFonts w:hint="cs"/>
          <w:rtl/>
        </w:rPr>
      </w:pPr>
    </w:p>
    <w:p w14:paraId="08469F58" w14:textId="77777777" w:rsidR="00B51531" w:rsidRDefault="00B51531">
      <w:pPr>
        <w:pStyle w:val="P00"/>
        <w:spacing w:before="72"/>
        <w:ind w:left="0" w:right="1134"/>
        <w:rPr>
          <w:rFonts w:hint="cs"/>
          <w:rtl/>
        </w:rPr>
      </w:pPr>
      <w:r>
        <w:rPr>
          <w:rFonts w:hint="cs"/>
          <w:rtl/>
        </w:rPr>
        <w:t>כ"א בתמוז התשס"ה (28 ביולי 2005)</w:t>
      </w:r>
    </w:p>
    <w:p w14:paraId="185B9E21" w14:textId="77777777" w:rsidR="00B51531" w:rsidRDefault="00B51531">
      <w:pPr>
        <w:pStyle w:val="sig-0"/>
        <w:tabs>
          <w:tab w:val="clear" w:pos="4820"/>
          <w:tab w:val="center" w:pos="5670"/>
        </w:tabs>
        <w:ind w:left="0" w:right="1134"/>
        <w:rPr>
          <w:rtl/>
        </w:rPr>
      </w:pPr>
      <w:r>
        <w:rPr>
          <w:rFonts w:hint="cs"/>
          <w:rtl/>
        </w:rPr>
        <w:tab/>
        <w:t>ציפי לבני</w:t>
      </w:r>
    </w:p>
    <w:p w14:paraId="0DCE2372" w14:textId="77777777" w:rsidR="00B51531" w:rsidRDefault="00B51531">
      <w:pPr>
        <w:pStyle w:val="sig-1"/>
        <w:widowControl/>
        <w:tabs>
          <w:tab w:val="clear" w:pos="851"/>
          <w:tab w:val="clear" w:pos="2835"/>
          <w:tab w:val="clear" w:pos="4820"/>
          <w:tab w:val="center" w:pos="5670"/>
        </w:tabs>
        <w:ind w:left="0" w:right="1134"/>
        <w:rPr>
          <w:rFonts w:hint="cs"/>
          <w:rtl/>
        </w:rPr>
      </w:pPr>
      <w:r>
        <w:rPr>
          <w:rFonts w:hint="cs"/>
          <w:rtl/>
        </w:rPr>
        <w:tab/>
        <w:t>שרת המשפטים</w:t>
      </w:r>
    </w:p>
    <w:p w14:paraId="38327C85" w14:textId="77777777" w:rsidR="00B51531" w:rsidRDefault="00B51531">
      <w:pPr>
        <w:pStyle w:val="P00"/>
        <w:spacing w:before="72"/>
        <w:ind w:left="0" w:right="1134"/>
        <w:rPr>
          <w:rStyle w:val="default"/>
          <w:rFonts w:cs="FrankRuehl"/>
          <w:rtl/>
        </w:rPr>
      </w:pPr>
    </w:p>
    <w:sectPr w:rsidR="00B51531">
      <w:headerReference w:type="even" r:id="rId6"/>
      <w:headerReference w:type="default" r:id="rId7"/>
      <w:footerReference w:type="even" r:id="rId8"/>
      <w:footerReference w:type="default" r:id="rId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A3056" w14:textId="77777777" w:rsidR="00B51531" w:rsidRDefault="00B51531">
      <w:r>
        <w:separator/>
      </w:r>
    </w:p>
  </w:endnote>
  <w:endnote w:type="continuationSeparator" w:id="0">
    <w:p w14:paraId="2A22AEAD" w14:textId="77777777" w:rsidR="00B51531" w:rsidRDefault="00B51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B2CE0" w14:textId="77777777" w:rsidR="00B51531" w:rsidRDefault="00B5153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29B56D36" w14:textId="77777777" w:rsidR="00B51531" w:rsidRDefault="00B5153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02B704F" w14:textId="77777777" w:rsidR="00B51531" w:rsidRDefault="00B5153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T:\00000000-law\yael\05-08-13\999_463.doc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947E6" w14:textId="77777777" w:rsidR="00B51531" w:rsidRDefault="00B5153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CE40B7">
      <w:rPr>
        <w:rFonts w:hAnsi="FrankRuehl"/>
        <w:noProof/>
        <w:sz w:val="24"/>
        <w:szCs w:val="24"/>
        <w:rtl/>
      </w:rPr>
      <w:t>2</w:t>
    </w:r>
    <w:r>
      <w:rPr>
        <w:rFonts w:hAnsi="FrankRuehl"/>
        <w:sz w:val="24"/>
        <w:szCs w:val="24"/>
        <w:rtl/>
      </w:rPr>
      <w:fldChar w:fldCharType="end"/>
    </w:r>
  </w:p>
  <w:p w14:paraId="6698011E" w14:textId="77777777" w:rsidR="00B51531" w:rsidRDefault="00B5153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06FCF6F" w14:textId="77777777" w:rsidR="00B51531" w:rsidRDefault="00B5153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T:\00000000-law\yael\05-08-13\999_463.doc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B97CE" w14:textId="77777777" w:rsidR="00B51531" w:rsidRDefault="00B51531">
      <w:r>
        <w:separator/>
      </w:r>
    </w:p>
  </w:footnote>
  <w:footnote w:type="continuationSeparator" w:id="0">
    <w:p w14:paraId="66B95D71" w14:textId="77777777" w:rsidR="00B51531" w:rsidRDefault="00B51531">
      <w:r>
        <w:continuationSeparator/>
      </w:r>
    </w:p>
  </w:footnote>
  <w:footnote w:id="1">
    <w:p w14:paraId="6060C5B6" w14:textId="77777777" w:rsidR="00B51531" w:rsidRDefault="00B5153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Pr>
            <w:rStyle w:val="Hyperlink"/>
            <w:rFonts w:hint="cs"/>
            <w:sz w:val="20"/>
            <w:rtl/>
          </w:rPr>
          <w:t>ק"ת תשס"ה מס' 6406</w:t>
        </w:r>
      </w:hyperlink>
      <w:r>
        <w:rPr>
          <w:rFonts w:hint="cs"/>
          <w:sz w:val="20"/>
          <w:rtl/>
        </w:rPr>
        <w:t xml:space="preserve"> מיום 1.8.2005 עמ' 844.</w:t>
      </w:r>
    </w:p>
    <w:p w14:paraId="7B8DB274" w14:textId="77777777" w:rsidR="00B51531" w:rsidRDefault="00B51531">
      <w:pPr>
        <w:pStyle w:val="footnote"/>
        <w:tabs>
          <w:tab w:val="left" w:pos="624"/>
          <w:tab w:val="left" w:pos="1021"/>
          <w:tab w:val="left" w:pos="1474"/>
          <w:tab w:val="left" w:pos="1928"/>
          <w:tab w:val="left" w:pos="2381"/>
          <w:tab w:val="left" w:pos="2835"/>
          <w:tab w:val="right" w:leader="dot" w:pos="6259"/>
        </w:tabs>
        <w:bidi w:val="0"/>
        <w:spacing w:before="72"/>
        <w:ind w:left="0" w:right="1134"/>
        <w:rPr>
          <w:sz w:val="20"/>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7F9BB" w14:textId="77777777" w:rsidR="00B51531" w:rsidRDefault="00B51531">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36244BC8" w14:textId="77777777" w:rsidR="00B51531" w:rsidRDefault="00B5153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97C111F" w14:textId="77777777" w:rsidR="00B51531" w:rsidRDefault="00B51531">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9FB22" w14:textId="77777777" w:rsidR="00B51531" w:rsidRDefault="00B51531">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יישום תכנית ההתנתקות (כללים ותנאים להגדלת פיצוי בשל עסק או סניף)</w:t>
    </w:r>
    <w:r>
      <w:rPr>
        <w:rFonts w:hAnsi="FrankRuehl"/>
        <w:color w:val="000000"/>
        <w:sz w:val="28"/>
        <w:szCs w:val="28"/>
        <w:rtl/>
      </w:rPr>
      <w:t xml:space="preserve">, </w:t>
    </w:r>
    <w:r>
      <w:rPr>
        <w:rFonts w:hAnsi="FrankRuehl" w:hint="cs"/>
        <w:color w:val="000000"/>
        <w:sz w:val="28"/>
        <w:szCs w:val="28"/>
        <w:rtl/>
      </w:rPr>
      <w:br/>
    </w:r>
    <w:r>
      <w:rPr>
        <w:rFonts w:hAnsi="FrankRuehl"/>
        <w:color w:val="000000"/>
        <w:sz w:val="28"/>
        <w:szCs w:val="28"/>
        <w:rtl/>
      </w:rPr>
      <w:t>תשס"</w:t>
    </w:r>
    <w:r>
      <w:rPr>
        <w:rFonts w:hAnsi="FrankRuehl" w:hint="cs"/>
        <w:color w:val="000000"/>
        <w:sz w:val="28"/>
        <w:szCs w:val="28"/>
        <w:rtl/>
      </w:rPr>
      <w:t>ה</w:t>
    </w:r>
    <w:r>
      <w:rPr>
        <w:rFonts w:hAnsi="FrankRuehl"/>
        <w:color w:val="000000"/>
        <w:sz w:val="28"/>
        <w:szCs w:val="28"/>
        <w:rtl/>
      </w:rPr>
      <w:t>-200</w:t>
    </w:r>
    <w:r>
      <w:rPr>
        <w:rFonts w:hAnsi="FrankRuehl" w:hint="cs"/>
        <w:color w:val="000000"/>
        <w:sz w:val="28"/>
        <w:szCs w:val="28"/>
        <w:rtl/>
      </w:rPr>
      <w:t>5</w:t>
    </w:r>
  </w:p>
  <w:p w14:paraId="62743A11" w14:textId="77777777" w:rsidR="00B51531" w:rsidRDefault="00B5153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FE47B8A" w14:textId="77777777" w:rsidR="00B51531" w:rsidRDefault="00B51531">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40B7"/>
    <w:rsid w:val="001F0CA6"/>
    <w:rsid w:val="00B51531"/>
    <w:rsid w:val="00CE40B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F189BAC"/>
  <w15:chartTrackingRefBased/>
  <w15:docId w15:val="{6B86D1C0-A6CC-4B92-96CB-66388A9E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4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5069</CharactersWithSpaces>
  <SharedDoc>false</SharedDoc>
  <HLinks>
    <vt:vector size="48" baseType="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8323082</vt:i4>
      </vt:variant>
      <vt:variant>
        <vt:i4>0</vt:i4>
      </vt:variant>
      <vt:variant>
        <vt:i4>0</vt:i4>
      </vt:variant>
      <vt:variant>
        <vt:i4>5</vt:i4>
      </vt:variant>
      <vt:variant>
        <vt:lpwstr>http://www.nevo.co.il/Law_word/law06/tak-6406.pdf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 </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ביטחון</vt:lpwstr>
  </property>
  <property fmtid="{D5CDD505-2E9C-101B-9397-08002B2CF9AE}" pid="4" name="LAWNAME">
    <vt:lpwstr>תקנות יישום תכנית ההתנתקות (כללים ותנאים להגדלת פיצוי בשל עסק או סניף), תשס"ה-2005</vt:lpwstr>
  </property>
  <property fmtid="{D5CDD505-2E9C-101B-9397-08002B2CF9AE}" pid="5" name="LAWNUMBER">
    <vt:lpwstr>0463</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http://www.nevo.co.il/Law_word/law06/tak-6406.pdf;רשומות - תקנות כלליות# תשס"ה מס' 6406#מיום 1.8.2005#עמ' 844</vt:lpwstr>
  </property>
  <property fmtid="{D5CDD505-2E9C-101B-9397-08002B2CF9AE}" pid="22" name="NOSE11">
    <vt:lpwstr>בטחון</vt:lpwstr>
  </property>
  <property fmtid="{D5CDD505-2E9C-101B-9397-08002B2CF9AE}" pid="23" name="NOSE21">
    <vt:lpwstr>תכנית ההתנתקות</vt:lpwstr>
  </property>
  <property fmtid="{D5CDD505-2E9C-101B-9397-08002B2CF9AE}" pid="24" name="NOSE31">
    <vt:lpwstr>פיצוי, תשלום ומענק</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