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74E95" w14:textId="77777777" w:rsidR="00673ABB" w:rsidRDefault="00673ABB">
      <w:pPr>
        <w:pStyle w:val="big-header"/>
        <w:ind w:left="0" w:right="1134"/>
      </w:pPr>
      <w:r>
        <w:rPr>
          <w:rFonts w:hint="cs"/>
          <w:rtl/>
        </w:rPr>
        <w:t>תקנות יישום תכנית ההתנתקות (כללים לאישור בקשה ולקביעת תשלום מיוחד), תשס"ו-2005</w:t>
      </w:r>
    </w:p>
    <w:p w14:paraId="613E920E" w14:textId="77777777" w:rsidR="00597724" w:rsidRPr="00597724" w:rsidRDefault="00597724" w:rsidP="00597724">
      <w:pPr>
        <w:spacing w:line="320" w:lineRule="auto"/>
        <w:jc w:val="left"/>
        <w:rPr>
          <w:rFonts w:cs="FrankRuehl"/>
          <w:szCs w:val="26"/>
          <w:rtl/>
        </w:rPr>
      </w:pPr>
    </w:p>
    <w:p w14:paraId="3875FA74" w14:textId="77777777" w:rsidR="00597724" w:rsidRDefault="00597724" w:rsidP="00597724">
      <w:pPr>
        <w:spacing w:line="320" w:lineRule="auto"/>
        <w:jc w:val="left"/>
        <w:rPr>
          <w:rtl/>
        </w:rPr>
      </w:pPr>
    </w:p>
    <w:p w14:paraId="2116060A" w14:textId="77777777" w:rsidR="00597724" w:rsidRPr="00597724" w:rsidRDefault="00597724" w:rsidP="00597724">
      <w:pPr>
        <w:spacing w:line="320" w:lineRule="auto"/>
        <w:jc w:val="left"/>
        <w:rPr>
          <w:rFonts w:cs="Miriam"/>
          <w:szCs w:val="22"/>
          <w:rtl/>
        </w:rPr>
      </w:pPr>
      <w:r w:rsidRPr="00597724">
        <w:rPr>
          <w:rFonts w:cs="Miriam"/>
          <w:szCs w:val="22"/>
          <w:rtl/>
        </w:rPr>
        <w:t>בטחון</w:t>
      </w:r>
      <w:r w:rsidRPr="00597724">
        <w:rPr>
          <w:rFonts w:cs="FrankRuehl"/>
          <w:szCs w:val="26"/>
          <w:rtl/>
        </w:rPr>
        <w:t xml:space="preserve"> – תכנית ההתנתקות – פיצוי, תשלום ומענק</w:t>
      </w:r>
    </w:p>
    <w:p w14:paraId="64F27590" w14:textId="77777777" w:rsidR="00673ABB" w:rsidRDefault="00673ABB">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45F21" w:rsidRPr="00B45F21" w14:paraId="2325C563" w14:textId="77777777">
        <w:tblPrEx>
          <w:tblCellMar>
            <w:top w:w="0" w:type="dxa"/>
            <w:bottom w:w="0" w:type="dxa"/>
          </w:tblCellMar>
        </w:tblPrEx>
        <w:tc>
          <w:tcPr>
            <w:tcW w:w="1247" w:type="dxa"/>
          </w:tcPr>
          <w:p w14:paraId="4494FD8A" w14:textId="77777777" w:rsidR="00B45F21" w:rsidRPr="00B45F21" w:rsidRDefault="00B45F21" w:rsidP="00B45F21">
            <w:pPr>
              <w:spacing w:line="240" w:lineRule="auto"/>
              <w:jc w:val="left"/>
              <w:rPr>
                <w:rFonts w:cs="Frankruhel" w:hint="cs"/>
                <w:sz w:val="24"/>
                <w:rtl/>
              </w:rPr>
            </w:pPr>
            <w:r>
              <w:rPr>
                <w:rFonts w:cs="Times New Roman"/>
                <w:sz w:val="24"/>
                <w:rtl/>
              </w:rPr>
              <w:t xml:space="preserve">סעיף 1 </w:t>
            </w:r>
          </w:p>
        </w:tc>
        <w:tc>
          <w:tcPr>
            <w:tcW w:w="5669" w:type="dxa"/>
          </w:tcPr>
          <w:p w14:paraId="22CF6403" w14:textId="77777777" w:rsidR="00B45F21" w:rsidRPr="00B45F21" w:rsidRDefault="00B45F21" w:rsidP="00B45F21">
            <w:pPr>
              <w:spacing w:line="240" w:lineRule="auto"/>
              <w:jc w:val="left"/>
              <w:rPr>
                <w:rFonts w:cs="Frankruhel" w:hint="cs"/>
                <w:sz w:val="24"/>
                <w:rtl/>
              </w:rPr>
            </w:pPr>
            <w:r>
              <w:rPr>
                <w:rFonts w:cs="Times New Roman"/>
                <w:sz w:val="24"/>
                <w:rtl/>
              </w:rPr>
              <w:t>הגדרות</w:t>
            </w:r>
          </w:p>
        </w:tc>
        <w:tc>
          <w:tcPr>
            <w:tcW w:w="567" w:type="dxa"/>
          </w:tcPr>
          <w:p w14:paraId="093C8882" w14:textId="77777777" w:rsidR="00B45F21" w:rsidRPr="00B45F21" w:rsidRDefault="00B45F21" w:rsidP="00B45F21">
            <w:pPr>
              <w:spacing w:line="240" w:lineRule="auto"/>
              <w:jc w:val="left"/>
              <w:rPr>
                <w:rStyle w:val="Hyperlink"/>
                <w:rFonts w:hint="cs"/>
                <w:rtl/>
              </w:rPr>
            </w:pPr>
            <w:hyperlink w:anchor="Seif1" w:tooltip="הגדרות" w:history="1">
              <w:r w:rsidRPr="00B45F21">
                <w:rPr>
                  <w:rStyle w:val="Hyperlink"/>
                </w:rPr>
                <w:t>Go</w:t>
              </w:r>
            </w:hyperlink>
          </w:p>
        </w:tc>
        <w:tc>
          <w:tcPr>
            <w:tcW w:w="850" w:type="dxa"/>
          </w:tcPr>
          <w:p w14:paraId="724D864A" w14:textId="77777777" w:rsidR="00B45F21" w:rsidRPr="00B45F21" w:rsidRDefault="00B45F21" w:rsidP="00B45F2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45F21" w:rsidRPr="00B45F21" w14:paraId="33CA494D" w14:textId="77777777">
        <w:tblPrEx>
          <w:tblCellMar>
            <w:top w:w="0" w:type="dxa"/>
            <w:bottom w:w="0" w:type="dxa"/>
          </w:tblCellMar>
        </w:tblPrEx>
        <w:tc>
          <w:tcPr>
            <w:tcW w:w="1247" w:type="dxa"/>
          </w:tcPr>
          <w:p w14:paraId="7B122E38" w14:textId="77777777" w:rsidR="00B45F21" w:rsidRPr="00B45F21" w:rsidRDefault="00B45F21" w:rsidP="00B45F21">
            <w:pPr>
              <w:spacing w:line="240" w:lineRule="auto"/>
              <w:jc w:val="left"/>
              <w:rPr>
                <w:rFonts w:cs="Frankruhel" w:hint="cs"/>
                <w:sz w:val="24"/>
                <w:rtl/>
              </w:rPr>
            </w:pPr>
            <w:r>
              <w:rPr>
                <w:rFonts w:cs="Times New Roman"/>
                <w:sz w:val="24"/>
                <w:rtl/>
              </w:rPr>
              <w:t xml:space="preserve">סעיף 2 </w:t>
            </w:r>
          </w:p>
        </w:tc>
        <w:tc>
          <w:tcPr>
            <w:tcW w:w="5669" w:type="dxa"/>
          </w:tcPr>
          <w:p w14:paraId="03841096" w14:textId="77777777" w:rsidR="00B45F21" w:rsidRPr="00B45F21" w:rsidRDefault="00B45F21" w:rsidP="00B45F21">
            <w:pPr>
              <w:spacing w:line="240" w:lineRule="auto"/>
              <w:jc w:val="left"/>
              <w:rPr>
                <w:rFonts w:cs="Frankruhel" w:hint="cs"/>
                <w:sz w:val="24"/>
                <w:rtl/>
              </w:rPr>
            </w:pPr>
            <w:r>
              <w:rPr>
                <w:rFonts w:cs="Times New Roman"/>
                <w:sz w:val="24"/>
                <w:rtl/>
              </w:rPr>
              <w:t>בקשה לתשלום החזר השקעות בשל מבנה ציבור</w:t>
            </w:r>
          </w:p>
        </w:tc>
        <w:tc>
          <w:tcPr>
            <w:tcW w:w="567" w:type="dxa"/>
          </w:tcPr>
          <w:p w14:paraId="7C7CEFE1" w14:textId="77777777" w:rsidR="00B45F21" w:rsidRPr="00B45F21" w:rsidRDefault="00B45F21" w:rsidP="00B45F21">
            <w:pPr>
              <w:spacing w:line="240" w:lineRule="auto"/>
              <w:jc w:val="left"/>
              <w:rPr>
                <w:rStyle w:val="Hyperlink"/>
                <w:rFonts w:hint="cs"/>
                <w:rtl/>
              </w:rPr>
            </w:pPr>
            <w:hyperlink w:anchor="Seif2" w:tooltip="בקשה לתשלום החזר השקעות בשל מבנה ציבור" w:history="1">
              <w:r w:rsidRPr="00B45F21">
                <w:rPr>
                  <w:rStyle w:val="Hyperlink"/>
                </w:rPr>
                <w:t>Go</w:t>
              </w:r>
            </w:hyperlink>
          </w:p>
        </w:tc>
        <w:tc>
          <w:tcPr>
            <w:tcW w:w="850" w:type="dxa"/>
          </w:tcPr>
          <w:p w14:paraId="600B7D14" w14:textId="77777777" w:rsidR="00B45F21" w:rsidRPr="00B45F21" w:rsidRDefault="00B45F21" w:rsidP="00B45F2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45F21" w:rsidRPr="00B45F21" w14:paraId="36207CE9" w14:textId="77777777">
        <w:tblPrEx>
          <w:tblCellMar>
            <w:top w:w="0" w:type="dxa"/>
            <w:bottom w:w="0" w:type="dxa"/>
          </w:tblCellMar>
        </w:tblPrEx>
        <w:tc>
          <w:tcPr>
            <w:tcW w:w="1247" w:type="dxa"/>
          </w:tcPr>
          <w:p w14:paraId="726ACB10" w14:textId="77777777" w:rsidR="00B45F21" w:rsidRPr="00B45F21" w:rsidRDefault="00B45F21" w:rsidP="00B45F21">
            <w:pPr>
              <w:spacing w:line="240" w:lineRule="auto"/>
              <w:jc w:val="left"/>
              <w:rPr>
                <w:rFonts w:cs="Frankruhel" w:hint="cs"/>
                <w:sz w:val="24"/>
                <w:rtl/>
              </w:rPr>
            </w:pPr>
            <w:r>
              <w:rPr>
                <w:rFonts w:cs="Times New Roman"/>
                <w:sz w:val="24"/>
                <w:rtl/>
              </w:rPr>
              <w:t xml:space="preserve">סעיף 3 </w:t>
            </w:r>
          </w:p>
        </w:tc>
        <w:tc>
          <w:tcPr>
            <w:tcW w:w="5669" w:type="dxa"/>
          </w:tcPr>
          <w:p w14:paraId="05FD1895" w14:textId="77777777" w:rsidR="00B45F21" w:rsidRPr="00B45F21" w:rsidRDefault="00B45F21" w:rsidP="00B45F21">
            <w:pPr>
              <w:spacing w:line="240" w:lineRule="auto"/>
              <w:jc w:val="left"/>
              <w:rPr>
                <w:rFonts w:cs="Frankruhel" w:hint="cs"/>
                <w:sz w:val="24"/>
                <w:rtl/>
              </w:rPr>
            </w:pPr>
            <w:r>
              <w:rPr>
                <w:rFonts w:cs="Times New Roman"/>
                <w:sz w:val="24"/>
                <w:rtl/>
              </w:rPr>
              <w:t>שיקולים לאשר בקשה להחזר השקעות בשל מבנה ציבור</w:t>
            </w:r>
          </w:p>
        </w:tc>
        <w:tc>
          <w:tcPr>
            <w:tcW w:w="567" w:type="dxa"/>
          </w:tcPr>
          <w:p w14:paraId="59A4B1AB" w14:textId="77777777" w:rsidR="00B45F21" w:rsidRPr="00B45F21" w:rsidRDefault="00B45F21" w:rsidP="00B45F21">
            <w:pPr>
              <w:spacing w:line="240" w:lineRule="auto"/>
              <w:jc w:val="left"/>
              <w:rPr>
                <w:rStyle w:val="Hyperlink"/>
                <w:rFonts w:hint="cs"/>
                <w:rtl/>
              </w:rPr>
            </w:pPr>
            <w:hyperlink w:anchor="Seif3" w:tooltip="שיקולים לאשר בקשה להחזר השקעות בשל מבנה ציבור" w:history="1">
              <w:r w:rsidRPr="00B45F21">
                <w:rPr>
                  <w:rStyle w:val="Hyperlink"/>
                </w:rPr>
                <w:t>Go</w:t>
              </w:r>
            </w:hyperlink>
          </w:p>
        </w:tc>
        <w:tc>
          <w:tcPr>
            <w:tcW w:w="850" w:type="dxa"/>
          </w:tcPr>
          <w:p w14:paraId="1E40C70A" w14:textId="77777777" w:rsidR="00B45F21" w:rsidRPr="00B45F21" w:rsidRDefault="00B45F21" w:rsidP="00B45F2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45F21" w:rsidRPr="00B45F21" w14:paraId="22B1166D" w14:textId="77777777">
        <w:tblPrEx>
          <w:tblCellMar>
            <w:top w:w="0" w:type="dxa"/>
            <w:bottom w:w="0" w:type="dxa"/>
          </w:tblCellMar>
        </w:tblPrEx>
        <w:tc>
          <w:tcPr>
            <w:tcW w:w="1247" w:type="dxa"/>
          </w:tcPr>
          <w:p w14:paraId="1764CBEA" w14:textId="77777777" w:rsidR="00B45F21" w:rsidRPr="00B45F21" w:rsidRDefault="00B45F21" w:rsidP="00B45F21">
            <w:pPr>
              <w:spacing w:line="240" w:lineRule="auto"/>
              <w:jc w:val="left"/>
              <w:rPr>
                <w:rFonts w:cs="Frankruhel" w:hint="cs"/>
                <w:sz w:val="24"/>
                <w:rtl/>
              </w:rPr>
            </w:pPr>
            <w:r>
              <w:rPr>
                <w:rFonts w:cs="Times New Roman"/>
                <w:sz w:val="24"/>
                <w:rtl/>
              </w:rPr>
              <w:t xml:space="preserve">סעיף 4 </w:t>
            </w:r>
          </w:p>
        </w:tc>
        <w:tc>
          <w:tcPr>
            <w:tcW w:w="5669" w:type="dxa"/>
          </w:tcPr>
          <w:p w14:paraId="10EF9E9C" w14:textId="77777777" w:rsidR="00B45F21" w:rsidRPr="00B45F21" w:rsidRDefault="00B45F21" w:rsidP="00B45F21">
            <w:pPr>
              <w:spacing w:line="240" w:lineRule="auto"/>
              <w:jc w:val="left"/>
              <w:rPr>
                <w:rFonts w:cs="Frankruhel" w:hint="cs"/>
                <w:sz w:val="24"/>
                <w:rtl/>
              </w:rPr>
            </w:pPr>
            <w:r>
              <w:rPr>
                <w:rFonts w:cs="Times New Roman"/>
                <w:sz w:val="24"/>
                <w:rtl/>
              </w:rPr>
              <w:t>הסכם העתקה</w:t>
            </w:r>
          </w:p>
        </w:tc>
        <w:tc>
          <w:tcPr>
            <w:tcW w:w="567" w:type="dxa"/>
          </w:tcPr>
          <w:p w14:paraId="53A48EE7" w14:textId="77777777" w:rsidR="00B45F21" w:rsidRPr="00B45F21" w:rsidRDefault="00B45F21" w:rsidP="00B45F21">
            <w:pPr>
              <w:spacing w:line="240" w:lineRule="auto"/>
              <w:jc w:val="left"/>
              <w:rPr>
                <w:rStyle w:val="Hyperlink"/>
                <w:rFonts w:hint="cs"/>
                <w:rtl/>
              </w:rPr>
            </w:pPr>
            <w:hyperlink w:anchor="Seif4" w:tooltip="הסכם העתקה" w:history="1">
              <w:r w:rsidRPr="00B45F21">
                <w:rPr>
                  <w:rStyle w:val="Hyperlink"/>
                </w:rPr>
                <w:t>Go</w:t>
              </w:r>
            </w:hyperlink>
          </w:p>
        </w:tc>
        <w:tc>
          <w:tcPr>
            <w:tcW w:w="850" w:type="dxa"/>
          </w:tcPr>
          <w:p w14:paraId="6B0B11A7" w14:textId="77777777" w:rsidR="00B45F21" w:rsidRPr="00B45F21" w:rsidRDefault="00B45F21" w:rsidP="00B45F2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45F21" w:rsidRPr="00B45F21" w14:paraId="42E48AE4" w14:textId="77777777">
        <w:tblPrEx>
          <w:tblCellMar>
            <w:top w:w="0" w:type="dxa"/>
            <w:bottom w:w="0" w:type="dxa"/>
          </w:tblCellMar>
        </w:tblPrEx>
        <w:tc>
          <w:tcPr>
            <w:tcW w:w="1247" w:type="dxa"/>
          </w:tcPr>
          <w:p w14:paraId="7EB616A8" w14:textId="77777777" w:rsidR="00B45F21" w:rsidRPr="00B45F21" w:rsidRDefault="00B45F21" w:rsidP="00B45F21">
            <w:pPr>
              <w:spacing w:line="240" w:lineRule="auto"/>
              <w:jc w:val="left"/>
              <w:rPr>
                <w:rFonts w:cs="Frankruhel" w:hint="cs"/>
                <w:sz w:val="24"/>
                <w:rtl/>
              </w:rPr>
            </w:pPr>
            <w:r>
              <w:rPr>
                <w:rFonts w:cs="Times New Roman"/>
                <w:sz w:val="24"/>
                <w:rtl/>
              </w:rPr>
              <w:t xml:space="preserve">סעיף 5 </w:t>
            </w:r>
          </w:p>
        </w:tc>
        <w:tc>
          <w:tcPr>
            <w:tcW w:w="5669" w:type="dxa"/>
          </w:tcPr>
          <w:p w14:paraId="2A901AAD" w14:textId="77777777" w:rsidR="00B45F21" w:rsidRPr="00B45F21" w:rsidRDefault="00B45F21" w:rsidP="00B45F21">
            <w:pPr>
              <w:spacing w:line="240" w:lineRule="auto"/>
              <w:jc w:val="left"/>
              <w:rPr>
                <w:rFonts w:cs="Frankruhel" w:hint="cs"/>
                <w:sz w:val="24"/>
                <w:rtl/>
              </w:rPr>
            </w:pPr>
            <w:r>
              <w:rPr>
                <w:rFonts w:cs="Times New Roman"/>
                <w:sz w:val="24"/>
                <w:rtl/>
              </w:rPr>
              <w:t>שיקולים לאשר תשלום מיוחד</w:t>
            </w:r>
          </w:p>
        </w:tc>
        <w:tc>
          <w:tcPr>
            <w:tcW w:w="567" w:type="dxa"/>
          </w:tcPr>
          <w:p w14:paraId="755C2B32" w14:textId="77777777" w:rsidR="00B45F21" w:rsidRPr="00B45F21" w:rsidRDefault="00B45F21" w:rsidP="00B45F21">
            <w:pPr>
              <w:spacing w:line="240" w:lineRule="auto"/>
              <w:jc w:val="left"/>
              <w:rPr>
                <w:rStyle w:val="Hyperlink"/>
                <w:rFonts w:hint="cs"/>
                <w:rtl/>
              </w:rPr>
            </w:pPr>
            <w:hyperlink w:anchor="Seif5" w:tooltip="שיקולים לאשר תשלום מיוחד" w:history="1">
              <w:r w:rsidRPr="00B45F21">
                <w:rPr>
                  <w:rStyle w:val="Hyperlink"/>
                </w:rPr>
                <w:t>Go</w:t>
              </w:r>
            </w:hyperlink>
          </w:p>
        </w:tc>
        <w:tc>
          <w:tcPr>
            <w:tcW w:w="850" w:type="dxa"/>
          </w:tcPr>
          <w:p w14:paraId="6BF220E3" w14:textId="77777777" w:rsidR="00B45F21" w:rsidRPr="00B45F21" w:rsidRDefault="00B45F21" w:rsidP="00B45F2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45F21" w:rsidRPr="00B45F21" w14:paraId="4866EADE" w14:textId="77777777">
        <w:tblPrEx>
          <w:tblCellMar>
            <w:top w:w="0" w:type="dxa"/>
            <w:bottom w:w="0" w:type="dxa"/>
          </w:tblCellMar>
        </w:tblPrEx>
        <w:tc>
          <w:tcPr>
            <w:tcW w:w="1247" w:type="dxa"/>
          </w:tcPr>
          <w:p w14:paraId="54B1325B" w14:textId="77777777" w:rsidR="00B45F21" w:rsidRPr="00B45F21" w:rsidRDefault="00B45F21" w:rsidP="00B45F21">
            <w:pPr>
              <w:spacing w:line="240" w:lineRule="auto"/>
              <w:jc w:val="left"/>
              <w:rPr>
                <w:rFonts w:cs="Frankruhel" w:hint="cs"/>
                <w:sz w:val="24"/>
                <w:rtl/>
              </w:rPr>
            </w:pPr>
            <w:r>
              <w:rPr>
                <w:rFonts w:cs="Times New Roman"/>
                <w:sz w:val="24"/>
                <w:rtl/>
              </w:rPr>
              <w:t xml:space="preserve">סעיף 6 </w:t>
            </w:r>
          </w:p>
        </w:tc>
        <w:tc>
          <w:tcPr>
            <w:tcW w:w="5669" w:type="dxa"/>
          </w:tcPr>
          <w:p w14:paraId="2CE5AB9F" w14:textId="77777777" w:rsidR="00B45F21" w:rsidRPr="00B45F21" w:rsidRDefault="00B45F21" w:rsidP="00B45F21">
            <w:pPr>
              <w:spacing w:line="240" w:lineRule="auto"/>
              <w:jc w:val="left"/>
              <w:rPr>
                <w:rFonts w:cs="Frankruhel" w:hint="cs"/>
                <w:sz w:val="24"/>
                <w:rtl/>
              </w:rPr>
            </w:pPr>
            <w:r>
              <w:rPr>
                <w:rFonts w:cs="Times New Roman"/>
                <w:sz w:val="24"/>
                <w:rtl/>
              </w:rPr>
              <w:t>בקשה לאישור תשלום בשל זכויות בקרקע</w:t>
            </w:r>
          </w:p>
        </w:tc>
        <w:tc>
          <w:tcPr>
            <w:tcW w:w="567" w:type="dxa"/>
          </w:tcPr>
          <w:p w14:paraId="01F5AF15" w14:textId="77777777" w:rsidR="00B45F21" w:rsidRPr="00B45F21" w:rsidRDefault="00B45F21" w:rsidP="00B45F21">
            <w:pPr>
              <w:spacing w:line="240" w:lineRule="auto"/>
              <w:jc w:val="left"/>
              <w:rPr>
                <w:rStyle w:val="Hyperlink"/>
                <w:rFonts w:hint="cs"/>
                <w:rtl/>
              </w:rPr>
            </w:pPr>
            <w:hyperlink w:anchor="Seif6" w:tooltip="בקשה לאישור תשלום בשל זכויות בקרקע" w:history="1">
              <w:r w:rsidRPr="00B45F21">
                <w:rPr>
                  <w:rStyle w:val="Hyperlink"/>
                </w:rPr>
                <w:t>Go</w:t>
              </w:r>
            </w:hyperlink>
          </w:p>
        </w:tc>
        <w:tc>
          <w:tcPr>
            <w:tcW w:w="850" w:type="dxa"/>
          </w:tcPr>
          <w:p w14:paraId="494A7492" w14:textId="77777777" w:rsidR="00B45F21" w:rsidRPr="00B45F21" w:rsidRDefault="00B45F21" w:rsidP="00B45F2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45F21" w:rsidRPr="00B45F21" w14:paraId="40FF9E9E" w14:textId="77777777">
        <w:tblPrEx>
          <w:tblCellMar>
            <w:top w:w="0" w:type="dxa"/>
            <w:bottom w:w="0" w:type="dxa"/>
          </w:tblCellMar>
        </w:tblPrEx>
        <w:tc>
          <w:tcPr>
            <w:tcW w:w="1247" w:type="dxa"/>
          </w:tcPr>
          <w:p w14:paraId="2F4D31B9" w14:textId="77777777" w:rsidR="00B45F21" w:rsidRPr="00B45F21" w:rsidRDefault="00B45F21" w:rsidP="00B45F21">
            <w:pPr>
              <w:spacing w:line="240" w:lineRule="auto"/>
              <w:jc w:val="left"/>
              <w:rPr>
                <w:rFonts w:cs="Frankruhel" w:hint="cs"/>
                <w:sz w:val="24"/>
                <w:rtl/>
              </w:rPr>
            </w:pPr>
            <w:r>
              <w:rPr>
                <w:rFonts w:cs="Times New Roman"/>
                <w:sz w:val="24"/>
                <w:rtl/>
              </w:rPr>
              <w:t xml:space="preserve">סעיף 7 </w:t>
            </w:r>
          </w:p>
        </w:tc>
        <w:tc>
          <w:tcPr>
            <w:tcW w:w="5669" w:type="dxa"/>
          </w:tcPr>
          <w:p w14:paraId="3F794F56" w14:textId="77777777" w:rsidR="00B45F21" w:rsidRPr="00B45F21" w:rsidRDefault="00B45F21" w:rsidP="00B45F21">
            <w:pPr>
              <w:spacing w:line="240" w:lineRule="auto"/>
              <w:jc w:val="left"/>
              <w:rPr>
                <w:rFonts w:cs="Frankruhel" w:hint="cs"/>
                <w:sz w:val="24"/>
                <w:rtl/>
              </w:rPr>
            </w:pPr>
            <w:r>
              <w:rPr>
                <w:rFonts w:cs="Times New Roman"/>
                <w:sz w:val="24"/>
                <w:rtl/>
              </w:rPr>
              <w:t>מענקים מותנים</w:t>
            </w:r>
          </w:p>
        </w:tc>
        <w:tc>
          <w:tcPr>
            <w:tcW w:w="567" w:type="dxa"/>
          </w:tcPr>
          <w:p w14:paraId="2BE57ADF" w14:textId="77777777" w:rsidR="00B45F21" w:rsidRPr="00B45F21" w:rsidRDefault="00B45F21" w:rsidP="00B45F21">
            <w:pPr>
              <w:spacing w:line="240" w:lineRule="auto"/>
              <w:jc w:val="left"/>
              <w:rPr>
                <w:rStyle w:val="Hyperlink"/>
                <w:rFonts w:hint="cs"/>
                <w:rtl/>
              </w:rPr>
            </w:pPr>
            <w:hyperlink w:anchor="Seif7" w:tooltip="מענקים מותנים" w:history="1">
              <w:r w:rsidRPr="00B45F21">
                <w:rPr>
                  <w:rStyle w:val="Hyperlink"/>
                </w:rPr>
                <w:t>Go</w:t>
              </w:r>
            </w:hyperlink>
          </w:p>
        </w:tc>
        <w:tc>
          <w:tcPr>
            <w:tcW w:w="850" w:type="dxa"/>
          </w:tcPr>
          <w:p w14:paraId="1DA794AE" w14:textId="77777777" w:rsidR="00B45F21" w:rsidRPr="00B45F21" w:rsidRDefault="00B45F21" w:rsidP="00B45F2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45F21" w:rsidRPr="00B45F21" w14:paraId="61AA1F0E" w14:textId="77777777">
        <w:tblPrEx>
          <w:tblCellMar>
            <w:top w:w="0" w:type="dxa"/>
            <w:bottom w:w="0" w:type="dxa"/>
          </w:tblCellMar>
        </w:tblPrEx>
        <w:tc>
          <w:tcPr>
            <w:tcW w:w="1247" w:type="dxa"/>
          </w:tcPr>
          <w:p w14:paraId="2974F136" w14:textId="77777777" w:rsidR="00B45F21" w:rsidRPr="00B45F21" w:rsidRDefault="00B45F21" w:rsidP="00B45F21">
            <w:pPr>
              <w:spacing w:line="240" w:lineRule="auto"/>
              <w:jc w:val="left"/>
              <w:rPr>
                <w:rFonts w:cs="Frankruhel" w:hint="cs"/>
                <w:sz w:val="24"/>
                <w:rtl/>
              </w:rPr>
            </w:pPr>
            <w:r>
              <w:rPr>
                <w:rFonts w:cs="Times New Roman"/>
                <w:sz w:val="24"/>
                <w:rtl/>
              </w:rPr>
              <w:t xml:space="preserve">סעיף 8 </w:t>
            </w:r>
          </w:p>
        </w:tc>
        <w:tc>
          <w:tcPr>
            <w:tcW w:w="5669" w:type="dxa"/>
          </w:tcPr>
          <w:p w14:paraId="065667FB" w14:textId="77777777" w:rsidR="00B45F21" w:rsidRPr="00B45F21" w:rsidRDefault="00B45F21" w:rsidP="00B45F21">
            <w:pPr>
              <w:spacing w:line="240" w:lineRule="auto"/>
              <w:jc w:val="left"/>
              <w:rPr>
                <w:rFonts w:cs="Frankruhel" w:hint="cs"/>
                <w:sz w:val="24"/>
                <w:rtl/>
              </w:rPr>
            </w:pPr>
            <w:r>
              <w:rPr>
                <w:rFonts w:cs="Times New Roman"/>
                <w:sz w:val="24"/>
                <w:rtl/>
              </w:rPr>
              <w:t>התייחסות לתשלומים לזכאים על פי החוק ולמקרים דומים</w:t>
            </w:r>
          </w:p>
        </w:tc>
        <w:tc>
          <w:tcPr>
            <w:tcW w:w="567" w:type="dxa"/>
          </w:tcPr>
          <w:p w14:paraId="3BDFC6F9" w14:textId="77777777" w:rsidR="00B45F21" w:rsidRPr="00B45F21" w:rsidRDefault="00B45F21" w:rsidP="00B45F21">
            <w:pPr>
              <w:spacing w:line="240" w:lineRule="auto"/>
              <w:jc w:val="left"/>
              <w:rPr>
                <w:rStyle w:val="Hyperlink"/>
                <w:rFonts w:hint="cs"/>
                <w:rtl/>
              </w:rPr>
            </w:pPr>
            <w:hyperlink w:anchor="Seif8" w:tooltip="התייחסות לתשלומים לזכאים על פי החוק ולמקרים דומים" w:history="1">
              <w:r w:rsidRPr="00B45F21">
                <w:rPr>
                  <w:rStyle w:val="Hyperlink"/>
                </w:rPr>
                <w:t>Go</w:t>
              </w:r>
            </w:hyperlink>
          </w:p>
        </w:tc>
        <w:tc>
          <w:tcPr>
            <w:tcW w:w="850" w:type="dxa"/>
          </w:tcPr>
          <w:p w14:paraId="12E1208B" w14:textId="77777777" w:rsidR="00B45F21" w:rsidRPr="00B45F21" w:rsidRDefault="00B45F21" w:rsidP="00B45F2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45F21" w:rsidRPr="00B45F21" w14:paraId="79F2B8A8" w14:textId="77777777">
        <w:tblPrEx>
          <w:tblCellMar>
            <w:top w:w="0" w:type="dxa"/>
            <w:bottom w:w="0" w:type="dxa"/>
          </w:tblCellMar>
        </w:tblPrEx>
        <w:tc>
          <w:tcPr>
            <w:tcW w:w="1247" w:type="dxa"/>
          </w:tcPr>
          <w:p w14:paraId="56763C85" w14:textId="77777777" w:rsidR="00B45F21" w:rsidRPr="00B45F21" w:rsidRDefault="00B45F21" w:rsidP="00B45F21">
            <w:pPr>
              <w:spacing w:line="240" w:lineRule="auto"/>
              <w:jc w:val="left"/>
              <w:rPr>
                <w:rFonts w:cs="Frankruhel" w:hint="cs"/>
                <w:sz w:val="24"/>
                <w:rtl/>
              </w:rPr>
            </w:pPr>
            <w:r>
              <w:rPr>
                <w:rFonts w:cs="Times New Roman"/>
                <w:sz w:val="24"/>
                <w:rtl/>
              </w:rPr>
              <w:t xml:space="preserve">סעיף 9 </w:t>
            </w:r>
          </w:p>
        </w:tc>
        <w:tc>
          <w:tcPr>
            <w:tcW w:w="5669" w:type="dxa"/>
          </w:tcPr>
          <w:p w14:paraId="10FC8B64" w14:textId="77777777" w:rsidR="00B45F21" w:rsidRPr="00B45F21" w:rsidRDefault="00B45F21" w:rsidP="00B45F21">
            <w:pPr>
              <w:spacing w:line="240" w:lineRule="auto"/>
              <w:jc w:val="left"/>
              <w:rPr>
                <w:rFonts w:cs="Frankruhel" w:hint="cs"/>
                <w:sz w:val="24"/>
                <w:rtl/>
              </w:rPr>
            </w:pPr>
            <w:r>
              <w:rPr>
                <w:rFonts w:cs="Times New Roman"/>
                <w:sz w:val="24"/>
                <w:rtl/>
              </w:rPr>
              <w:t>ועדת זכאות ועדה מיוחדת</w:t>
            </w:r>
          </w:p>
        </w:tc>
        <w:tc>
          <w:tcPr>
            <w:tcW w:w="567" w:type="dxa"/>
          </w:tcPr>
          <w:p w14:paraId="437C4356" w14:textId="77777777" w:rsidR="00B45F21" w:rsidRPr="00B45F21" w:rsidRDefault="00B45F21" w:rsidP="00B45F21">
            <w:pPr>
              <w:spacing w:line="240" w:lineRule="auto"/>
              <w:jc w:val="left"/>
              <w:rPr>
                <w:rStyle w:val="Hyperlink"/>
                <w:rFonts w:hint="cs"/>
                <w:rtl/>
              </w:rPr>
            </w:pPr>
            <w:hyperlink w:anchor="Seif9" w:tooltip="ועדת זכאות ועדה מיוחדת" w:history="1">
              <w:r w:rsidRPr="00B45F21">
                <w:rPr>
                  <w:rStyle w:val="Hyperlink"/>
                </w:rPr>
                <w:t>Go</w:t>
              </w:r>
            </w:hyperlink>
          </w:p>
        </w:tc>
        <w:tc>
          <w:tcPr>
            <w:tcW w:w="850" w:type="dxa"/>
          </w:tcPr>
          <w:p w14:paraId="11300313" w14:textId="77777777" w:rsidR="00B45F21" w:rsidRPr="00B45F21" w:rsidRDefault="00B45F21" w:rsidP="00B45F2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45F21" w:rsidRPr="00B45F21" w14:paraId="6637B587" w14:textId="77777777">
        <w:tblPrEx>
          <w:tblCellMar>
            <w:top w:w="0" w:type="dxa"/>
            <w:bottom w:w="0" w:type="dxa"/>
          </w:tblCellMar>
        </w:tblPrEx>
        <w:tc>
          <w:tcPr>
            <w:tcW w:w="1247" w:type="dxa"/>
          </w:tcPr>
          <w:p w14:paraId="6FA2ED2E" w14:textId="77777777" w:rsidR="00B45F21" w:rsidRPr="00B45F21" w:rsidRDefault="00B45F21" w:rsidP="00B45F21">
            <w:pPr>
              <w:spacing w:line="240" w:lineRule="auto"/>
              <w:jc w:val="left"/>
              <w:rPr>
                <w:rFonts w:cs="Frankruhel" w:hint="cs"/>
                <w:sz w:val="24"/>
                <w:rtl/>
              </w:rPr>
            </w:pPr>
            <w:r>
              <w:rPr>
                <w:rFonts w:cs="Times New Roman"/>
                <w:sz w:val="24"/>
                <w:rtl/>
              </w:rPr>
              <w:t xml:space="preserve">סעיף 10 </w:t>
            </w:r>
          </w:p>
        </w:tc>
        <w:tc>
          <w:tcPr>
            <w:tcW w:w="5669" w:type="dxa"/>
          </w:tcPr>
          <w:p w14:paraId="5871EA22" w14:textId="77777777" w:rsidR="00B45F21" w:rsidRPr="00B45F21" w:rsidRDefault="00B45F21" w:rsidP="00B45F21">
            <w:pPr>
              <w:spacing w:line="240" w:lineRule="auto"/>
              <w:jc w:val="left"/>
              <w:rPr>
                <w:rFonts w:cs="Frankruhel" w:hint="cs"/>
                <w:sz w:val="24"/>
                <w:rtl/>
              </w:rPr>
            </w:pPr>
            <w:r>
              <w:rPr>
                <w:rFonts w:cs="Times New Roman"/>
                <w:sz w:val="24"/>
                <w:rtl/>
              </w:rPr>
              <w:t>צירוף מסמכים</w:t>
            </w:r>
          </w:p>
        </w:tc>
        <w:tc>
          <w:tcPr>
            <w:tcW w:w="567" w:type="dxa"/>
          </w:tcPr>
          <w:p w14:paraId="252FEDE6" w14:textId="77777777" w:rsidR="00B45F21" w:rsidRPr="00B45F21" w:rsidRDefault="00B45F21" w:rsidP="00B45F21">
            <w:pPr>
              <w:spacing w:line="240" w:lineRule="auto"/>
              <w:jc w:val="left"/>
              <w:rPr>
                <w:rStyle w:val="Hyperlink"/>
                <w:rFonts w:hint="cs"/>
                <w:rtl/>
              </w:rPr>
            </w:pPr>
            <w:hyperlink w:anchor="Seif10" w:tooltip="צירוף מסמכים" w:history="1">
              <w:r w:rsidRPr="00B45F21">
                <w:rPr>
                  <w:rStyle w:val="Hyperlink"/>
                </w:rPr>
                <w:t>Go</w:t>
              </w:r>
            </w:hyperlink>
          </w:p>
        </w:tc>
        <w:tc>
          <w:tcPr>
            <w:tcW w:w="850" w:type="dxa"/>
          </w:tcPr>
          <w:p w14:paraId="3AC65856" w14:textId="77777777" w:rsidR="00B45F21" w:rsidRPr="00B45F21" w:rsidRDefault="00B45F21" w:rsidP="00B45F2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45F21" w:rsidRPr="00B45F21" w14:paraId="07080F2F" w14:textId="77777777">
        <w:tblPrEx>
          <w:tblCellMar>
            <w:top w:w="0" w:type="dxa"/>
            <w:bottom w:w="0" w:type="dxa"/>
          </w:tblCellMar>
        </w:tblPrEx>
        <w:tc>
          <w:tcPr>
            <w:tcW w:w="1247" w:type="dxa"/>
          </w:tcPr>
          <w:p w14:paraId="023BF787" w14:textId="77777777" w:rsidR="00B45F21" w:rsidRPr="00B45F21" w:rsidRDefault="00B45F21" w:rsidP="00B45F21">
            <w:pPr>
              <w:spacing w:line="240" w:lineRule="auto"/>
              <w:jc w:val="left"/>
              <w:rPr>
                <w:rFonts w:cs="Frankruhel" w:hint="cs"/>
                <w:sz w:val="24"/>
                <w:rtl/>
              </w:rPr>
            </w:pPr>
            <w:r>
              <w:rPr>
                <w:rFonts w:cs="Times New Roman"/>
                <w:sz w:val="24"/>
                <w:rtl/>
              </w:rPr>
              <w:t xml:space="preserve">סעיף 11 </w:t>
            </w:r>
          </w:p>
        </w:tc>
        <w:tc>
          <w:tcPr>
            <w:tcW w:w="5669" w:type="dxa"/>
          </w:tcPr>
          <w:p w14:paraId="5193B6B5" w14:textId="77777777" w:rsidR="00B45F21" w:rsidRPr="00B45F21" w:rsidRDefault="00B45F21" w:rsidP="00B45F21">
            <w:pPr>
              <w:spacing w:line="240" w:lineRule="auto"/>
              <w:jc w:val="left"/>
              <w:rPr>
                <w:rFonts w:cs="Frankruhel" w:hint="cs"/>
                <w:sz w:val="24"/>
                <w:rtl/>
              </w:rPr>
            </w:pPr>
            <w:r>
              <w:rPr>
                <w:rFonts w:cs="Times New Roman"/>
                <w:sz w:val="24"/>
                <w:rtl/>
              </w:rPr>
              <w:t>בקשת פטור מחובת הצגת מסמכים</w:t>
            </w:r>
          </w:p>
        </w:tc>
        <w:tc>
          <w:tcPr>
            <w:tcW w:w="567" w:type="dxa"/>
          </w:tcPr>
          <w:p w14:paraId="2AD50E3B" w14:textId="77777777" w:rsidR="00B45F21" w:rsidRPr="00B45F21" w:rsidRDefault="00B45F21" w:rsidP="00B45F21">
            <w:pPr>
              <w:spacing w:line="240" w:lineRule="auto"/>
              <w:jc w:val="left"/>
              <w:rPr>
                <w:rStyle w:val="Hyperlink"/>
                <w:rFonts w:hint="cs"/>
                <w:rtl/>
              </w:rPr>
            </w:pPr>
            <w:hyperlink w:anchor="Seif11" w:tooltip="בקשת פטור מחובת הצגת מסמכים" w:history="1">
              <w:r w:rsidRPr="00B45F21">
                <w:rPr>
                  <w:rStyle w:val="Hyperlink"/>
                </w:rPr>
                <w:t>Go</w:t>
              </w:r>
            </w:hyperlink>
          </w:p>
        </w:tc>
        <w:tc>
          <w:tcPr>
            <w:tcW w:w="850" w:type="dxa"/>
          </w:tcPr>
          <w:p w14:paraId="4A8FBB0F" w14:textId="77777777" w:rsidR="00B45F21" w:rsidRPr="00B45F21" w:rsidRDefault="00B45F21" w:rsidP="00B45F2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45F21" w:rsidRPr="00B45F21" w14:paraId="36EE04E8" w14:textId="77777777">
        <w:tblPrEx>
          <w:tblCellMar>
            <w:top w:w="0" w:type="dxa"/>
            <w:bottom w:w="0" w:type="dxa"/>
          </w:tblCellMar>
        </w:tblPrEx>
        <w:tc>
          <w:tcPr>
            <w:tcW w:w="1247" w:type="dxa"/>
          </w:tcPr>
          <w:p w14:paraId="5B3B44A8" w14:textId="77777777" w:rsidR="00B45F21" w:rsidRPr="00B45F21" w:rsidRDefault="00B45F21" w:rsidP="00B45F21">
            <w:pPr>
              <w:spacing w:line="240" w:lineRule="auto"/>
              <w:jc w:val="left"/>
              <w:rPr>
                <w:rFonts w:cs="Frankruhel" w:hint="cs"/>
                <w:sz w:val="24"/>
                <w:rtl/>
              </w:rPr>
            </w:pPr>
            <w:r>
              <w:rPr>
                <w:rFonts w:cs="Times New Roman"/>
                <w:sz w:val="24"/>
                <w:rtl/>
              </w:rPr>
              <w:t xml:space="preserve">סעיף 12 </w:t>
            </w:r>
          </w:p>
        </w:tc>
        <w:tc>
          <w:tcPr>
            <w:tcW w:w="5669" w:type="dxa"/>
          </w:tcPr>
          <w:p w14:paraId="0BC5BEEB" w14:textId="77777777" w:rsidR="00B45F21" w:rsidRPr="00B45F21" w:rsidRDefault="00B45F21" w:rsidP="00B45F21">
            <w:pPr>
              <w:spacing w:line="240" w:lineRule="auto"/>
              <w:jc w:val="left"/>
              <w:rPr>
                <w:rFonts w:cs="Frankruhel" w:hint="cs"/>
                <w:sz w:val="24"/>
                <w:rtl/>
              </w:rPr>
            </w:pPr>
            <w:r>
              <w:rPr>
                <w:rFonts w:cs="Times New Roman"/>
                <w:sz w:val="24"/>
                <w:rtl/>
              </w:rPr>
              <w:t>השלמת פרטים</w:t>
            </w:r>
          </w:p>
        </w:tc>
        <w:tc>
          <w:tcPr>
            <w:tcW w:w="567" w:type="dxa"/>
          </w:tcPr>
          <w:p w14:paraId="3C3A07B3" w14:textId="77777777" w:rsidR="00B45F21" w:rsidRPr="00B45F21" w:rsidRDefault="00B45F21" w:rsidP="00B45F21">
            <w:pPr>
              <w:spacing w:line="240" w:lineRule="auto"/>
              <w:jc w:val="left"/>
              <w:rPr>
                <w:rStyle w:val="Hyperlink"/>
                <w:rFonts w:hint="cs"/>
                <w:rtl/>
              </w:rPr>
            </w:pPr>
            <w:hyperlink w:anchor="Seif12" w:tooltip="השלמת פרטים" w:history="1">
              <w:r w:rsidRPr="00B45F21">
                <w:rPr>
                  <w:rStyle w:val="Hyperlink"/>
                </w:rPr>
                <w:t>Go</w:t>
              </w:r>
            </w:hyperlink>
          </w:p>
        </w:tc>
        <w:tc>
          <w:tcPr>
            <w:tcW w:w="850" w:type="dxa"/>
          </w:tcPr>
          <w:p w14:paraId="19463F10" w14:textId="77777777" w:rsidR="00B45F21" w:rsidRPr="00B45F21" w:rsidRDefault="00B45F21" w:rsidP="00B45F2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643F05AE" w14:textId="77777777" w:rsidR="00673ABB" w:rsidRDefault="00673ABB">
      <w:pPr>
        <w:pStyle w:val="P00"/>
        <w:spacing w:before="72"/>
        <w:ind w:left="0" w:right="1134"/>
        <w:rPr>
          <w:rFonts w:hint="cs"/>
          <w:rtl/>
        </w:rPr>
      </w:pPr>
    </w:p>
    <w:p w14:paraId="60C9D666" w14:textId="77777777" w:rsidR="00673ABB" w:rsidRDefault="00673ABB" w:rsidP="00597724">
      <w:pPr>
        <w:pStyle w:val="big-header"/>
        <w:ind w:left="0" w:right="1134"/>
        <w:rPr>
          <w:rStyle w:val="default"/>
          <w:rFonts w:cs="FrankRuehl"/>
          <w:rtl/>
        </w:rPr>
      </w:pPr>
      <w:r>
        <w:rPr>
          <w:rtl/>
        </w:rPr>
        <w:br w:type="page"/>
      </w:r>
      <w:r>
        <w:rPr>
          <w:rFonts w:hint="cs"/>
          <w:rtl/>
        </w:rPr>
        <w:lastRenderedPageBreak/>
        <w:t>תקנות יישום תכנית ההתנתקות (כללים לאישור בקשה ולקביעת תשלום מיוחד), תשס"ו-2005</w:t>
      </w:r>
      <w:r>
        <w:rPr>
          <w:rStyle w:val="default"/>
          <w:sz w:val="22"/>
          <w:szCs w:val="22"/>
          <w:rtl/>
        </w:rPr>
        <w:footnoteReference w:customMarkFollows="1" w:id="1"/>
        <w:t>*</w:t>
      </w:r>
    </w:p>
    <w:p w14:paraId="3A33005D" w14:textId="77777777" w:rsidR="00673ABB" w:rsidRDefault="00673ABB">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137(ו) לחוק יישום תכנית ההתנתקות, התשס"ה</w:t>
      </w:r>
      <w:r>
        <w:rPr>
          <w:rStyle w:val="default"/>
          <w:rFonts w:cs="FrankRuehl" w:hint="cs"/>
          <w:rtl/>
        </w:rPr>
        <w:t xml:space="preserve">-2005 </w:t>
      </w:r>
      <w:r>
        <w:rPr>
          <w:rStyle w:val="default"/>
          <w:rFonts w:cs="FrankRuehl"/>
          <w:rtl/>
        </w:rPr>
        <w:t>(להלן – החוק), בהסכמת שרת המשפטים וממלא מקום שר האוצר, ובאישור ועדת הכספים של הכנסת, אני מתקין תקנות אלה:</w:t>
      </w:r>
    </w:p>
    <w:p w14:paraId="51A1CC8C" w14:textId="77777777" w:rsidR="00673ABB" w:rsidRDefault="00673ABB">
      <w:pPr>
        <w:pStyle w:val="P00"/>
        <w:spacing w:before="72"/>
        <w:ind w:left="0" w:right="1134"/>
        <w:rPr>
          <w:rStyle w:val="default"/>
          <w:rFonts w:cs="FrankRuehl" w:hint="cs"/>
          <w:rtl/>
        </w:rPr>
      </w:pPr>
      <w:bookmarkStart w:id="0" w:name="Seif1"/>
      <w:bookmarkEnd w:id="0"/>
      <w:r>
        <w:rPr>
          <w:lang w:val="he-IL"/>
        </w:rPr>
        <w:pict w14:anchorId="2DF0148A">
          <v:rect id="_x0000_s1026" style="position:absolute;left:0;text-align:left;margin-left:464.5pt;margin-top:8.05pt;width:75.05pt;height:7.6pt;z-index:251652096" o:allowincell="f" filled="f" stroked="f" strokecolor="lime" strokeweight=".25pt">
            <v:textbox inset="0,0,0,0">
              <w:txbxContent>
                <w:p w14:paraId="22E29590" w14:textId="77777777" w:rsidR="00673ABB" w:rsidRDefault="00673ABB">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14:paraId="4730EBC1" w14:textId="77777777" w:rsidR="00673ABB" w:rsidRDefault="00673ABB">
      <w:pPr>
        <w:pStyle w:val="P00"/>
        <w:spacing w:before="72"/>
        <w:ind w:left="0" w:right="1134"/>
        <w:rPr>
          <w:rStyle w:val="default"/>
          <w:rFonts w:cs="FrankRuehl" w:hint="cs"/>
          <w:rtl/>
        </w:rPr>
      </w:pPr>
      <w:r>
        <w:rPr>
          <w:rStyle w:val="default"/>
          <w:rFonts w:cs="FrankRuehl" w:hint="cs"/>
          <w:rtl/>
        </w:rPr>
        <w:tab/>
        <w:t>"</w:t>
      </w:r>
      <w:r>
        <w:rPr>
          <w:rStyle w:val="default"/>
          <w:rFonts w:cs="FrankRuehl"/>
          <w:rtl/>
        </w:rPr>
        <w:t>הוועדה" – הוועדה המיוחדת שמונתה לפי סעיף 137 לחוק;</w:t>
      </w:r>
    </w:p>
    <w:p w14:paraId="3AD11D3C" w14:textId="77777777" w:rsidR="00673ABB" w:rsidRDefault="00673ABB">
      <w:pPr>
        <w:pStyle w:val="P00"/>
        <w:spacing w:before="72"/>
        <w:ind w:left="0" w:right="1134"/>
        <w:rPr>
          <w:rStyle w:val="default"/>
          <w:rFonts w:cs="FrankRuehl" w:hint="cs"/>
          <w:rtl/>
        </w:rPr>
      </w:pPr>
      <w:r>
        <w:rPr>
          <w:rStyle w:val="default"/>
          <w:rFonts w:cs="FrankRuehl" w:hint="cs"/>
          <w:rtl/>
        </w:rPr>
        <w:tab/>
      </w:r>
      <w:r>
        <w:rPr>
          <w:rStyle w:val="default"/>
          <w:rFonts w:cs="FrankRuehl"/>
          <w:rtl/>
        </w:rPr>
        <w:t>"מבקש" – מי שהגיש בקשה לוועדה.</w:t>
      </w:r>
    </w:p>
    <w:p w14:paraId="035B63A3" w14:textId="77777777" w:rsidR="00673ABB" w:rsidRDefault="00673ABB">
      <w:pPr>
        <w:pStyle w:val="P00"/>
        <w:spacing w:before="72"/>
        <w:ind w:left="0" w:right="1134"/>
        <w:rPr>
          <w:rStyle w:val="default"/>
          <w:rFonts w:cs="FrankRuehl"/>
          <w:rtl/>
        </w:rPr>
      </w:pPr>
      <w:bookmarkStart w:id="1" w:name="Seif2"/>
      <w:bookmarkEnd w:id="1"/>
      <w:r>
        <w:rPr>
          <w:lang w:val="he-IL"/>
        </w:rPr>
        <w:pict w14:anchorId="6E50C407">
          <v:rect id="_x0000_s1120" style="position:absolute;left:0;text-align:left;margin-left:464.5pt;margin-top:8.05pt;width:75.05pt;height:26.5pt;z-index:251653120" o:allowincell="f" filled="f" stroked="f" strokecolor="lime" strokeweight=".25pt">
            <v:textbox inset="0,0,0,0">
              <w:txbxContent>
                <w:p w14:paraId="0CCDD196" w14:textId="77777777" w:rsidR="00673ABB" w:rsidRDefault="00673ABB">
                  <w:pPr>
                    <w:spacing w:line="160" w:lineRule="exact"/>
                    <w:jc w:val="left"/>
                    <w:rPr>
                      <w:rFonts w:cs="Miriam" w:hint="cs"/>
                      <w:noProof/>
                      <w:szCs w:val="18"/>
                      <w:rtl/>
                    </w:rPr>
                  </w:pPr>
                  <w:r>
                    <w:rPr>
                      <w:rFonts w:cs="Miriam" w:hint="cs"/>
                      <w:szCs w:val="18"/>
                      <w:rtl/>
                    </w:rPr>
                    <w:t>בקשה לתשלום החזר השקעות בשל מבנה ציבור</w:t>
                  </w:r>
                </w:p>
              </w:txbxContent>
            </v:textbox>
            <w10:anchorlock/>
          </v:rect>
        </w:pict>
      </w:r>
      <w:r>
        <w:rPr>
          <w:rStyle w:val="big-number"/>
          <w:rFonts w:hint="cs"/>
          <w:rtl/>
        </w:rPr>
        <w:t>2</w:t>
      </w:r>
      <w:r>
        <w:rPr>
          <w:rStyle w:val="big-number"/>
          <w:rtl/>
        </w:rPr>
        <w:t>.</w:t>
      </w:r>
      <w:r>
        <w:rPr>
          <w:rStyle w:val="big-number"/>
          <w:rtl/>
        </w:rPr>
        <w:tab/>
      </w:r>
      <w:r>
        <w:rPr>
          <w:rStyle w:val="default"/>
          <w:rFonts w:cs="FrankRuehl"/>
          <w:rtl/>
        </w:rPr>
        <w:t xml:space="preserve">לבקשה למתן תשלום של החזר השקעות כאמור בסעיף 80(ז) לחוק (להלן – בקשה להחזר </w:t>
      </w:r>
    </w:p>
    <w:p w14:paraId="640A19B6" w14:textId="77777777" w:rsidR="00673ABB" w:rsidRDefault="00673ABB">
      <w:pPr>
        <w:pStyle w:val="P00"/>
        <w:spacing w:before="72"/>
        <w:ind w:left="0" w:right="1134"/>
        <w:rPr>
          <w:rStyle w:val="default"/>
          <w:rFonts w:cs="FrankRuehl" w:hint="cs"/>
          <w:rtl/>
        </w:rPr>
      </w:pPr>
      <w:r>
        <w:rPr>
          <w:rStyle w:val="default"/>
          <w:rFonts w:cs="FrankRuehl"/>
          <w:rtl/>
        </w:rPr>
        <w:t>השקעות ליחיד), יצורפו מסמכים שיש בהם כדי להוכיח פרטים אלה:</w:t>
      </w:r>
    </w:p>
    <w:p w14:paraId="72894F7A" w14:textId="77777777" w:rsidR="00673ABB" w:rsidRDefault="00673ABB">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ההשקעה של המבקש בהקמת מבנה הציבור;</w:t>
      </w:r>
    </w:p>
    <w:p w14:paraId="18BAFEE6" w14:textId="77777777" w:rsidR="00673ABB" w:rsidRDefault="00673ABB">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האופן שבו מומנה הקמת מבנה הציבור, לרבות היקף ההשתתפות או המימון של</w:t>
      </w:r>
      <w:r>
        <w:rPr>
          <w:rStyle w:val="default"/>
          <w:rFonts w:cs="FrankRuehl" w:hint="cs"/>
          <w:rtl/>
        </w:rPr>
        <w:t xml:space="preserve"> </w:t>
      </w:r>
      <w:r>
        <w:rPr>
          <w:rStyle w:val="default"/>
          <w:rFonts w:cs="FrankRuehl"/>
          <w:rtl/>
        </w:rPr>
        <w:t>המדינה, רשות מקומית, ההסתדרות הציונית העולמית, תאגיד שהוקם בחוק, או תאגיד</w:t>
      </w:r>
      <w:r>
        <w:rPr>
          <w:rStyle w:val="default"/>
          <w:rFonts w:cs="FrankRuehl" w:hint="cs"/>
          <w:rtl/>
        </w:rPr>
        <w:t xml:space="preserve"> </w:t>
      </w:r>
      <w:r>
        <w:rPr>
          <w:rStyle w:val="default"/>
          <w:rFonts w:cs="FrankRuehl"/>
          <w:rtl/>
        </w:rPr>
        <w:t>בבעלות מי מהם, אגודה שיתופית התיישבותית או גוף ציבורי אחר, וכן קיומם וזהותם של משקיעים נוספים בהקמת מבנה הציבור, אם היו;</w:t>
      </w:r>
    </w:p>
    <w:p w14:paraId="58D16F88" w14:textId="77777777" w:rsidR="00673ABB" w:rsidRDefault="00673ABB">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תיאור מבנה הציבור, שטחו, סוג המבנה, סוג השימוש שנעשה בו, הזכויות הקיימות לגבי מבנה הציבור, והבעלות בזכויות אלה.</w:t>
      </w:r>
    </w:p>
    <w:p w14:paraId="75B09429" w14:textId="77777777" w:rsidR="00673ABB" w:rsidRDefault="00673ABB">
      <w:pPr>
        <w:pStyle w:val="P00"/>
        <w:spacing w:before="72"/>
        <w:ind w:left="0" w:right="1134"/>
        <w:rPr>
          <w:rStyle w:val="default"/>
          <w:rFonts w:cs="FrankRuehl" w:hint="cs"/>
          <w:rtl/>
        </w:rPr>
      </w:pPr>
      <w:bookmarkStart w:id="2" w:name="Seif3"/>
      <w:bookmarkEnd w:id="2"/>
      <w:r>
        <w:rPr>
          <w:lang w:val="he-IL"/>
        </w:rPr>
        <w:pict w14:anchorId="2B7D2ED7">
          <v:rect id="_x0000_s1126" style="position:absolute;left:0;text-align:left;margin-left:464.5pt;margin-top:8.05pt;width:75.05pt;height:28.15pt;z-index:251654144" o:allowincell="f" filled="f" stroked="f" strokecolor="lime" strokeweight=".25pt">
            <v:textbox inset="0,0,0,0">
              <w:txbxContent>
                <w:p w14:paraId="4586E586" w14:textId="77777777" w:rsidR="00673ABB" w:rsidRDefault="00673ABB">
                  <w:pPr>
                    <w:spacing w:line="160" w:lineRule="exact"/>
                    <w:jc w:val="left"/>
                    <w:rPr>
                      <w:rFonts w:cs="Miriam" w:hint="cs"/>
                      <w:noProof/>
                      <w:szCs w:val="18"/>
                      <w:rtl/>
                    </w:rPr>
                  </w:pPr>
                  <w:r>
                    <w:rPr>
                      <w:rFonts w:cs="Miriam" w:hint="cs"/>
                      <w:szCs w:val="18"/>
                      <w:rtl/>
                    </w:rPr>
                    <w:t>שיקולים לאשר בקשה להחזר השקעות בשל מבנה ציבור</w:t>
                  </w:r>
                </w:p>
              </w:txbxContent>
            </v:textbox>
            <w10:anchorlock/>
          </v:rect>
        </w:pict>
      </w:r>
      <w:r>
        <w:rPr>
          <w:rStyle w:val="big-number"/>
          <w:rFonts w:hint="cs"/>
          <w:rtl/>
        </w:rPr>
        <w:t>3</w:t>
      </w:r>
      <w:r>
        <w:rPr>
          <w:rStyle w:val="big-number"/>
          <w:rtl/>
        </w:rPr>
        <w:t>.</w:t>
      </w:r>
      <w:r>
        <w:rPr>
          <w:rStyle w:val="big-number"/>
          <w:rtl/>
        </w:rPr>
        <w:tab/>
      </w:r>
      <w:r>
        <w:rPr>
          <w:rStyle w:val="default"/>
          <w:rFonts w:cs="FrankRuehl"/>
          <w:rtl/>
        </w:rPr>
        <w:t>בבחינת בקשה להחזר השקעות ליחיד, תשקול הוועדה, בין השאר, שיקולים אלה:</w:t>
      </w:r>
    </w:p>
    <w:p w14:paraId="1230EE58" w14:textId="77777777" w:rsidR="00673ABB" w:rsidRDefault="00673ABB">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היחס בין היקף ההשקעות של המבקש במבנה הציבור לבין היקף ההשקעות הכולל במבנה הציבור;</w:t>
      </w:r>
    </w:p>
    <w:p w14:paraId="7A346CC6" w14:textId="77777777" w:rsidR="00673ABB" w:rsidRDefault="00673ABB">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האם ניתנה תמיכה להקמת מבנה הציבור או לפעילות השוטפת שלו מאת המדינה,</w:t>
      </w:r>
      <w:r>
        <w:rPr>
          <w:rStyle w:val="default"/>
          <w:rFonts w:cs="FrankRuehl" w:hint="cs"/>
          <w:rtl/>
        </w:rPr>
        <w:t xml:space="preserve"> </w:t>
      </w:r>
      <w:r>
        <w:rPr>
          <w:rStyle w:val="default"/>
          <w:rFonts w:cs="FrankRuehl"/>
          <w:rtl/>
        </w:rPr>
        <w:t>רשות מקומית, ההסתדרות הציונית העולמית, תאגיד שהוקם בחוק, תאגיד בבעלות מי</w:t>
      </w:r>
      <w:r>
        <w:rPr>
          <w:rStyle w:val="default"/>
          <w:rFonts w:cs="FrankRuehl" w:hint="cs"/>
          <w:rtl/>
        </w:rPr>
        <w:t xml:space="preserve"> </w:t>
      </w:r>
      <w:r>
        <w:rPr>
          <w:rStyle w:val="default"/>
          <w:rFonts w:cs="FrankRuehl"/>
          <w:rtl/>
        </w:rPr>
        <w:t>מהם, או אגודה שיתופית התיישבותית, או מגוף ציבורי אחר, ושיעור התמיכה של כל אחד מאלה;</w:t>
      </w:r>
    </w:p>
    <w:p w14:paraId="483DDAB8" w14:textId="77777777" w:rsidR="00673ABB" w:rsidRDefault="00673ABB">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מספרם וזהותם של המשקיעים האחרים במבנה הציבור;</w:t>
      </w:r>
    </w:p>
    <w:p w14:paraId="07FCA92D" w14:textId="77777777" w:rsidR="00673ABB" w:rsidRDefault="00673ABB">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זהות בעלי הזכויות במבנה הציבור;</w:t>
      </w:r>
    </w:p>
    <w:p w14:paraId="02F2DF25" w14:textId="77777777" w:rsidR="00673ABB" w:rsidRDefault="00673ABB">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אופי השימוש במבנה הציבור;</w:t>
      </w:r>
    </w:p>
    <w:p w14:paraId="3A673FF8" w14:textId="77777777" w:rsidR="00673ABB" w:rsidRDefault="00673ABB">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מועד ההשקעה נושא הבקשה.</w:t>
      </w:r>
    </w:p>
    <w:p w14:paraId="260DE969" w14:textId="77777777" w:rsidR="00673ABB" w:rsidRDefault="00673ABB">
      <w:pPr>
        <w:pStyle w:val="P00"/>
        <w:spacing w:before="72"/>
        <w:ind w:left="0" w:right="1134"/>
        <w:rPr>
          <w:rStyle w:val="default"/>
          <w:rFonts w:cs="FrankRuehl" w:hint="cs"/>
          <w:rtl/>
        </w:rPr>
      </w:pPr>
      <w:bookmarkStart w:id="3" w:name="Seif4"/>
      <w:bookmarkEnd w:id="3"/>
      <w:r>
        <w:rPr>
          <w:lang w:val="he-IL"/>
        </w:rPr>
        <w:pict w14:anchorId="7C7AAFF7">
          <v:rect id="_x0000_s1127" style="position:absolute;left:0;text-align:left;margin-left:464.5pt;margin-top:8.05pt;width:75.05pt;height:7.85pt;z-index:251655168" o:allowincell="f" filled="f" stroked="f" strokecolor="lime" strokeweight=".25pt">
            <v:textbox style="mso-next-textbox:#_x0000_s1127" inset="0,0,0,0">
              <w:txbxContent>
                <w:p w14:paraId="2288B42E" w14:textId="77777777" w:rsidR="00673ABB" w:rsidRDefault="00673ABB">
                  <w:pPr>
                    <w:spacing w:line="160" w:lineRule="exact"/>
                    <w:jc w:val="left"/>
                    <w:rPr>
                      <w:rFonts w:cs="Miriam" w:hint="cs"/>
                      <w:noProof/>
                      <w:szCs w:val="18"/>
                      <w:rtl/>
                    </w:rPr>
                  </w:pPr>
                  <w:r>
                    <w:rPr>
                      <w:rFonts w:cs="Miriam" w:hint="cs"/>
                      <w:szCs w:val="18"/>
                      <w:rtl/>
                    </w:rPr>
                    <w:t>הסכם העתקה</w:t>
                  </w:r>
                </w:p>
              </w:txbxContent>
            </v:textbox>
            <w10:anchorlock/>
          </v:rect>
        </w:pict>
      </w:r>
      <w:r>
        <w:rPr>
          <w:rStyle w:val="big-number"/>
          <w:rFonts w:hint="cs"/>
          <w:rtl/>
        </w:rPr>
        <w:t>4</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בבחינת בקשה לאישור של הסכם להעתקת קבוצת מתיישבים לפי סעיף 85(ב)(1) לחוק אל מחוץ לתחום האמור בסעיף 3 לחוק, תשקול הוועדה, בין השאר, את השיקולים שלהלן, לפי הענין:</w:t>
      </w:r>
    </w:p>
    <w:p w14:paraId="7EC0233A" w14:textId="77777777" w:rsidR="00673ABB" w:rsidRDefault="00673AB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עלות הפיצוי המשוקללת לחבר בקבוצת המתיישבים לפי הסכם ההעתקה, לעומת סכום הפיצוי שהיה משולם לפי שיטות החישוב הקבועות בחוק;</w:t>
      </w:r>
    </w:p>
    <w:p w14:paraId="2C147037" w14:textId="77777777" w:rsidR="00673ABB" w:rsidRDefault="00673AB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שיקולים ציבוריים כלליים, לרבות חשיבות שימור הקהילה, הקלת תהליך הפינוי, גודל קבוצת המתיישבים וכן שיקולים הנוגעים ליישוב הקולט וסביבתו;</w:t>
      </w:r>
    </w:p>
    <w:p w14:paraId="2721C978" w14:textId="77777777" w:rsidR="00673ABB" w:rsidRDefault="00673AB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הזכויות והחובות של צדדים נוספים להסכם.</w:t>
      </w:r>
    </w:p>
    <w:p w14:paraId="563AD21D" w14:textId="77777777" w:rsidR="00673ABB" w:rsidRDefault="00673AB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בבחינת בקשה לאישור של הסכם להעתקת פעילותה של אגודה שיתופית התיישבותית, שנכרת עם האגודה ועם חברים באגודה, כאמור בסעיף 85(ב)(2) לחוק, תשקול הוועדה את השיקולים שבתקנת משנה (א), לפי הענין, וכן את השיקולים שלהלן:</w:t>
      </w:r>
    </w:p>
    <w:p w14:paraId="299B945A" w14:textId="77777777" w:rsidR="00673ABB" w:rsidRDefault="00673ABB">
      <w:pPr>
        <w:pStyle w:val="P00"/>
        <w:spacing w:before="72"/>
        <w:ind w:left="1021" w:right="1134"/>
        <w:rPr>
          <w:rStyle w:val="default"/>
          <w:rFonts w:cs="FrankRuehl" w:hint="cs"/>
          <w:rtl/>
        </w:rPr>
      </w:pPr>
      <w:r>
        <w:rPr>
          <w:rStyle w:val="default"/>
          <w:rFonts w:cs="FrankRuehl"/>
          <w:rtl/>
        </w:rPr>
        <w:lastRenderedPageBreak/>
        <w:t>(1)</w:t>
      </w:r>
      <w:r>
        <w:rPr>
          <w:rStyle w:val="default"/>
          <w:rFonts w:cs="FrankRuehl" w:hint="cs"/>
          <w:rtl/>
        </w:rPr>
        <w:tab/>
      </w:r>
      <w:r>
        <w:rPr>
          <w:rStyle w:val="default"/>
          <w:rFonts w:cs="FrankRuehl"/>
          <w:rtl/>
        </w:rPr>
        <w:t>מספר חברי האגודה המסכימים להסכם ההעתקה ומספר חברי האגודה שלא מעוניינים בכך;</w:t>
      </w:r>
    </w:p>
    <w:p w14:paraId="50971729" w14:textId="77777777" w:rsidR="00673ABB" w:rsidRDefault="00673AB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האופן שבו הוסדרו זכויות וחובות החברים באגודה שלא מעוניינים בהעתקה על פי ההסכם, ומידת השמירה על זכויותיהם.</w:t>
      </w:r>
    </w:p>
    <w:p w14:paraId="4F607143" w14:textId="77777777" w:rsidR="00673ABB" w:rsidRDefault="00673AB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ככל שהדבר נדרש בנסיבות הענין, המנהלה תציג לוועדה את אופן הסדרת זכויות הנושים המובטחים כאמור בסעיף 87(ג)(2) לחוק, לפי הענין, של המתיישבים שהם צד להסכם</w:t>
      </w:r>
      <w:r>
        <w:rPr>
          <w:rStyle w:val="default"/>
          <w:rFonts w:cs="FrankRuehl" w:hint="cs"/>
          <w:rtl/>
        </w:rPr>
        <w:t xml:space="preserve"> </w:t>
      </w:r>
      <w:r>
        <w:rPr>
          <w:rStyle w:val="default"/>
          <w:rFonts w:cs="FrankRuehl"/>
          <w:rtl/>
        </w:rPr>
        <w:t>לפי תקנת משנה (א) או של האגודה וחברים באגודה שהם צד להסכם לפי תקנת משנה (ב).</w:t>
      </w:r>
    </w:p>
    <w:p w14:paraId="41E5EA5C" w14:textId="77777777" w:rsidR="00673ABB" w:rsidRDefault="00673ABB">
      <w:pPr>
        <w:pStyle w:val="P00"/>
        <w:spacing w:before="72"/>
        <w:ind w:left="0" w:right="1134"/>
        <w:rPr>
          <w:rStyle w:val="default"/>
          <w:rFonts w:cs="FrankRuehl" w:hint="cs"/>
          <w:rtl/>
        </w:rPr>
      </w:pPr>
      <w:bookmarkStart w:id="4" w:name="Seif5"/>
      <w:bookmarkEnd w:id="4"/>
      <w:r>
        <w:rPr>
          <w:lang w:val="he-IL"/>
        </w:rPr>
        <w:pict w14:anchorId="09BD89F9">
          <v:rect id="_x0000_s1128" style="position:absolute;left:0;text-align:left;margin-left:464.5pt;margin-top:8.05pt;width:75.05pt;height:18.2pt;z-index:251656192" o:allowincell="f" filled="f" stroked="f" strokecolor="lime" strokeweight=".25pt">
            <v:textbox inset="0,0,0,0">
              <w:txbxContent>
                <w:p w14:paraId="4885892D" w14:textId="77777777" w:rsidR="00673ABB" w:rsidRDefault="00673ABB">
                  <w:pPr>
                    <w:spacing w:line="160" w:lineRule="exact"/>
                    <w:jc w:val="left"/>
                    <w:rPr>
                      <w:rFonts w:cs="Miriam" w:hint="cs"/>
                      <w:noProof/>
                      <w:szCs w:val="18"/>
                      <w:rtl/>
                    </w:rPr>
                  </w:pPr>
                  <w:r>
                    <w:rPr>
                      <w:rFonts w:cs="Miriam" w:hint="cs"/>
                      <w:szCs w:val="18"/>
                      <w:rtl/>
                    </w:rPr>
                    <w:t>שיקולים לאשר תשלום מיוחד</w:t>
                  </w:r>
                </w:p>
              </w:txbxContent>
            </v:textbox>
            <w10:anchorlock/>
          </v:rect>
        </w:pict>
      </w:r>
      <w:r>
        <w:rPr>
          <w:rStyle w:val="big-number"/>
          <w:rFonts w:hint="cs"/>
          <w:rtl/>
        </w:rPr>
        <w:t>5</w:t>
      </w:r>
      <w:r>
        <w:rPr>
          <w:rStyle w:val="big-number"/>
          <w:rtl/>
        </w:rPr>
        <w:t>.</w:t>
      </w:r>
      <w:r>
        <w:rPr>
          <w:rStyle w:val="big-number"/>
          <w:rtl/>
        </w:rPr>
        <w:tab/>
      </w:r>
      <w:r>
        <w:rPr>
          <w:rStyle w:val="default"/>
          <w:rFonts w:cs="FrankRuehl"/>
          <w:rtl/>
        </w:rPr>
        <w:t>בבחינת בקשה לאשר תשלום מיוחד לפי סעיף 137(ב)(2) לחוק, תשקול הוועדה, בין השאר, את השיקולים שלהלן, ככל שהם נוגעים לנושא הבקשה:</w:t>
      </w:r>
    </w:p>
    <w:p w14:paraId="2C5CAF27" w14:textId="77777777" w:rsidR="00673ABB" w:rsidRDefault="00673ABB">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משך תקופת החיים והפעילות של המבקש בשטח המפונה, והמקום שבו היה מרכז חייו בתקופה שבה הוא טוען לזכויות בשטח המפונה;</w:t>
      </w:r>
    </w:p>
    <w:p w14:paraId="7AB83BF0" w14:textId="77777777" w:rsidR="00673ABB" w:rsidRDefault="00673ABB">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זכויות המבקש בבית המגורים או בעסק שלגביו מבוקש התשלום;</w:t>
      </w:r>
    </w:p>
    <w:p w14:paraId="08E05F0D" w14:textId="77777777" w:rsidR="00673ABB" w:rsidRDefault="00673ABB">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מעמדו של המבקש בשטח המפונה;</w:t>
      </w:r>
    </w:p>
    <w:p w14:paraId="22AB28C0" w14:textId="77777777" w:rsidR="00673ABB" w:rsidRDefault="00673ABB">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מעמד הקרקע במקום שבו מתגורר המבקש;</w:t>
      </w:r>
    </w:p>
    <w:p w14:paraId="1B471BFA" w14:textId="77777777" w:rsidR="00673ABB" w:rsidRDefault="00673ABB">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מקום עבודתו של המבקש;</w:t>
      </w:r>
    </w:p>
    <w:p w14:paraId="12091193" w14:textId="77777777" w:rsidR="00673ABB" w:rsidRDefault="00673ABB">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סכום הפיצוי שהמבקש זכאי לו על פי החוק, ואם אינו זכאי לפיצוי, מכלול נסיבותיו</w:t>
      </w:r>
      <w:r>
        <w:rPr>
          <w:rStyle w:val="default"/>
          <w:rFonts w:cs="FrankRuehl" w:hint="cs"/>
          <w:rtl/>
        </w:rPr>
        <w:t xml:space="preserve"> </w:t>
      </w:r>
      <w:r>
        <w:rPr>
          <w:rStyle w:val="default"/>
          <w:rFonts w:cs="FrankRuehl"/>
          <w:rtl/>
        </w:rPr>
        <w:t>של המבקש והטעמים שבעטיים לא מתקיים אצל המבקש תנאי מתנאי הזכאות לקבלת הפיצויים לפי החוק;</w:t>
      </w:r>
    </w:p>
    <w:p w14:paraId="00F40062" w14:textId="77777777" w:rsidR="00673ABB" w:rsidRDefault="00673ABB">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סכומי הפיצויים המשולמים לזכאים בעלי נתונים דומים לפי שיטות החישוב הקבועות בחוק;</w:t>
      </w:r>
    </w:p>
    <w:p w14:paraId="2BBF6A1F" w14:textId="77777777" w:rsidR="00673ABB" w:rsidRDefault="00673ABB">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נתונים בדבר תמיכה למקום שנתנו המדינה או גופים ציבוריים אחרים, אם נתנו, ומועד נתינתן;</w:t>
      </w:r>
    </w:p>
    <w:p w14:paraId="6956FBC8" w14:textId="77777777" w:rsidR="00673ABB" w:rsidRDefault="00673ABB">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סכום ההשקעות העצמיות של המבקש בבניית הנכס נושא הפיצוי;</w:t>
      </w:r>
    </w:p>
    <w:p w14:paraId="490608CD" w14:textId="77777777" w:rsidR="00673ABB" w:rsidRDefault="00673ABB">
      <w:pPr>
        <w:pStyle w:val="P00"/>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השפעות חריגות ומיוחדות של הפינוי על המבקש ביחס לכלל האוכלוסיה המתפנה, ובשים לב לנסיבותיו האישיות המיוחדות.</w:t>
      </w:r>
    </w:p>
    <w:p w14:paraId="078C7A3E" w14:textId="77777777" w:rsidR="00673ABB" w:rsidRDefault="00673ABB">
      <w:pPr>
        <w:pStyle w:val="P00"/>
        <w:spacing w:before="72"/>
        <w:ind w:left="0" w:right="1134"/>
        <w:rPr>
          <w:rStyle w:val="default"/>
          <w:rFonts w:cs="FrankRuehl" w:hint="cs"/>
          <w:rtl/>
        </w:rPr>
      </w:pPr>
      <w:bookmarkStart w:id="5" w:name="Seif6"/>
      <w:bookmarkEnd w:id="5"/>
      <w:r>
        <w:rPr>
          <w:lang w:val="he-IL"/>
        </w:rPr>
        <w:pict w14:anchorId="4762D705">
          <v:rect id="_x0000_s1129" style="position:absolute;left:0;text-align:left;margin-left:464.5pt;margin-top:8.05pt;width:75.05pt;height:21.25pt;z-index:251657216" o:allowincell="f" filled="f" stroked="f" strokecolor="lime" strokeweight=".25pt">
            <v:textbox inset="0,0,0,0">
              <w:txbxContent>
                <w:p w14:paraId="498F3182" w14:textId="77777777" w:rsidR="00673ABB" w:rsidRDefault="00673ABB">
                  <w:pPr>
                    <w:spacing w:line="160" w:lineRule="exact"/>
                    <w:jc w:val="left"/>
                    <w:rPr>
                      <w:rFonts w:cs="Miriam" w:hint="cs"/>
                      <w:noProof/>
                      <w:szCs w:val="18"/>
                      <w:rtl/>
                    </w:rPr>
                  </w:pPr>
                  <w:r>
                    <w:rPr>
                      <w:rFonts w:cs="Miriam" w:hint="cs"/>
                      <w:szCs w:val="18"/>
                      <w:rtl/>
                    </w:rPr>
                    <w:t>בקשה לאישור תשלום בשל זכויות בקרקע</w:t>
                  </w:r>
                </w:p>
              </w:txbxContent>
            </v:textbox>
            <w10:anchorlock/>
          </v:rect>
        </w:pict>
      </w:r>
      <w:r>
        <w:rPr>
          <w:rStyle w:val="big-number"/>
          <w:rFonts w:hint="cs"/>
          <w:rtl/>
        </w:rPr>
        <w:t>6</w:t>
      </w:r>
      <w:r>
        <w:rPr>
          <w:rStyle w:val="big-number"/>
          <w:rtl/>
        </w:rPr>
        <w:t>.</w:t>
      </w:r>
      <w:r>
        <w:rPr>
          <w:rStyle w:val="big-number"/>
          <w:rtl/>
        </w:rPr>
        <w:tab/>
      </w:r>
      <w:r>
        <w:rPr>
          <w:rStyle w:val="default"/>
          <w:rFonts w:cs="FrankRuehl"/>
          <w:rtl/>
        </w:rPr>
        <w:t>לבקשה לאישור תשלום מיוחד של ישראלי או של תאגיד ישראלי, בשל זכויות רשומות</w:t>
      </w:r>
      <w:r>
        <w:rPr>
          <w:rStyle w:val="default"/>
          <w:rFonts w:cs="FrankRuehl" w:hint="cs"/>
          <w:rtl/>
        </w:rPr>
        <w:t xml:space="preserve"> </w:t>
      </w:r>
      <w:r>
        <w:rPr>
          <w:rStyle w:val="default"/>
          <w:rFonts w:cs="FrankRuehl"/>
          <w:rtl/>
        </w:rPr>
        <w:t>במקרקעין ביישוב מפונה, שבשלהן אין המבקש זכאי לפיצוי אחר לפי החוק, יצורפו מסמכים</w:t>
      </w:r>
      <w:r>
        <w:rPr>
          <w:rStyle w:val="default"/>
          <w:rFonts w:cs="FrankRuehl" w:hint="cs"/>
          <w:rtl/>
        </w:rPr>
        <w:t xml:space="preserve"> </w:t>
      </w:r>
      <w:r>
        <w:rPr>
          <w:rStyle w:val="default"/>
          <w:rFonts w:cs="FrankRuehl"/>
          <w:rtl/>
        </w:rPr>
        <w:t>שיש בהם כדי להוכיח רישום הזכויות במקרקעין על שם המבקש, בפנקסי המקרקעין המתנהלים על פי תחיקת הביטחון באזור עזה או בצפון השומרון, לפי הענין.</w:t>
      </w:r>
    </w:p>
    <w:p w14:paraId="333A40DD" w14:textId="77777777" w:rsidR="00673ABB" w:rsidRDefault="00673ABB">
      <w:pPr>
        <w:pStyle w:val="P00"/>
        <w:spacing w:before="72"/>
        <w:ind w:left="0" w:right="1134"/>
        <w:rPr>
          <w:rStyle w:val="default"/>
          <w:rFonts w:cs="FrankRuehl" w:hint="cs"/>
          <w:rtl/>
        </w:rPr>
      </w:pPr>
      <w:bookmarkStart w:id="6" w:name="Seif7"/>
      <w:bookmarkEnd w:id="6"/>
      <w:r>
        <w:rPr>
          <w:lang w:val="he-IL"/>
        </w:rPr>
        <w:pict w14:anchorId="35DFB22F">
          <v:rect id="_x0000_s1130" style="position:absolute;left:0;text-align:left;margin-left:464.5pt;margin-top:8.05pt;width:75.05pt;height:11.1pt;z-index:251658240" o:allowincell="f" filled="f" stroked="f" strokecolor="lime" strokeweight=".25pt">
            <v:textbox inset="0,0,0,0">
              <w:txbxContent>
                <w:p w14:paraId="67A0160E" w14:textId="77777777" w:rsidR="00673ABB" w:rsidRDefault="00673ABB">
                  <w:pPr>
                    <w:spacing w:line="160" w:lineRule="exact"/>
                    <w:jc w:val="left"/>
                    <w:rPr>
                      <w:rFonts w:cs="Miriam" w:hint="cs"/>
                      <w:noProof/>
                      <w:szCs w:val="18"/>
                      <w:rtl/>
                    </w:rPr>
                  </w:pPr>
                  <w:r>
                    <w:rPr>
                      <w:rFonts w:cs="Miriam" w:hint="cs"/>
                      <w:szCs w:val="18"/>
                      <w:rtl/>
                    </w:rPr>
                    <w:t>מענקים מותנים</w:t>
                  </w:r>
                </w:p>
              </w:txbxContent>
            </v:textbox>
            <w10:anchorlock/>
          </v:rect>
        </w:pict>
      </w:r>
      <w:r>
        <w:rPr>
          <w:rStyle w:val="big-number"/>
          <w:rFonts w:hint="cs"/>
          <w:rtl/>
        </w:rPr>
        <w:t>7</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אדם שהתקיימו בו התנאים לקבלת מענק אישי בשל ותק לפי סעיף 46 לחוק, הלוואה עומדת לפי סעיף 47 לחוק או שיפוי בשל מס רכישה לפי סעיף 48 לחוק (בתקנה זו – המענקים), למעט התנאים הקבועים בסעיף 44(א)(2)(ב) ו</w:t>
      </w:r>
      <w:r>
        <w:rPr>
          <w:rStyle w:val="default"/>
          <w:rFonts w:cs="FrankRuehl" w:hint="cs"/>
          <w:rtl/>
        </w:rPr>
        <w:t>-</w:t>
      </w:r>
      <w:r>
        <w:rPr>
          <w:rStyle w:val="default"/>
          <w:rFonts w:cs="FrankRuehl"/>
          <w:rtl/>
        </w:rPr>
        <w:t>(ג) לחוק (בתקנה זו – תנאֵי הפינוי</w:t>
      </w:r>
      <w:r>
        <w:rPr>
          <w:rStyle w:val="default"/>
          <w:rFonts w:cs="FrankRuehl" w:hint="cs"/>
          <w:rtl/>
        </w:rPr>
        <w:t xml:space="preserve"> </w:t>
      </w:r>
      <w:r>
        <w:rPr>
          <w:rStyle w:val="default"/>
          <w:rFonts w:cs="FrankRuehl"/>
          <w:rtl/>
        </w:rPr>
        <w:t>במועד), שביקש מהוועדה לאשר לו קבלת המענקים חרף אי</w:t>
      </w:r>
      <w:r>
        <w:rPr>
          <w:rStyle w:val="default"/>
          <w:rFonts w:cs="FrankRuehl" w:hint="cs"/>
          <w:rtl/>
        </w:rPr>
        <w:t>-</w:t>
      </w:r>
      <w:r>
        <w:rPr>
          <w:rStyle w:val="default"/>
          <w:rFonts w:cs="FrankRuehl"/>
          <w:rtl/>
        </w:rPr>
        <w:t>קיום תנאי הפינוי במועד,</w:t>
      </w:r>
      <w:r>
        <w:rPr>
          <w:rStyle w:val="default"/>
          <w:rFonts w:cs="FrankRuehl" w:hint="cs"/>
          <w:rtl/>
        </w:rPr>
        <w:t xml:space="preserve"> </w:t>
      </w:r>
      <w:r>
        <w:rPr>
          <w:rStyle w:val="default"/>
          <w:rFonts w:cs="FrankRuehl"/>
          <w:rtl/>
        </w:rPr>
        <w:t>תאשר הוועדה את בקשתו, אם לא מצאה כי אותו אדם השתמש בכוח כדי למנוע את פינויו מהשטח המפונה.</w:t>
      </w:r>
    </w:p>
    <w:p w14:paraId="5CD73BCB" w14:textId="77777777" w:rsidR="00673ABB" w:rsidRDefault="00673ABB">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hint="cs"/>
          <w:rtl/>
        </w:rPr>
        <w:tab/>
      </w:r>
      <w:r>
        <w:rPr>
          <w:rStyle w:val="default"/>
          <w:rFonts w:cs="FrankRuehl"/>
          <w:rtl/>
        </w:rPr>
        <w:t>שיעור המענקים שתאשר הוועדה לפי תקנת משנה (א) יכול שיהיה נמוך מהשיעור שהיה המבקש זכאי לו אילו התקיימו בו תנאֵי הפינוי במועד, אם מצאה הוועדה טעם לדבר, בהתחשב בנסיבות פינויו של המבקש מהשטח המפונה.</w:t>
      </w:r>
    </w:p>
    <w:p w14:paraId="481DCEF6" w14:textId="77777777" w:rsidR="00673ABB" w:rsidRDefault="00673AB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אין בתקנה זו כדי לגרוע מסמכות הוועדה לפי סעיף 137 לחוק לאשר תשלום מיוחד, בשל נסיבותיו המיוחדות של המבקש.</w:t>
      </w:r>
    </w:p>
    <w:p w14:paraId="3A9982A4" w14:textId="77777777" w:rsidR="00673ABB" w:rsidRDefault="00673ABB">
      <w:pPr>
        <w:pStyle w:val="P00"/>
        <w:spacing w:before="72"/>
        <w:ind w:left="0" w:right="1134"/>
        <w:rPr>
          <w:rStyle w:val="default"/>
          <w:rFonts w:cs="FrankRuehl" w:hint="cs"/>
          <w:rtl/>
        </w:rPr>
      </w:pPr>
      <w:bookmarkStart w:id="7" w:name="Seif8"/>
      <w:bookmarkEnd w:id="7"/>
      <w:r>
        <w:rPr>
          <w:lang w:val="he-IL"/>
        </w:rPr>
        <w:pict w14:anchorId="61C386F8">
          <v:rect id="_x0000_s1131" style="position:absolute;left:0;text-align:left;margin-left:464.5pt;margin-top:8.05pt;width:75.05pt;height:25.45pt;z-index:251659264" o:allowincell="f" filled="f" stroked="f" strokecolor="lime" strokeweight=".25pt">
            <v:textbox inset="0,0,0,0">
              <w:txbxContent>
                <w:p w14:paraId="699BC344" w14:textId="77777777" w:rsidR="00673ABB" w:rsidRDefault="00673ABB">
                  <w:pPr>
                    <w:spacing w:line="160" w:lineRule="exact"/>
                    <w:jc w:val="left"/>
                    <w:rPr>
                      <w:rFonts w:cs="Miriam" w:hint="cs"/>
                      <w:noProof/>
                      <w:szCs w:val="18"/>
                      <w:rtl/>
                    </w:rPr>
                  </w:pPr>
                  <w:r>
                    <w:rPr>
                      <w:rFonts w:cs="Miriam" w:hint="cs"/>
                      <w:szCs w:val="18"/>
                      <w:rtl/>
                    </w:rPr>
                    <w:t>התייחסות לתשלומים לזכאים על פי החוק ולמקרים דומים</w:t>
                  </w:r>
                </w:p>
              </w:txbxContent>
            </v:textbox>
            <w10:anchorlock/>
          </v:rect>
        </w:pict>
      </w:r>
      <w:r>
        <w:rPr>
          <w:rStyle w:val="big-number"/>
          <w:rFonts w:hint="cs"/>
          <w:rtl/>
        </w:rPr>
        <w:t>8</w:t>
      </w:r>
      <w:r>
        <w:rPr>
          <w:rStyle w:val="big-number"/>
          <w:rtl/>
        </w:rPr>
        <w:t>.</w:t>
      </w:r>
      <w:r>
        <w:rPr>
          <w:rStyle w:val="big-number"/>
          <w:rtl/>
        </w:rPr>
        <w:tab/>
      </w:r>
      <w:r>
        <w:rPr>
          <w:rStyle w:val="default"/>
          <w:rFonts w:cs="FrankRuehl"/>
          <w:rtl/>
        </w:rPr>
        <w:t>במתן החלטותיה לרבות לענין מתן תשלום מיוחד, תביא הוועדה בחשבון את הסכומים</w:t>
      </w:r>
      <w:r>
        <w:rPr>
          <w:rStyle w:val="default"/>
          <w:rFonts w:cs="FrankRuehl" w:hint="cs"/>
          <w:rtl/>
        </w:rPr>
        <w:t xml:space="preserve"> </w:t>
      </w:r>
      <w:r>
        <w:rPr>
          <w:rStyle w:val="default"/>
          <w:rFonts w:cs="FrankRuehl"/>
          <w:rtl/>
        </w:rPr>
        <w:t>המשולמים לפי החוק, למי שהתקיימו בו תנאי הזכאות הקבועים בחוק, וכן אישורים לתשלום מיוחד שנתנה בנסיבות דומות.</w:t>
      </w:r>
    </w:p>
    <w:p w14:paraId="2E35AE29" w14:textId="77777777" w:rsidR="00673ABB" w:rsidRDefault="00673ABB">
      <w:pPr>
        <w:pStyle w:val="P00"/>
        <w:spacing w:before="72"/>
        <w:ind w:left="0" w:right="1134"/>
        <w:rPr>
          <w:rStyle w:val="default"/>
          <w:rFonts w:cs="FrankRuehl" w:hint="cs"/>
          <w:rtl/>
        </w:rPr>
      </w:pPr>
      <w:bookmarkStart w:id="8" w:name="Seif9"/>
      <w:bookmarkEnd w:id="8"/>
      <w:r>
        <w:rPr>
          <w:lang w:val="he-IL"/>
        </w:rPr>
        <w:pict w14:anchorId="251DC664">
          <v:rect id="_x0000_s1132" style="position:absolute;left:0;text-align:left;margin-left:464.5pt;margin-top:8.05pt;width:75.05pt;height:21.25pt;z-index:251660288" o:allowincell="f" filled="f" stroked="f" strokecolor="lime" strokeweight=".25pt">
            <v:textbox inset="0,0,0,0">
              <w:txbxContent>
                <w:p w14:paraId="1B0FBD36" w14:textId="77777777" w:rsidR="00673ABB" w:rsidRDefault="00673ABB">
                  <w:pPr>
                    <w:spacing w:line="160" w:lineRule="exact"/>
                    <w:jc w:val="left"/>
                    <w:rPr>
                      <w:rFonts w:cs="Miriam" w:hint="cs"/>
                      <w:noProof/>
                      <w:szCs w:val="18"/>
                      <w:rtl/>
                    </w:rPr>
                  </w:pPr>
                  <w:r>
                    <w:rPr>
                      <w:rFonts w:cs="Miriam" w:hint="cs"/>
                      <w:szCs w:val="18"/>
                      <w:rtl/>
                    </w:rPr>
                    <w:t>ועדת זכאות ועדה מיוחדת</w:t>
                  </w:r>
                </w:p>
              </w:txbxContent>
            </v:textbox>
            <w10:anchorlock/>
          </v:rect>
        </w:pict>
      </w:r>
      <w:r>
        <w:rPr>
          <w:rStyle w:val="big-number"/>
          <w:rFonts w:hint="cs"/>
          <w:rtl/>
        </w:rPr>
        <w:t>9</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מגיש בקשה לדיון בוועדה יציין אם הגיש בקשה לוועדת הזכאות או לוועדה, בין</w:t>
      </w:r>
      <w:r>
        <w:rPr>
          <w:rStyle w:val="default"/>
          <w:rFonts w:cs="FrankRuehl" w:hint="cs"/>
          <w:rtl/>
        </w:rPr>
        <w:t xml:space="preserve"> </w:t>
      </w:r>
      <w:r>
        <w:rPr>
          <w:rStyle w:val="default"/>
          <w:rFonts w:cs="FrankRuehl"/>
          <w:rtl/>
        </w:rPr>
        <w:t>בשל אותה עילה ובין בשל עילה אחרת, ויצרף כל החלטה של המינהלה או ועדת הזכאות שהתקבלה בענינו.</w:t>
      </w:r>
    </w:p>
    <w:p w14:paraId="5C6739E7" w14:textId="77777777" w:rsidR="00673ABB" w:rsidRDefault="00673AB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מצאה הוועדה כי ביחס לבקשה שהוגשה לה, ניתן להגיש תביעה לוועדת הזכאות והמבקש לא עשה כן, רשאית היא למחוק את הבקשה ולהורות על הגשת תביעה ביחס לנושא הבקשה לוועדת הזכאות.</w:t>
      </w:r>
    </w:p>
    <w:p w14:paraId="7F25390B" w14:textId="77777777" w:rsidR="00673ABB" w:rsidRDefault="00673ABB">
      <w:pPr>
        <w:pStyle w:val="P00"/>
        <w:spacing w:before="72"/>
        <w:ind w:left="0" w:right="1134"/>
        <w:rPr>
          <w:rStyle w:val="default"/>
          <w:rFonts w:cs="FrankRuehl" w:hint="cs"/>
          <w:rtl/>
        </w:rPr>
      </w:pPr>
      <w:bookmarkStart w:id="9" w:name="Seif10"/>
      <w:bookmarkEnd w:id="9"/>
      <w:r>
        <w:rPr>
          <w:lang w:val="he-IL"/>
        </w:rPr>
        <w:pict w14:anchorId="0250AC32">
          <v:rect id="_x0000_s1133" style="position:absolute;left:0;text-align:left;margin-left:464.5pt;margin-top:8.05pt;width:75.05pt;height:12.5pt;z-index:251661312" o:allowincell="f" filled="f" stroked="f" strokecolor="lime" strokeweight=".25pt">
            <v:textbox inset="0,0,0,0">
              <w:txbxContent>
                <w:p w14:paraId="7F54E216" w14:textId="77777777" w:rsidR="00673ABB" w:rsidRDefault="00673ABB">
                  <w:pPr>
                    <w:spacing w:line="160" w:lineRule="exact"/>
                    <w:jc w:val="left"/>
                    <w:rPr>
                      <w:rFonts w:cs="Miriam" w:hint="cs"/>
                      <w:noProof/>
                      <w:szCs w:val="18"/>
                      <w:rtl/>
                    </w:rPr>
                  </w:pPr>
                  <w:r>
                    <w:rPr>
                      <w:rFonts w:cs="Miriam" w:hint="cs"/>
                      <w:szCs w:val="18"/>
                      <w:rtl/>
                    </w:rPr>
                    <w:t>צירוף מסמכים</w:t>
                  </w:r>
                </w:p>
              </w:txbxContent>
            </v:textbox>
            <w10:anchorlock/>
          </v:rect>
        </w:pict>
      </w:r>
      <w:r>
        <w:rPr>
          <w:rStyle w:val="big-number"/>
          <w:rFonts w:hint="cs"/>
          <w:rtl/>
        </w:rPr>
        <w:t>10</w:t>
      </w:r>
      <w:r>
        <w:rPr>
          <w:rStyle w:val="big-number"/>
          <w:rtl/>
        </w:rPr>
        <w:t>.</w:t>
      </w:r>
      <w:r>
        <w:rPr>
          <w:rStyle w:val="big-number"/>
          <w:rtl/>
        </w:rPr>
        <w:tab/>
      </w:r>
      <w:r>
        <w:rPr>
          <w:rStyle w:val="default"/>
          <w:rFonts w:cs="FrankRuehl"/>
          <w:rtl/>
        </w:rPr>
        <w:t>(א)</w:t>
      </w:r>
      <w:r>
        <w:rPr>
          <w:rStyle w:val="default"/>
          <w:rFonts w:cs="FrankRuehl" w:hint="cs"/>
          <w:rtl/>
        </w:rPr>
        <w:tab/>
      </w:r>
      <w:r>
        <w:rPr>
          <w:rStyle w:val="default"/>
          <w:rFonts w:cs="FrankRuehl"/>
          <w:rtl/>
        </w:rPr>
        <w:t>בקשה לוועדה תוגש באמצעות המנהלה ותיתמך בתצהיר, לאימות העובדות</w:t>
      </w:r>
      <w:r>
        <w:rPr>
          <w:rStyle w:val="default"/>
          <w:rFonts w:cs="FrankRuehl" w:hint="cs"/>
          <w:rtl/>
        </w:rPr>
        <w:t xml:space="preserve"> </w:t>
      </w:r>
      <w:r>
        <w:rPr>
          <w:rStyle w:val="default"/>
          <w:rFonts w:cs="FrankRuehl"/>
          <w:rtl/>
        </w:rPr>
        <w:t>והמסמכים הכלולים בה; על עובדות שהן בתחום ידיעתו האישית של המצהיר, יצהיר שהן נכונות, ועל עובדות אחרות יצהיר שהן נכונות לפי מיטב ידיעתו ואמונתו.</w:t>
      </w:r>
    </w:p>
    <w:p w14:paraId="520A4AF0" w14:textId="77777777" w:rsidR="00673ABB" w:rsidRDefault="00673AB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מסמכים המוגשים לוועדה העוסקים בנתונים כספיים לגבי יתרות בנק, דוחות כספיים, דיווחים למס הכנסה ולמע"מ ייתמכו בחוות דעת רואה חשבון בדבר נאותות הצגת הנתונים.</w:t>
      </w:r>
    </w:p>
    <w:p w14:paraId="6FE9C169" w14:textId="77777777" w:rsidR="00673ABB" w:rsidRDefault="00673ABB">
      <w:pPr>
        <w:pStyle w:val="P00"/>
        <w:spacing w:before="72"/>
        <w:ind w:left="0" w:right="1134"/>
        <w:rPr>
          <w:rStyle w:val="default"/>
          <w:rFonts w:cs="FrankRuehl" w:hint="cs"/>
          <w:rtl/>
        </w:rPr>
      </w:pPr>
      <w:bookmarkStart w:id="10" w:name="Seif11"/>
      <w:bookmarkEnd w:id="10"/>
      <w:r>
        <w:rPr>
          <w:lang w:val="he-IL"/>
        </w:rPr>
        <w:pict w14:anchorId="6BEAA0AD">
          <v:rect id="_x0000_s1134" style="position:absolute;left:0;text-align:left;margin-left:464.5pt;margin-top:8.05pt;width:75.05pt;height:21.25pt;z-index:251662336" o:allowincell="f" filled="f" stroked="f" strokecolor="lime" strokeweight=".25pt">
            <v:textbox inset="0,0,0,0">
              <w:txbxContent>
                <w:p w14:paraId="0AF7E7D1" w14:textId="77777777" w:rsidR="00673ABB" w:rsidRDefault="00673ABB">
                  <w:pPr>
                    <w:spacing w:line="160" w:lineRule="exact"/>
                    <w:jc w:val="left"/>
                    <w:rPr>
                      <w:rFonts w:cs="Miriam" w:hint="cs"/>
                      <w:noProof/>
                      <w:szCs w:val="18"/>
                      <w:rtl/>
                    </w:rPr>
                  </w:pPr>
                  <w:r>
                    <w:rPr>
                      <w:rFonts w:cs="Miriam" w:hint="cs"/>
                      <w:szCs w:val="18"/>
                      <w:rtl/>
                    </w:rPr>
                    <w:t>בקשת פטור מחובת הצגת מסמכים</w:t>
                  </w:r>
                </w:p>
              </w:txbxContent>
            </v:textbox>
            <w10:anchorlock/>
          </v:rect>
        </w:pict>
      </w:r>
      <w:r>
        <w:rPr>
          <w:rStyle w:val="big-number"/>
          <w:rFonts w:hint="cs"/>
          <w:rtl/>
        </w:rPr>
        <w:t>11</w:t>
      </w:r>
      <w:r>
        <w:rPr>
          <w:rStyle w:val="big-number"/>
          <w:rtl/>
        </w:rPr>
        <w:t>.</w:t>
      </w:r>
      <w:r>
        <w:rPr>
          <w:rStyle w:val="big-number"/>
          <w:rtl/>
        </w:rPr>
        <w:tab/>
      </w:r>
      <w:r>
        <w:rPr>
          <w:rStyle w:val="default"/>
          <w:rFonts w:cs="FrankRuehl"/>
          <w:rtl/>
        </w:rPr>
        <w:t>מי שנבצר ממנו להגיש מסמך הנדרש לפי תקנות אלה, יציין לפני הוועדה את הטעמים</w:t>
      </w:r>
      <w:r>
        <w:rPr>
          <w:rStyle w:val="default"/>
          <w:rFonts w:cs="FrankRuehl" w:hint="cs"/>
          <w:rtl/>
        </w:rPr>
        <w:t xml:space="preserve"> </w:t>
      </w:r>
      <w:r>
        <w:rPr>
          <w:rStyle w:val="default"/>
          <w:rFonts w:cs="FrankRuehl"/>
          <w:rtl/>
        </w:rPr>
        <w:t>לכך, ורשאית הוועדה לפטרו מחובת הגשת המסמך האמור, אם שוכנעה כי אין בידו לעשות כן.</w:t>
      </w:r>
    </w:p>
    <w:p w14:paraId="75ADCC62" w14:textId="77777777" w:rsidR="00673ABB" w:rsidRDefault="00673ABB">
      <w:pPr>
        <w:pStyle w:val="P00"/>
        <w:spacing w:before="72"/>
        <w:ind w:left="0" w:right="1134"/>
        <w:rPr>
          <w:rStyle w:val="default"/>
          <w:rFonts w:cs="FrankRuehl" w:hint="cs"/>
          <w:rtl/>
        </w:rPr>
      </w:pPr>
      <w:bookmarkStart w:id="11" w:name="Seif12"/>
      <w:bookmarkEnd w:id="11"/>
      <w:r>
        <w:rPr>
          <w:lang w:val="he-IL"/>
        </w:rPr>
        <w:pict w14:anchorId="2322F4A1">
          <v:rect id="_x0000_s1135" style="position:absolute;left:0;text-align:left;margin-left:464.5pt;margin-top:8.05pt;width:75.05pt;height:10.45pt;z-index:251663360" o:allowincell="f" filled="f" stroked="f" strokecolor="lime" strokeweight=".25pt">
            <v:textbox inset="0,0,0,0">
              <w:txbxContent>
                <w:p w14:paraId="534DFB9A" w14:textId="77777777" w:rsidR="00673ABB" w:rsidRDefault="00673ABB">
                  <w:pPr>
                    <w:spacing w:line="160" w:lineRule="exact"/>
                    <w:jc w:val="left"/>
                    <w:rPr>
                      <w:rFonts w:cs="Miriam" w:hint="cs"/>
                      <w:noProof/>
                      <w:szCs w:val="18"/>
                      <w:rtl/>
                    </w:rPr>
                  </w:pPr>
                  <w:r>
                    <w:rPr>
                      <w:rFonts w:cs="Miriam" w:hint="cs"/>
                      <w:szCs w:val="18"/>
                      <w:rtl/>
                    </w:rPr>
                    <w:t>השלמת פרטים</w:t>
                  </w:r>
                </w:p>
              </w:txbxContent>
            </v:textbox>
            <w10:anchorlock/>
          </v:rect>
        </w:pict>
      </w:r>
      <w:r>
        <w:rPr>
          <w:rStyle w:val="big-number"/>
          <w:rFonts w:hint="cs"/>
          <w:rtl/>
        </w:rPr>
        <w:t>12</w:t>
      </w:r>
      <w:r>
        <w:rPr>
          <w:rStyle w:val="big-number"/>
          <w:rtl/>
        </w:rPr>
        <w:t>.</w:t>
      </w:r>
      <w:r>
        <w:rPr>
          <w:rStyle w:val="big-number"/>
          <w:rtl/>
        </w:rPr>
        <w:tab/>
      </w:r>
      <w:r>
        <w:rPr>
          <w:rStyle w:val="default"/>
          <w:rFonts w:cs="FrankRuehl"/>
          <w:rtl/>
        </w:rPr>
        <w:t>ראתה הוועדה שפרטי הבקשה או המסמכים המצורפים לה אינם מספיקים כדי לבררה,</w:t>
      </w:r>
      <w:r>
        <w:rPr>
          <w:rStyle w:val="default"/>
          <w:rFonts w:cs="FrankRuehl" w:hint="cs"/>
          <w:rtl/>
        </w:rPr>
        <w:t xml:space="preserve"> </w:t>
      </w:r>
      <w:r>
        <w:rPr>
          <w:rStyle w:val="default"/>
          <w:rFonts w:cs="FrankRuehl"/>
          <w:rtl/>
        </w:rPr>
        <w:t>או כדי לקבוע את שיעור התשלום לענינה, תדרוש מהמבקש השלמת הפרטים החסרים; לא השלים התובע את הפרטים בתוך 30 ימים מיום שנדרש לכך, תידחה הבקשה, ואולם המבקש יהיה רשאי להגיש בקשה חדשה.</w:t>
      </w:r>
    </w:p>
    <w:p w14:paraId="2786B387" w14:textId="77777777" w:rsidR="00673ABB" w:rsidRDefault="00673ABB">
      <w:pPr>
        <w:pStyle w:val="P00"/>
        <w:spacing w:before="72"/>
        <w:ind w:left="0" w:right="1134"/>
        <w:rPr>
          <w:rFonts w:hint="cs"/>
          <w:rtl/>
        </w:rPr>
      </w:pPr>
    </w:p>
    <w:p w14:paraId="75A2197B" w14:textId="77777777" w:rsidR="00673ABB" w:rsidRDefault="00673ABB">
      <w:pPr>
        <w:pStyle w:val="P00"/>
        <w:spacing w:before="72"/>
        <w:ind w:left="0" w:right="1134"/>
        <w:rPr>
          <w:rFonts w:hint="cs"/>
          <w:rtl/>
        </w:rPr>
      </w:pPr>
    </w:p>
    <w:p w14:paraId="66B882E9" w14:textId="77777777" w:rsidR="00673ABB" w:rsidRDefault="00673ABB">
      <w:pPr>
        <w:pStyle w:val="P00"/>
        <w:spacing w:before="72"/>
        <w:ind w:left="0" w:right="1134"/>
        <w:rPr>
          <w:rFonts w:hint="cs"/>
          <w:rtl/>
        </w:rPr>
      </w:pPr>
      <w:r>
        <w:rPr>
          <w:rFonts w:hint="cs"/>
          <w:rtl/>
        </w:rPr>
        <w:t>כ"ג באלול התשס"ה (27 בספטמבר 2005)</w:t>
      </w:r>
    </w:p>
    <w:p w14:paraId="4F830EF8" w14:textId="77777777" w:rsidR="00673ABB" w:rsidRDefault="00673ABB">
      <w:pPr>
        <w:pStyle w:val="sig-0"/>
        <w:tabs>
          <w:tab w:val="clear" w:pos="4820"/>
          <w:tab w:val="center" w:pos="5670"/>
        </w:tabs>
        <w:ind w:left="0" w:right="1134"/>
        <w:rPr>
          <w:rtl/>
        </w:rPr>
      </w:pPr>
      <w:r>
        <w:rPr>
          <w:rFonts w:hint="cs"/>
          <w:rtl/>
        </w:rPr>
        <w:tab/>
        <w:t>אריאל שרון</w:t>
      </w:r>
    </w:p>
    <w:p w14:paraId="71E21044" w14:textId="77777777" w:rsidR="00673ABB" w:rsidRDefault="00673ABB">
      <w:pPr>
        <w:pStyle w:val="sig-1"/>
        <w:widowControl/>
        <w:tabs>
          <w:tab w:val="clear" w:pos="851"/>
          <w:tab w:val="clear" w:pos="2835"/>
          <w:tab w:val="clear" w:pos="4820"/>
          <w:tab w:val="center" w:pos="5670"/>
        </w:tabs>
        <w:ind w:left="0" w:right="1134"/>
        <w:rPr>
          <w:rFonts w:hint="cs"/>
          <w:rtl/>
        </w:rPr>
      </w:pPr>
      <w:r>
        <w:rPr>
          <w:rFonts w:hint="cs"/>
          <w:rtl/>
        </w:rPr>
        <w:tab/>
        <w:t>ראש הממשלה</w:t>
      </w:r>
    </w:p>
    <w:p w14:paraId="0896E82F" w14:textId="77777777" w:rsidR="00B45F21" w:rsidRDefault="00B45F21">
      <w:pPr>
        <w:pStyle w:val="P00"/>
        <w:spacing w:before="72"/>
        <w:ind w:left="0" w:right="1134"/>
        <w:rPr>
          <w:rStyle w:val="default"/>
          <w:rFonts w:cs="FrankRuehl"/>
          <w:rtl/>
        </w:rPr>
      </w:pPr>
    </w:p>
    <w:p w14:paraId="205600B5" w14:textId="77777777" w:rsidR="00B45F21" w:rsidRDefault="00B45F21">
      <w:pPr>
        <w:pStyle w:val="P00"/>
        <w:spacing w:before="72"/>
        <w:ind w:left="0" w:right="1134"/>
        <w:rPr>
          <w:rStyle w:val="default"/>
          <w:rFonts w:cs="FrankRuehl"/>
          <w:rtl/>
        </w:rPr>
      </w:pPr>
    </w:p>
    <w:p w14:paraId="1E65EAFC" w14:textId="77777777" w:rsidR="00B45F21" w:rsidRDefault="00B45F21" w:rsidP="00B45F21">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46F4871C" w14:textId="77777777" w:rsidR="00673ABB" w:rsidRPr="00B45F21" w:rsidRDefault="00673ABB" w:rsidP="00B45F21">
      <w:pPr>
        <w:pStyle w:val="P00"/>
        <w:spacing w:before="72"/>
        <w:ind w:left="0" w:right="1134"/>
        <w:jc w:val="center"/>
        <w:rPr>
          <w:rStyle w:val="default"/>
          <w:rFonts w:cs="David"/>
          <w:color w:val="0000FF"/>
          <w:szCs w:val="24"/>
          <w:u w:val="single"/>
          <w:rtl/>
        </w:rPr>
      </w:pPr>
    </w:p>
    <w:sectPr w:rsidR="00673ABB" w:rsidRPr="00B45F21">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3A8D3" w14:textId="77777777" w:rsidR="00AF7371" w:rsidRDefault="00AF7371">
      <w:r>
        <w:separator/>
      </w:r>
    </w:p>
  </w:endnote>
  <w:endnote w:type="continuationSeparator" w:id="0">
    <w:p w14:paraId="2C437CF6" w14:textId="77777777" w:rsidR="00AF7371" w:rsidRDefault="00AF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2D7C3" w14:textId="77777777" w:rsidR="00673ABB" w:rsidRDefault="00673AB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6F2C5191" w14:textId="77777777" w:rsidR="00673ABB" w:rsidRDefault="00673AB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2422017" w14:textId="77777777" w:rsidR="00673ABB" w:rsidRDefault="00673AB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45F21">
      <w:rPr>
        <w:rFonts w:cs="TopType Jerushalmi"/>
        <w:noProof/>
        <w:color w:val="000000"/>
        <w:sz w:val="14"/>
        <w:szCs w:val="14"/>
      </w:rPr>
      <w:t>Z:\00000000000000000000000=2014------------------------\LawsForTableRun\05\999_499.doc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DD4C6" w14:textId="77777777" w:rsidR="00673ABB" w:rsidRDefault="00673AB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B45F21">
      <w:rPr>
        <w:rFonts w:hAnsi="FrankRuehl"/>
        <w:noProof/>
        <w:sz w:val="24"/>
        <w:szCs w:val="24"/>
        <w:rtl/>
      </w:rPr>
      <w:t>4</w:t>
    </w:r>
    <w:r>
      <w:rPr>
        <w:rFonts w:hAnsi="FrankRuehl"/>
        <w:sz w:val="24"/>
        <w:szCs w:val="24"/>
        <w:rtl/>
      </w:rPr>
      <w:fldChar w:fldCharType="end"/>
    </w:r>
  </w:p>
  <w:p w14:paraId="62589FCC" w14:textId="77777777" w:rsidR="00673ABB" w:rsidRDefault="00673AB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CF73637" w14:textId="77777777" w:rsidR="00673ABB" w:rsidRDefault="00673AB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45F21">
      <w:rPr>
        <w:rFonts w:cs="TopType Jerushalmi"/>
        <w:noProof/>
        <w:color w:val="000000"/>
        <w:sz w:val="14"/>
        <w:szCs w:val="14"/>
      </w:rPr>
      <w:t>Z:\00000000000000000000000=2014------------------------\LawsForTableRun\05\999_499.doc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F7E90" w14:textId="77777777" w:rsidR="00AF7371" w:rsidRDefault="00AF7371">
      <w:r>
        <w:separator/>
      </w:r>
    </w:p>
  </w:footnote>
  <w:footnote w:type="continuationSeparator" w:id="0">
    <w:p w14:paraId="51087F2F" w14:textId="77777777" w:rsidR="00AF7371" w:rsidRDefault="00AF7371">
      <w:r>
        <w:continuationSeparator/>
      </w:r>
    </w:p>
  </w:footnote>
  <w:footnote w:id="1">
    <w:p w14:paraId="39E541E3" w14:textId="77777777" w:rsidR="00673ABB" w:rsidRDefault="00673A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Pr>
            <w:rStyle w:val="Hyperlink"/>
            <w:rFonts w:hint="cs"/>
            <w:sz w:val="20"/>
            <w:rtl/>
          </w:rPr>
          <w:t>ק"ת תשס"ו מס' 6428</w:t>
        </w:r>
      </w:hyperlink>
      <w:r>
        <w:rPr>
          <w:rFonts w:hint="cs"/>
          <w:sz w:val="20"/>
          <w:rtl/>
        </w:rPr>
        <w:t xml:space="preserve"> מיום 10.10.2005 עמ' 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B9CF8" w14:textId="77777777" w:rsidR="00673ABB" w:rsidRDefault="00673ABB">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2B51DA1E" w14:textId="77777777" w:rsidR="00673ABB" w:rsidRDefault="00673AB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E298CD5" w14:textId="77777777" w:rsidR="00673ABB" w:rsidRDefault="00673AB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995B" w14:textId="77777777" w:rsidR="00673ABB" w:rsidRDefault="00673ABB">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יישום תכנית ההתנתקות (כללים לאישור בקשה ולקביעת תשלום מיוחד)</w:t>
    </w:r>
    <w:r>
      <w:rPr>
        <w:rFonts w:hAnsi="FrankRuehl"/>
        <w:color w:val="000000"/>
        <w:sz w:val="28"/>
        <w:szCs w:val="28"/>
        <w:rtl/>
      </w:rPr>
      <w:t xml:space="preserve">, </w:t>
    </w:r>
    <w:r>
      <w:rPr>
        <w:rFonts w:hAnsi="FrankRuehl" w:hint="cs"/>
        <w:color w:val="000000"/>
        <w:sz w:val="28"/>
        <w:szCs w:val="28"/>
        <w:rtl/>
      </w:rPr>
      <w:br/>
    </w:r>
    <w:r>
      <w:rPr>
        <w:rFonts w:hAnsi="FrankRuehl"/>
        <w:color w:val="000000"/>
        <w:sz w:val="28"/>
        <w:szCs w:val="28"/>
        <w:rtl/>
      </w:rPr>
      <w:t>תשס"</w:t>
    </w:r>
    <w:r>
      <w:rPr>
        <w:rFonts w:hAnsi="FrankRuehl" w:hint="cs"/>
        <w:color w:val="000000"/>
        <w:sz w:val="28"/>
        <w:szCs w:val="28"/>
        <w:rtl/>
      </w:rPr>
      <w:t>ו</w:t>
    </w:r>
    <w:r>
      <w:rPr>
        <w:rFonts w:hAnsi="FrankRuehl"/>
        <w:color w:val="000000"/>
        <w:sz w:val="28"/>
        <w:szCs w:val="28"/>
        <w:rtl/>
      </w:rPr>
      <w:t>-200</w:t>
    </w:r>
    <w:r>
      <w:rPr>
        <w:rFonts w:hAnsi="FrankRuehl" w:hint="cs"/>
        <w:color w:val="000000"/>
        <w:sz w:val="28"/>
        <w:szCs w:val="28"/>
        <w:rtl/>
      </w:rPr>
      <w:t>5</w:t>
    </w:r>
  </w:p>
  <w:p w14:paraId="53861EB6" w14:textId="77777777" w:rsidR="00673ABB" w:rsidRDefault="00673AB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B55001C" w14:textId="77777777" w:rsidR="00673ABB" w:rsidRDefault="00673ABB">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3ABB"/>
    <w:rsid w:val="003B609D"/>
    <w:rsid w:val="00597724"/>
    <w:rsid w:val="00673ABB"/>
    <w:rsid w:val="00AF7371"/>
    <w:rsid w:val="00B40A00"/>
    <w:rsid w:val="00B45F21"/>
    <w:rsid w:val="00C8692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57ED2A0"/>
  <w15:chartTrackingRefBased/>
  <w15:docId w15:val="{9E0742A7-434A-498D-9D1F-EB555F78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4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7501</CharactersWithSpaces>
  <SharedDoc>false</SharedDoc>
  <HLinks>
    <vt:vector size="84" baseType="variant">
      <vt:variant>
        <vt:i4>393283</vt:i4>
      </vt:variant>
      <vt:variant>
        <vt:i4>72</vt:i4>
      </vt:variant>
      <vt:variant>
        <vt:i4>0</vt:i4>
      </vt:variant>
      <vt:variant>
        <vt:i4>5</vt:i4>
      </vt:variant>
      <vt:variant>
        <vt:lpwstr>http://www.nevo.co.il/advertisements/nevo-100.doc</vt:lpwstr>
      </vt:variant>
      <vt:variant>
        <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8192004</vt:i4>
      </vt:variant>
      <vt:variant>
        <vt:i4>0</vt:i4>
      </vt:variant>
      <vt:variant>
        <vt:i4>0</vt:i4>
      </vt:variant>
      <vt:variant>
        <vt:i4>5</vt:i4>
      </vt:variant>
      <vt:variant>
        <vt:lpwstr>http://www.nevo.co.il/Law_word/law06/TAK-6428.pdf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ביטחון</vt:lpwstr>
  </property>
  <property fmtid="{D5CDD505-2E9C-101B-9397-08002B2CF9AE}" pid="4" name="LAWNAME">
    <vt:lpwstr>תקנות יישום תכנית ההתנתקות (כללים לאישור בקשה ולקביעת תשלום מיוחד), תשס"ו-2005</vt:lpwstr>
  </property>
  <property fmtid="{D5CDD505-2E9C-101B-9397-08002B2CF9AE}" pid="5" name="LAWNUMBER">
    <vt:lpwstr>0499</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http://www.nevo.co.il/Law_word/law06/TAK-6428.pdf;רשומות – תקנות כלליות#פורסמו ק"ת תשס"ו מס' 6428#מיום 10.10.2005#עמ' 6</vt:lpwstr>
  </property>
  <property fmtid="{D5CDD505-2E9C-101B-9397-08002B2CF9AE}" pid="22" name="MEKOR_NAME1">
    <vt:lpwstr>חוק יישום תכנית ההתנתקות</vt:lpwstr>
  </property>
  <property fmtid="{D5CDD505-2E9C-101B-9397-08002B2CF9AE}" pid="23" name="MEKOR_SAIF1">
    <vt:lpwstr>137XוX</vt:lpwstr>
  </property>
  <property fmtid="{D5CDD505-2E9C-101B-9397-08002B2CF9AE}" pid="24" name="NOSE11">
    <vt:lpwstr>בטחון</vt:lpwstr>
  </property>
  <property fmtid="{D5CDD505-2E9C-101B-9397-08002B2CF9AE}" pid="25" name="NOSE21">
    <vt:lpwstr>תכנית ההתנתקות</vt:lpwstr>
  </property>
  <property fmtid="{D5CDD505-2E9C-101B-9397-08002B2CF9AE}" pid="26" name="NOSE31">
    <vt:lpwstr>פיצוי, תשלום ומענק</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