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9A3C" w14:textId="77777777" w:rsidR="008232FE" w:rsidRDefault="008232FE">
      <w:pPr>
        <w:pStyle w:val="big-header"/>
        <w:ind w:left="0" w:right="1134"/>
      </w:pPr>
      <w:r>
        <w:rPr>
          <w:rFonts w:hint="cs"/>
          <w:rtl/>
        </w:rPr>
        <w:t>תקנות יישום תכנית ההתנתקות (כשירות והעברה מתפקיד של מנהל מסדיר ומפרק מסדיר), תשס"ה-2005</w:t>
      </w:r>
    </w:p>
    <w:p w14:paraId="7BBDC6C9" w14:textId="77777777" w:rsidR="0081499F" w:rsidRPr="0081499F" w:rsidRDefault="0081499F" w:rsidP="0081499F">
      <w:pPr>
        <w:spacing w:line="320" w:lineRule="auto"/>
        <w:jc w:val="left"/>
        <w:rPr>
          <w:rFonts w:cs="FrankRuehl"/>
          <w:szCs w:val="26"/>
          <w:rtl/>
        </w:rPr>
      </w:pPr>
    </w:p>
    <w:p w14:paraId="3A8008CD" w14:textId="77777777" w:rsidR="0081499F" w:rsidRDefault="0081499F" w:rsidP="0081499F">
      <w:pPr>
        <w:spacing w:line="320" w:lineRule="auto"/>
        <w:jc w:val="left"/>
        <w:rPr>
          <w:rtl/>
        </w:rPr>
      </w:pPr>
    </w:p>
    <w:p w14:paraId="5CDE7D02" w14:textId="77777777" w:rsidR="0081499F" w:rsidRPr="0081499F" w:rsidRDefault="0081499F" w:rsidP="0081499F">
      <w:pPr>
        <w:spacing w:line="320" w:lineRule="auto"/>
        <w:jc w:val="left"/>
        <w:rPr>
          <w:rFonts w:cs="Miriam"/>
          <w:szCs w:val="22"/>
          <w:rtl/>
        </w:rPr>
      </w:pPr>
      <w:r w:rsidRPr="0081499F">
        <w:rPr>
          <w:rFonts w:cs="Miriam"/>
          <w:szCs w:val="22"/>
          <w:rtl/>
        </w:rPr>
        <w:t>בטחון</w:t>
      </w:r>
      <w:r w:rsidRPr="0081499F">
        <w:rPr>
          <w:rFonts w:cs="FrankRuehl"/>
          <w:szCs w:val="26"/>
          <w:rtl/>
        </w:rPr>
        <w:t xml:space="preserve"> – תכנית ההתנתקות</w:t>
      </w:r>
    </w:p>
    <w:p w14:paraId="5E6E9C14" w14:textId="77777777" w:rsidR="008232FE" w:rsidRDefault="008232FE">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232FE" w14:paraId="1B6BDF7E" w14:textId="77777777">
        <w:tblPrEx>
          <w:tblCellMar>
            <w:top w:w="0" w:type="dxa"/>
            <w:bottom w:w="0" w:type="dxa"/>
          </w:tblCellMar>
        </w:tblPrEx>
        <w:trPr>
          <w:jc w:val="right"/>
        </w:trPr>
        <w:tc>
          <w:tcPr>
            <w:tcW w:w="850" w:type="dxa"/>
          </w:tcPr>
          <w:p w14:paraId="546689C0"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CBF6675" w14:textId="77777777" w:rsidR="008232FE" w:rsidRDefault="008232FE">
            <w:pPr>
              <w:spacing w:line="240" w:lineRule="auto"/>
              <w:jc w:val="left"/>
              <w:rPr>
                <w:rFonts w:hint="cs"/>
                <w:sz w:val="24"/>
              </w:rPr>
            </w:pPr>
            <w:hyperlink w:anchor="Seif0" w:tooltip="הגדרות" w:history="1">
              <w:r>
                <w:rPr>
                  <w:rStyle w:val="Hyperlink"/>
                </w:rPr>
                <w:t>Go</w:t>
              </w:r>
            </w:hyperlink>
          </w:p>
        </w:tc>
        <w:tc>
          <w:tcPr>
            <w:tcW w:w="5669" w:type="dxa"/>
          </w:tcPr>
          <w:p w14:paraId="55CAA34B" w14:textId="77777777" w:rsidR="008232FE" w:rsidRDefault="008232FE">
            <w:pPr>
              <w:spacing w:line="240" w:lineRule="auto"/>
              <w:jc w:val="left"/>
              <w:rPr>
                <w:sz w:val="24"/>
                <w:rtl/>
              </w:rPr>
            </w:pPr>
            <w:r>
              <w:rPr>
                <w:sz w:val="24"/>
                <w:rtl/>
              </w:rPr>
              <w:t>הגדרות</w:t>
            </w:r>
          </w:p>
        </w:tc>
        <w:tc>
          <w:tcPr>
            <w:tcW w:w="1247" w:type="dxa"/>
          </w:tcPr>
          <w:p w14:paraId="59E759C6" w14:textId="77777777" w:rsidR="008232FE" w:rsidRDefault="008232FE">
            <w:pPr>
              <w:spacing w:line="240" w:lineRule="auto"/>
              <w:jc w:val="left"/>
              <w:rPr>
                <w:rFonts w:hint="cs"/>
                <w:sz w:val="24"/>
              </w:rPr>
            </w:pPr>
            <w:r>
              <w:rPr>
                <w:sz w:val="24"/>
                <w:rtl/>
              </w:rPr>
              <w:t xml:space="preserve">סעיף 1 </w:t>
            </w:r>
          </w:p>
        </w:tc>
      </w:tr>
      <w:tr w:rsidR="008232FE" w14:paraId="7CEEA0A3" w14:textId="77777777">
        <w:tblPrEx>
          <w:tblCellMar>
            <w:top w:w="0" w:type="dxa"/>
            <w:bottom w:w="0" w:type="dxa"/>
          </w:tblCellMar>
        </w:tblPrEx>
        <w:trPr>
          <w:jc w:val="right"/>
        </w:trPr>
        <w:tc>
          <w:tcPr>
            <w:tcW w:w="850" w:type="dxa"/>
          </w:tcPr>
          <w:p w14:paraId="1469A118"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355D1AA" w14:textId="77777777" w:rsidR="008232FE" w:rsidRDefault="008232FE">
            <w:pPr>
              <w:spacing w:line="240" w:lineRule="auto"/>
              <w:jc w:val="left"/>
              <w:rPr>
                <w:rFonts w:hint="cs"/>
                <w:sz w:val="24"/>
              </w:rPr>
            </w:pPr>
            <w:hyperlink w:anchor="Seif1" w:tooltip="סייגים למינוי מנהל מסדיר" w:history="1">
              <w:r>
                <w:rPr>
                  <w:rStyle w:val="Hyperlink"/>
                </w:rPr>
                <w:t>Go</w:t>
              </w:r>
            </w:hyperlink>
          </w:p>
        </w:tc>
        <w:tc>
          <w:tcPr>
            <w:tcW w:w="5669" w:type="dxa"/>
          </w:tcPr>
          <w:p w14:paraId="7E592638" w14:textId="77777777" w:rsidR="008232FE" w:rsidRDefault="008232FE">
            <w:pPr>
              <w:spacing w:line="240" w:lineRule="auto"/>
              <w:jc w:val="left"/>
              <w:rPr>
                <w:sz w:val="24"/>
                <w:rtl/>
              </w:rPr>
            </w:pPr>
            <w:r>
              <w:rPr>
                <w:sz w:val="24"/>
                <w:rtl/>
              </w:rPr>
              <w:t>סייגים למינוי מנהל מסדיר</w:t>
            </w:r>
          </w:p>
        </w:tc>
        <w:tc>
          <w:tcPr>
            <w:tcW w:w="1247" w:type="dxa"/>
          </w:tcPr>
          <w:p w14:paraId="3D1C2CC7" w14:textId="77777777" w:rsidR="008232FE" w:rsidRDefault="008232FE">
            <w:pPr>
              <w:spacing w:line="240" w:lineRule="auto"/>
              <w:jc w:val="left"/>
              <w:rPr>
                <w:rFonts w:hint="cs"/>
                <w:sz w:val="24"/>
              </w:rPr>
            </w:pPr>
            <w:r>
              <w:rPr>
                <w:sz w:val="24"/>
                <w:rtl/>
              </w:rPr>
              <w:t xml:space="preserve">סעיף 2 </w:t>
            </w:r>
          </w:p>
        </w:tc>
      </w:tr>
      <w:tr w:rsidR="008232FE" w14:paraId="7189123D" w14:textId="77777777">
        <w:tblPrEx>
          <w:tblCellMar>
            <w:top w:w="0" w:type="dxa"/>
            <w:bottom w:w="0" w:type="dxa"/>
          </w:tblCellMar>
        </w:tblPrEx>
        <w:trPr>
          <w:jc w:val="right"/>
        </w:trPr>
        <w:tc>
          <w:tcPr>
            <w:tcW w:w="850" w:type="dxa"/>
          </w:tcPr>
          <w:p w14:paraId="69957EF4"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344CA8" w14:textId="77777777" w:rsidR="008232FE" w:rsidRDefault="008232FE">
            <w:pPr>
              <w:spacing w:line="240" w:lineRule="auto"/>
              <w:jc w:val="left"/>
              <w:rPr>
                <w:rFonts w:hint="cs"/>
                <w:sz w:val="24"/>
              </w:rPr>
            </w:pPr>
            <w:hyperlink w:anchor="Seif2" w:tooltip="מסירת פרטים" w:history="1">
              <w:r>
                <w:rPr>
                  <w:rStyle w:val="Hyperlink"/>
                </w:rPr>
                <w:t>Go</w:t>
              </w:r>
            </w:hyperlink>
          </w:p>
        </w:tc>
        <w:tc>
          <w:tcPr>
            <w:tcW w:w="5669" w:type="dxa"/>
          </w:tcPr>
          <w:p w14:paraId="1C6D7FBB" w14:textId="77777777" w:rsidR="008232FE" w:rsidRDefault="008232FE">
            <w:pPr>
              <w:spacing w:line="240" w:lineRule="auto"/>
              <w:jc w:val="left"/>
              <w:rPr>
                <w:sz w:val="24"/>
                <w:rtl/>
              </w:rPr>
            </w:pPr>
            <w:r>
              <w:rPr>
                <w:sz w:val="24"/>
                <w:rtl/>
              </w:rPr>
              <w:t>מסירת פרטים</w:t>
            </w:r>
          </w:p>
        </w:tc>
        <w:tc>
          <w:tcPr>
            <w:tcW w:w="1247" w:type="dxa"/>
          </w:tcPr>
          <w:p w14:paraId="2FC9F357" w14:textId="77777777" w:rsidR="008232FE" w:rsidRDefault="008232FE">
            <w:pPr>
              <w:spacing w:line="240" w:lineRule="auto"/>
              <w:jc w:val="left"/>
              <w:rPr>
                <w:rFonts w:hint="cs"/>
                <w:sz w:val="24"/>
              </w:rPr>
            </w:pPr>
            <w:r>
              <w:rPr>
                <w:sz w:val="24"/>
                <w:rtl/>
              </w:rPr>
              <w:t xml:space="preserve">סעיף 3 </w:t>
            </w:r>
          </w:p>
        </w:tc>
      </w:tr>
      <w:tr w:rsidR="008232FE" w14:paraId="2A45E96F" w14:textId="77777777">
        <w:tblPrEx>
          <w:tblCellMar>
            <w:top w:w="0" w:type="dxa"/>
            <w:bottom w:w="0" w:type="dxa"/>
          </w:tblCellMar>
        </w:tblPrEx>
        <w:trPr>
          <w:jc w:val="right"/>
        </w:trPr>
        <w:tc>
          <w:tcPr>
            <w:tcW w:w="850" w:type="dxa"/>
          </w:tcPr>
          <w:p w14:paraId="328DB2DC"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1136FC7" w14:textId="77777777" w:rsidR="008232FE" w:rsidRDefault="008232FE">
            <w:pPr>
              <w:spacing w:line="240" w:lineRule="auto"/>
              <w:jc w:val="left"/>
              <w:rPr>
                <w:rFonts w:hint="cs"/>
                <w:sz w:val="24"/>
              </w:rPr>
            </w:pPr>
            <w:hyperlink w:anchor="Seif3" w:tooltip="העברה מתפקיד" w:history="1">
              <w:r>
                <w:rPr>
                  <w:rStyle w:val="Hyperlink"/>
                </w:rPr>
                <w:t>Go</w:t>
              </w:r>
            </w:hyperlink>
          </w:p>
        </w:tc>
        <w:tc>
          <w:tcPr>
            <w:tcW w:w="5669" w:type="dxa"/>
          </w:tcPr>
          <w:p w14:paraId="61B3CE34" w14:textId="77777777" w:rsidR="008232FE" w:rsidRDefault="008232FE">
            <w:pPr>
              <w:spacing w:line="240" w:lineRule="auto"/>
              <w:jc w:val="left"/>
              <w:rPr>
                <w:sz w:val="24"/>
                <w:rtl/>
              </w:rPr>
            </w:pPr>
            <w:r>
              <w:rPr>
                <w:sz w:val="24"/>
                <w:rtl/>
              </w:rPr>
              <w:t>העברה מתפקיד</w:t>
            </w:r>
          </w:p>
        </w:tc>
        <w:tc>
          <w:tcPr>
            <w:tcW w:w="1247" w:type="dxa"/>
          </w:tcPr>
          <w:p w14:paraId="49FA8179" w14:textId="77777777" w:rsidR="008232FE" w:rsidRDefault="008232FE">
            <w:pPr>
              <w:spacing w:line="240" w:lineRule="auto"/>
              <w:jc w:val="left"/>
              <w:rPr>
                <w:rFonts w:hint="cs"/>
                <w:sz w:val="24"/>
              </w:rPr>
            </w:pPr>
            <w:r>
              <w:rPr>
                <w:sz w:val="24"/>
                <w:rtl/>
              </w:rPr>
              <w:t xml:space="preserve">סעיף 4 </w:t>
            </w:r>
          </w:p>
        </w:tc>
      </w:tr>
      <w:tr w:rsidR="008232FE" w14:paraId="3A973ED6" w14:textId="77777777">
        <w:tblPrEx>
          <w:tblCellMar>
            <w:top w:w="0" w:type="dxa"/>
            <w:bottom w:w="0" w:type="dxa"/>
          </w:tblCellMar>
        </w:tblPrEx>
        <w:trPr>
          <w:jc w:val="right"/>
        </w:trPr>
        <w:tc>
          <w:tcPr>
            <w:tcW w:w="850" w:type="dxa"/>
          </w:tcPr>
          <w:p w14:paraId="5718FF12"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4FE34C5" w14:textId="77777777" w:rsidR="008232FE" w:rsidRDefault="008232FE">
            <w:pPr>
              <w:spacing w:line="240" w:lineRule="auto"/>
              <w:jc w:val="left"/>
              <w:rPr>
                <w:rFonts w:hint="cs"/>
                <w:sz w:val="24"/>
              </w:rPr>
            </w:pPr>
            <w:hyperlink w:anchor="Seif5" w:tooltip="סיום עבודת המנהל המסדיר" w:history="1">
              <w:r>
                <w:rPr>
                  <w:rStyle w:val="Hyperlink"/>
                </w:rPr>
                <w:t>Go</w:t>
              </w:r>
            </w:hyperlink>
          </w:p>
        </w:tc>
        <w:tc>
          <w:tcPr>
            <w:tcW w:w="5669" w:type="dxa"/>
          </w:tcPr>
          <w:p w14:paraId="573B6499" w14:textId="77777777" w:rsidR="008232FE" w:rsidRDefault="008232FE">
            <w:pPr>
              <w:spacing w:line="240" w:lineRule="auto"/>
              <w:jc w:val="left"/>
              <w:rPr>
                <w:sz w:val="24"/>
                <w:rtl/>
              </w:rPr>
            </w:pPr>
            <w:r>
              <w:rPr>
                <w:sz w:val="24"/>
                <w:rtl/>
              </w:rPr>
              <w:t>סיום עבודת המנהל המסדיר</w:t>
            </w:r>
          </w:p>
        </w:tc>
        <w:tc>
          <w:tcPr>
            <w:tcW w:w="1247" w:type="dxa"/>
          </w:tcPr>
          <w:p w14:paraId="1C8F2550" w14:textId="77777777" w:rsidR="008232FE" w:rsidRDefault="008232FE">
            <w:pPr>
              <w:spacing w:line="240" w:lineRule="auto"/>
              <w:jc w:val="left"/>
              <w:rPr>
                <w:rFonts w:hint="cs"/>
                <w:sz w:val="24"/>
              </w:rPr>
            </w:pPr>
            <w:r>
              <w:rPr>
                <w:sz w:val="24"/>
                <w:rtl/>
              </w:rPr>
              <w:t xml:space="preserve">סעיף 5 </w:t>
            </w:r>
          </w:p>
        </w:tc>
      </w:tr>
      <w:tr w:rsidR="008232FE" w14:paraId="01E38A2F" w14:textId="77777777">
        <w:tblPrEx>
          <w:tblCellMar>
            <w:top w:w="0" w:type="dxa"/>
            <w:bottom w:w="0" w:type="dxa"/>
          </w:tblCellMar>
        </w:tblPrEx>
        <w:trPr>
          <w:jc w:val="right"/>
        </w:trPr>
        <w:tc>
          <w:tcPr>
            <w:tcW w:w="850" w:type="dxa"/>
          </w:tcPr>
          <w:p w14:paraId="57526A3D" w14:textId="77777777" w:rsidR="008232FE" w:rsidRDefault="008232FE">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C27F7A" w14:textId="77777777" w:rsidR="008232FE" w:rsidRDefault="008232FE">
            <w:pPr>
              <w:spacing w:line="240" w:lineRule="auto"/>
              <w:jc w:val="left"/>
              <w:rPr>
                <w:rFonts w:hint="cs"/>
                <w:sz w:val="24"/>
              </w:rPr>
            </w:pPr>
            <w:hyperlink w:anchor="Seif4" w:tooltip="תחולת התקנות על מפרק מסדיר" w:history="1">
              <w:r>
                <w:rPr>
                  <w:rStyle w:val="Hyperlink"/>
                </w:rPr>
                <w:t>Go</w:t>
              </w:r>
            </w:hyperlink>
          </w:p>
        </w:tc>
        <w:tc>
          <w:tcPr>
            <w:tcW w:w="5669" w:type="dxa"/>
          </w:tcPr>
          <w:p w14:paraId="33A13294" w14:textId="77777777" w:rsidR="008232FE" w:rsidRDefault="008232FE">
            <w:pPr>
              <w:spacing w:line="240" w:lineRule="auto"/>
              <w:jc w:val="left"/>
              <w:rPr>
                <w:sz w:val="24"/>
                <w:rtl/>
              </w:rPr>
            </w:pPr>
            <w:r>
              <w:rPr>
                <w:sz w:val="24"/>
                <w:rtl/>
              </w:rPr>
              <w:t>תחולת התקנות על מפרק מסדיר</w:t>
            </w:r>
          </w:p>
        </w:tc>
        <w:tc>
          <w:tcPr>
            <w:tcW w:w="1247" w:type="dxa"/>
          </w:tcPr>
          <w:p w14:paraId="4A1E27A4" w14:textId="77777777" w:rsidR="008232FE" w:rsidRDefault="008232FE">
            <w:pPr>
              <w:spacing w:line="240" w:lineRule="auto"/>
              <w:jc w:val="left"/>
              <w:rPr>
                <w:rFonts w:hint="cs"/>
                <w:sz w:val="24"/>
              </w:rPr>
            </w:pPr>
            <w:r>
              <w:rPr>
                <w:sz w:val="24"/>
                <w:rtl/>
              </w:rPr>
              <w:t xml:space="preserve">סעיף 6 </w:t>
            </w:r>
          </w:p>
        </w:tc>
      </w:tr>
    </w:tbl>
    <w:p w14:paraId="1138EB1E" w14:textId="77777777" w:rsidR="008232FE" w:rsidRDefault="008232FE">
      <w:pPr>
        <w:pStyle w:val="P00"/>
        <w:spacing w:before="72"/>
        <w:ind w:left="0" w:right="1134"/>
        <w:rPr>
          <w:rFonts w:hint="cs"/>
          <w:rtl/>
        </w:rPr>
      </w:pPr>
    </w:p>
    <w:p w14:paraId="4FA0A0A9" w14:textId="77777777" w:rsidR="008232FE" w:rsidRDefault="008232FE" w:rsidP="0081499F">
      <w:pPr>
        <w:pStyle w:val="big-header"/>
        <w:ind w:left="0" w:right="1134"/>
        <w:rPr>
          <w:rStyle w:val="default"/>
          <w:rFonts w:cs="FrankRuehl"/>
          <w:rtl/>
        </w:rPr>
      </w:pPr>
      <w:r>
        <w:rPr>
          <w:rtl/>
        </w:rPr>
        <w:br w:type="page"/>
      </w:r>
      <w:r>
        <w:rPr>
          <w:rFonts w:hint="cs"/>
          <w:rtl/>
        </w:rPr>
        <w:lastRenderedPageBreak/>
        <w:t>תקנות יישום תכנית ההתנתקות (כשירות והעברה מתפקיד של מנהל מסדיר ומפרק מסדיר), תשס"ה-2005</w:t>
      </w:r>
      <w:r>
        <w:rPr>
          <w:rStyle w:val="default"/>
          <w:sz w:val="22"/>
          <w:szCs w:val="22"/>
          <w:rtl/>
        </w:rPr>
        <w:footnoteReference w:customMarkFollows="1" w:id="1"/>
        <w:t>*</w:t>
      </w:r>
    </w:p>
    <w:p w14:paraId="60405E2A" w14:textId="77777777" w:rsidR="008232FE" w:rsidRDefault="008232FE">
      <w:pPr>
        <w:pStyle w:val="P00"/>
        <w:spacing w:before="72"/>
        <w:ind w:left="0" w:right="1134"/>
        <w:rPr>
          <w:rStyle w:val="default"/>
          <w:rFonts w:cs="FrankRuehl" w:hint="cs"/>
          <w:rtl/>
        </w:rPr>
      </w:pPr>
      <w:r>
        <w:rPr>
          <w:rStyle w:val="default"/>
          <w:rFonts w:cs="FrankRuehl" w:hint="cs"/>
          <w:rtl/>
        </w:rPr>
        <w:tab/>
        <w:t xml:space="preserve">בתוקף סמכותי לפי סעיף 93(א) ו-(ב) לחוק יישום תכנית ההתנתקות, התשס"ה-2005 (להלן </w:t>
      </w:r>
      <w:r>
        <w:rPr>
          <w:rStyle w:val="default"/>
          <w:rFonts w:cs="FrankRuehl"/>
          <w:rtl/>
        </w:rPr>
        <w:t>–</w:t>
      </w:r>
      <w:r>
        <w:rPr>
          <w:rStyle w:val="default"/>
          <w:rFonts w:cs="FrankRuehl" w:hint="cs"/>
          <w:rtl/>
        </w:rPr>
        <w:t xml:space="preserve"> החוק), ובהתאם לסעיף 116(ג) לחוק, אני מתקינה תקנות אלה:</w:t>
      </w:r>
    </w:p>
    <w:p w14:paraId="20696B3E" w14:textId="77777777" w:rsidR="008232FE" w:rsidRDefault="008232FE">
      <w:pPr>
        <w:pStyle w:val="P00"/>
        <w:spacing w:before="72"/>
        <w:ind w:left="0" w:right="1134"/>
        <w:rPr>
          <w:rStyle w:val="default"/>
          <w:rFonts w:cs="FrankRuehl" w:hint="cs"/>
          <w:rtl/>
        </w:rPr>
      </w:pPr>
      <w:bookmarkStart w:id="0" w:name="Seif0"/>
      <w:bookmarkEnd w:id="0"/>
      <w:r>
        <w:rPr>
          <w:lang w:val="he-IL"/>
        </w:rPr>
        <w:pict w14:anchorId="3454A63C">
          <v:rect id="_x0000_s1026" style="position:absolute;left:0;text-align:left;margin-left:464.5pt;margin-top:8.05pt;width:75.05pt;height:7.6pt;z-index:251655168" o:allowincell="f" filled="f" stroked="f" strokecolor="lime" strokeweight=".25pt">
            <v:textbox inset="0,0,0,0">
              <w:txbxContent>
                <w:p w14:paraId="400DB58E" w14:textId="77777777" w:rsidR="008232FE" w:rsidRDefault="008232F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0743F847" w14:textId="77777777" w:rsidR="008232FE" w:rsidRDefault="008232FE">
      <w:pPr>
        <w:pStyle w:val="P00"/>
        <w:spacing w:before="72"/>
        <w:ind w:left="0" w:right="1134"/>
        <w:rPr>
          <w:rStyle w:val="default"/>
          <w:rFonts w:cs="FrankRuehl" w:hint="cs"/>
          <w:rtl/>
        </w:rPr>
      </w:pPr>
      <w:r>
        <w:rPr>
          <w:rStyle w:val="default"/>
          <w:rFonts w:cs="FrankRuehl" w:hint="cs"/>
          <w:rtl/>
        </w:rPr>
        <w:tab/>
        <w:t xml:space="preserve">"מנהל מסדיר" </w:t>
      </w:r>
      <w:r>
        <w:rPr>
          <w:rStyle w:val="default"/>
          <w:rFonts w:cs="FrankRuehl"/>
          <w:rtl/>
        </w:rPr>
        <w:t>–</w:t>
      </w:r>
      <w:r>
        <w:rPr>
          <w:rStyle w:val="default"/>
          <w:rFonts w:cs="FrankRuehl" w:hint="cs"/>
          <w:rtl/>
        </w:rPr>
        <w:t xml:space="preserve"> כהגדרתו בסעיף 86 לחוק;</w:t>
      </w:r>
    </w:p>
    <w:p w14:paraId="55986B99" w14:textId="77777777" w:rsidR="008232FE" w:rsidRDefault="008232FE">
      <w:pPr>
        <w:pStyle w:val="P00"/>
        <w:spacing w:before="72"/>
        <w:ind w:left="0" w:right="1134"/>
        <w:rPr>
          <w:rStyle w:val="default"/>
          <w:rFonts w:cs="FrankRuehl" w:hint="cs"/>
          <w:rtl/>
        </w:rPr>
      </w:pPr>
      <w:r>
        <w:rPr>
          <w:rStyle w:val="default"/>
          <w:rFonts w:cs="FrankRuehl" w:hint="cs"/>
          <w:rtl/>
        </w:rPr>
        <w:tab/>
        <w:t xml:space="preserve">"מפרק מסדיר" </w:t>
      </w:r>
      <w:r>
        <w:rPr>
          <w:rStyle w:val="default"/>
          <w:rFonts w:cs="FrankRuehl"/>
          <w:rtl/>
        </w:rPr>
        <w:t>–</w:t>
      </w:r>
      <w:r>
        <w:rPr>
          <w:rStyle w:val="default"/>
          <w:rFonts w:cs="FrankRuehl" w:hint="cs"/>
          <w:rtl/>
        </w:rPr>
        <w:t xml:space="preserve"> כהגדרתו בסעיף 113 לחוק;</w:t>
      </w:r>
    </w:p>
    <w:p w14:paraId="5364A213" w14:textId="77777777" w:rsidR="008232FE" w:rsidRDefault="008232FE">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אח, אחות, הורה, צאצא או אדם אחר הסמוך על שולחנו של המנהל המסדיר או של המפרק המסדיר, לפי הענין.</w:t>
      </w:r>
    </w:p>
    <w:p w14:paraId="56AA9668" w14:textId="77777777" w:rsidR="008232FE" w:rsidRDefault="008232FE">
      <w:pPr>
        <w:pStyle w:val="P00"/>
        <w:spacing w:before="72"/>
        <w:ind w:left="0" w:right="1134"/>
        <w:rPr>
          <w:rStyle w:val="default"/>
          <w:rFonts w:cs="FrankRuehl" w:hint="cs"/>
          <w:rtl/>
        </w:rPr>
      </w:pPr>
      <w:bookmarkStart w:id="1" w:name="Seif1"/>
      <w:bookmarkEnd w:id="1"/>
      <w:r>
        <w:rPr>
          <w:lang w:val="he-IL"/>
        </w:rPr>
        <w:pict w14:anchorId="2E7A0E8F">
          <v:rect id="_x0000_s1104" style="position:absolute;left:0;text-align:left;margin-left:464.5pt;margin-top:8.05pt;width:75.05pt;height:15.5pt;z-index:251656192" o:allowincell="f" filled="f" stroked="f" strokecolor="lime" strokeweight=".25pt">
            <v:textbox inset="0,0,0,0">
              <w:txbxContent>
                <w:p w14:paraId="3557BBA6" w14:textId="77777777" w:rsidR="008232FE" w:rsidRDefault="008232FE">
                  <w:pPr>
                    <w:spacing w:line="160" w:lineRule="exact"/>
                    <w:jc w:val="left"/>
                    <w:rPr>
                      <w:rFonts w:cs="Miriam" w:hint="cs"/>
                      <w:noProof/>
                      <w:szCs w:val="18"/>
                      <w:rtl/>
                    </w:rPr>
                  </w:pPr>
                  <w:r>
                    <w:rPr>
                      <w:rFonts w:cs="Miriam" w:hint="cs"/>
                      <w:szCs w:val="18"/>
                      <w:rtl/>
                    </w:rPr>
                    <w:t>סייגים למינוי מנהל מסדיר</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לא יתמנה למנהל מסדיר ולא יכהן ככזה </w:t>
      </w:r>
      <w:r>
        <w:rPr>
          <w:rStyle w:val="default"/>
          <w:rFonts w:cs="FrankRuehl"/>
          <w:rtl/>
        </w:rPr>
        <w:t>–</w:t>
      </w:r>
    </w:p>
    <w:p w14:paraId="6958F603" w14:textId="77777777" w:rsidR="008232FE" w:rsidRDefault="008232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שהורשע בעבירה שמפאת מהותה, חומרתה או נסיבותיה החליטה המינהלה שאין הוא ראוי לכהן כמנהל מסדיר;</w:t>
      </w:r>
    </w:p>
    <w:p w14:paraId="14E2AFF4" w14:textId="77777777" w:rsidR="008232FE" w:rsidRDefault="008232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שעלול להימצא, בין בעצמו ובין בשל אחרים במשרדו, במישרין או בעקיפין, במצב של ניגוד ענינים בין תפקידו כמנהל מסדיר לבין ענין אחר שלו או של קרובו;</w:t>
      </w:r>
    </w:p>
    <w:p w14:paraId="5784D578" w14:textId="77777777" w:rsidR="008232FE" w:rsidRDefault="008232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שהוכרז כפושט רגל וטרם הופטר.</w:t>
      </w:r>
    </w:p>
    <w:p w14:paraId="1DFE2E6B" w14:textId="77777777" w:rsidR="008232FE" w:rsidRDefault="008232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ימונה אדם למנהל מסדיר אלא אם כן התחייב </w:t>
      </w:r>
      <w:r>
        <w:rPr>
          <w:rStyle w:val="default"/>
          <w:rFonts w:cs="FrankRuehl"/>
          <w:rtl/>
        </w:rPr>
        <w:t>–</w:t>
      </w:r>
    </w:p>
    <w:p w14:paraId="3B477FD6" w14:textId="77777777" w:rsidR="008232FE" w:rsidRDefault="008232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 לא יטפל ולא ידון בענין של מי שהיה לקוחו, בשנתיים שקדמו למינויו למנהל מסדיר, או בענין של מי שהיה לקוח משרדו בשנה שקדמה למינויו למנהל מסדיר, זולת אם המינהלה אישרה זאת מראש ובכתב;</w:t>
      </w:r>
    </w:p>
    <w:p w14:paraId="40FFFABA" w14:textId="77777777" w:rsidR="008232FE" w:rsidRDefault="008232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כי לא ייצג במשך שנתיים מיום שסיים את תפקידו כמנהל מסדיר בענינים שהחוק דן בהם את מי שהיה צד להליך שהתנהל לפניו.</w:t>
      </w:r>
    </w:p>
    <w:p w14:paraId="37427E13" w14:textId="77777777" w:rsidR="008232FE" w:rsidRDefault="008232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נבצר ממנהל מסדיר לדון בענין מסוים מחמת ניגוד ענינים, תעביר המינהלה את הדיון בנושא שלגביו התעורר ניגוד הענינים למנהל מסדיר אחר.</w:t>
      </w:r>
    </w:p>
    <w:p w14:paraId="0CEB63D7" w14:textId="77777777" w:rsidR="008232FE" w:rsidRDefault="008232FE">
      <w:pPr>
        <w:pStyle w:val="P00"/>
        <w:spacing w:before="72"/>
        <w:ind w:left="0" w:right="1134"/>
        <w:rPr>
          <w:rStyle w:val="default"/>
          <w:rFonts w:cs="FrankRuehl" w:hint="cs"/>
          <w:rtl/>
        </w:rPr>
      </w:pPr>
      <w:bookmarkStart w:id="2" w:name="Seif2"/>
      <w:bookmarkEnd w:id="2"/>
      <w:r>
        <w:rPr>
          <w:lang w:val="he-IL"/>
        </w:rPr>
        <w:pict w14:anchorId="1B8D57B9">
          <v:rect id="_x0000_s1105" style="position:absolute;left:0;text-align:left;margin-left:464.5pt;margin-top:8.05pt;width:75.05pt;height:7.35pt;z-index:251657216" o:allowincell="f" filled="f" stroked="f" strokecolor="lime" strokeweight=".25pt">
            <v:textbox inset="0,0,0,0">
              <w:txbxContent>
                <w:p w14:paraId="7C1ADDC6" w14:textId="77777777" w:rsidR="008232FE" w:rsidRDefault="008232FE">
                  <w:pPr>
                    <w:spacing w:line="160" w:lineRule="exact"/>
                    <w:jc w:val="left"/>
                    <w:rPr>
                      <w:rFonts w:cs="Miriam" w:hint="cs"/>
                      <w:noProof/>
                      <w:szCs w:val="18"/>
                      <w:rtl/>
                    </w:rPr>
                  </w:pPr>
                  <w:r>
                    <w:rPr>
                      <w:rFonts w:cs="Miriam" w:hint="cs"/>
                      <w:szCs w:val="18"/>
                      <w:rtl/>
                    </w:rPr>
                    <w:t>מסירת פרטים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המינהלה רשאית לבקש ממועמד לתפקיד מנהל מסדיר פרטים אודות לקוחות שהוא מייצג או שייצג בעבר, וכן פרטים אחרים הנראים לה חשובים לקביעת כשירות המועמד.</w:t>
      </w:r>
    </w:p>
    <w:p w14:paraId="3D61E6C7" w14:textId="77777777" w:rsidR="008232FE" w:rsidRDefault="008232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פרטים שנמסרו לפי תקנה זאת יהיו חסויים.</w:t>
      </w:r>
    </w:p>
    <w:p w14:paraId="6FDF388E" w14:textId="77777777" w:rsidR="008232FE" w:rsidRDefault="008232FE">
      <w:pPr>
        <w:pStyle w:val="P00"/>
        <w:spacing w:before="72"/>
        <w:ind w:left="0" w:right="1134"/>
        <w:rPr>
          <w:rStyle w:val="default"/>
          <w:rFonts w:cs="FrankRuehl" w:hint="cs"/>
          <w:rtl/>
        </w:rPr>
      </w:pPr>
      <w:bookmarkStart w:id="3" w:name="Seif3"/>
      <w:bookmarkEnd w:id="3"/>
      <w:r>
        <w:rPr>
          <w:lang w:val="he-IL"/>
        </w:rPr>
        <w:pict w14:anchorId="186B0A88">
          <v:rect id="_x0000_s1106" style="position:absolute;left:0;text-align:left;margin-left:464.5pt;margin-top:8.05pt;width:75.05pt;height:9.05pt;z-index:251658240" o:allowincell="f" filled="f" stroked="f" strokecolor="lime" strokeweight=".25pt">
            <v:textbox inset="0,0,0,0">
              <w:txbxContent>
                <w:p w14:paraId="140131F5" w14:textId="77777777" w:rsidR="008232FE" w:rsidRDefault="008232FE">
                  <w:pPr>
                    <w:spacing w:line="160" w:lineRule="exact"/>
                    <w:jc w:val="left"/>
                    <w:rPr>
                      <w:rFonts w:cs="Miriam" w:hint="cs"/>
                      <w:noProof/>
                      <w:szCs w:val="18"/>
                      <w:rtl/>
                    </w:rPr>
                  </w:pPr>
                  <w:r>
                    <w:rPr>
                      <w:rFonts w:cs="Miriam" w:hint="cs"/>
                      <w:szCs w:val="18"/>
                      <w:rtl/>
                    </w:rPr>
                    <w:t>העברה מתפקיד</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המינהלה רשאית להעביר מנהל מסדיר מתפקידו באחד מאלה:</w:t>
      </w:r>
    </w:p>
    <w:p w14:paraId="61899EBD" w14:textId="77777777" w:rsidR="008232FE" w:rsidRDefault="008232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המנהל המסדיר התנהג התנהגות שאינה הולמת את תפקידו;</w:t>
      </w:r>
    </w:p>
    <w:p w14:paraId="779B9BF0" w14:textId="77777777" w:rsidR="008232FE" w:rsidRDefault="008232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נתקיים בו אחד הסייגים למינוי מנהל מסדיר לפי תקנה 2;</w:t>
      </w:r>
    </w:p>
    <w:p w14:paraId="27BA39E1" w14:textId="77777777" w:rsidR="008232FE" w:rsidRDefault="008232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המסדיר אינו מקדיש לתפקידו את הזמן הדרוש.</w:t>
      </w:r>
    </w:p>
    <w:p w14:paraId="2E4B3199" w14:textId="77777777" w:rsidR="008232FE" w:rsidRDefault="008232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המינהלה לא תחליט על העברת מנהל מסדיר מתפקידו אלא לאחר שנתנה לו הזדמנות לטעון לפניה את טענותיו.</w:t>
      </w:r>
    </w:p>
    <w:p w14:paraId="15BA91A7" w14:textId="77777777" w:rsidR="008232FE" w:rsidRDefault="008232FE">
      <w:pPr>
        <w:pStyle w:val="P00"/>
        <w:spacing w:before="72"/>
        <w:ind w:left="0" w:right="1134"/>
        <w:rPr>
          <w:rStyle w:val="default"/>
          <w:rFonts w:cs="FrankRuehl" w:hint="cs"/>
          <w:rtl/>
        </w:rPr>
      </w:pPr>
      <w:bookmarkStart w:id="4" w:name="Seif5"/>
      <w:bookmarkEnd w:id="4"/>
      <w:r>
        <w:rPr>
          <w:lang w:val="he-IL"/>
        </w:rPr>
        <w:pict w14:anchorId="5D7FD155">
          <v:rect id="_x0000_s1110" style="position:absolute;left:0;text-align:left;margin-left:464.5pt;margin-top:8.05pt;width:75.05pt;height:16.5pt;z-index:251660288" o:allowincell="f" filled="f" stroked="f" strokecolor="lime" strokeweight=".25pt">
            <v:textbox inset="0,0,0,0">
              <w:txbxContent>
                <w:p w14:paraId="47140D09" w14:textId="77777777" w:rsidR="008232FE" w:rsidRDefault="008232FE">
                  <w:pPr>
                    <w:spacing w:line="160" w:lineRule="exact"/>
                    <w:jc w:val="left"/>
                    <w:rPr>
                      <w:rFonts w:cs="Miriam" w:hint="cs"/>
                      <w:noProof/>
                      <w:szCs w:val="18"/>
                      <w:rtl/>
                    </w:rPr>
                  </w:pPr>
                  <w:r>
                    <w:rPr>
                      <w:rFonts w:cs="Miriam" w:hint="cs"/>
                      <w:szCs w:val="18"/>
                      <w:rtl/>
                    </w:rPr>
                    <w:t>סיום עבודת המנהל המסדיר</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ראתה המינהלה כי עבודתו של המנהל המסדיר באה אל סיומה, תבטל את מינויו.</w:t>
      </w:r>
    </w:p>
    <w:p w14:paraId="317269B1" w14:textId="77777777" w:rsidR="008232FE" w:rsidRDefault="008232FE">
      <w:pPr>
        <w:pStyle w:val="P00"/>
        <w:spacing w:before="72"/>
        <w:ind w:left="0" w:right="1134"/>
        <w:rPr>
          <w:rStyle w:val="default"/>
          <w:rFonts w:cs="FrankRuehl" w:hint="cs"/>
          <w:rtl/>
        </w:rPr>
      </w:pPr>
      <w:bookmarkStart w:id="5" w:name="Seif4"/>
      <w:bookmarkEnd w:id="5"/>
      <w:r>
        <w:rPr>
          <w:lang w:val="he-IL"/>
        </w:rPr>
        <w:pict w14:anchorId="0B8E8020">
          <v:rect id="_x0000_s1107" style="position:absolute;left:0;text-align:left;margin-left:464.5pt;margin-top:8.05pt;width:75.05pt;height:19pt;z-index:251659264" o:allowincell="f" filled="f" stroked="f" strokecolor="lime" strokeweight=".25pt">
            <v:textbox inset="0,0,0,0">
              <w:txbxContent>
                <w:p w14:paraId="66D8A00A" w14:textId="77777777" w:rsidR="008232FE" w:rsidRDefault="008232FE">
                  <w:pPr>
                    <w:spacing w:line="160" w:lineRule="exact"/>
                    <w:jc w:val="left"/>
                    <w:rPr>
                      <w:rFonts w:cs="Miriam" w:hint="cs"/>
                      <w:noProof/>
                      <w:szCs w:val="18"/>
                      <w:rtl/>
                    </w:rPr>
                  </w:pPr>
                  <w:r>
                    <w:rPr>
                      <w:rFonts w:cs="Miriam" w:hint="cs"/>
                      <w:szCs w:val="18"/>
                      <w:rtl/>
                    </w:rPr>
                    <w:t>תחולת התקנות על מפרק מסדיר</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תקנות אלה יחולו גם על מפרק מסדיר בשינויים המחויבים.</w:t>
      </w:r>
    </w:p>
    <w:p w14:paraId="0D4D83B8" w14:textId="77777777" w:rsidR="008232FE" w:rsidRDefault="008232FE">
      <w:pPr>
        <w:pStyle w:val="P00"/>
        <w:spacing w:before="72"/>
        <w:ind w:left="0" w:right="1134"/>
        <w:rPr>
          <w:rFonts w:hint="cs"/>
          <w:rtl/>
        </w:rPr>
      </w:pPr>
    </w:p>
    <w:p w14:paraId="71C2EA34" w14:textId="77777777" w:rsidR="008232FE" w:rsidRDefault="008232FE">
      <w:pPr>
        <w:pStyle w:val="P00"/>
        <w:spacing w:before="72"/>
        <w:ind w:left="0" w:right="1134"/>
        <w:rPr>
          <w:rFonts w:hint="cs"/>
          <w:rtl/>
        </w:rPr>
      </w:pPr>
    </w:p>
    <w:p w14:paraId="5D9FCE37" w14:textId="77777777" w:rsidR="008232FE" w:rsidRDefault="008232FE">
      <w:pPr>
        <w:pStyle w:val="P00"/>
        <w:spacing w:before="72"/>
        <w:ind w:left="0" w:right="1134"/>
        <w:rPr>
          <w:rFonts w:hint="cs"/>
          <w:rtl/>
        </w:rPr>
      </w:pPr>
      <w:r>
        <w:rPr>
          <w:rFonts w:hint="cs"/>
          <w:rtl/>
        </w:rPr>
        <w:lastRenderedPageBreak/>
        <w:t>כ' בסיון התשס"ה (27 ביוני 2005)</w:t>
      </w:r>
    </w:p>
    <w:p w14:paraId="56B70199" w14:textId="77777777" w:rsidR="008232FE" w:rsidRDefault="008232FE">
      <w:pPr>
        <w:pStyle w:val="sig-0"/>
        <w:tabs>
          <w:tab w:val="clear" w:pos="4820"/>
          <w:tab w:val="center" w:pos="5670"/>
        </w:tabs>
        <w:ind w:left="0" w:right="1134"/>
        <w:rPr>
          <w:rtl/>
        </w:rPr>
      </w:pPr>
      <w:r>
        <w:rPr>
          <w:rFonts w:hint="cs"/>
          <w:rtl/>
        </w:rPr>
        <w:tab/>
        <w:t>ציפי לבני</w:t>
      </w:r>
    </w:p>
    <w:p w14:paraId="45C540D2" w14:textId="77777777" w:rsidR="008232FE" w:rsidRDefault="008232FE">
      <w:pPr>
        <w:pStyle w:val="sig-1"/>
        <w:widowControl/>
        <w:tabs>
          <w:tab w:val="clear" w:pos="851"/>
          <w:tab w:val="clear" w:pos="2835"/>
          <w:tab w:val="clear" w:pos="4820"/>
          <w:tab w:val="center" w:pos="5670"/>
        </w:tabs>
        <w:ind w:left="0" w:right="1134"/>
        <w:rPr>
          <w:rtl/>
        </w:rPr>
      </w:pPr>
      <w:r>
        <w:rPr>
          <w:rFonts w:hint="cs"/>
          <w:rtl/>
        </w:rPr>
        <w:tab/>
        <w:t>שרת המשפטים</w:t>
      </w:r>
    </w:p>
    <w:p w14:paraId="3B5483E4" w14:textId="77777777" w:rsidR="008232FE" w:rsidRDefault="008232FE">
      <w:pPr>
        <w:pStyle w:val="sig-1"/>
        <w:widowControl/>
        <w:ind w:left="0" w:right="1134"/>
        <w:rPr>
          <w:rtl/>
        </w:rPr>
      </w:pPr>
    </w:p>
    <w:sectPr w:rsidR="008232FE">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E4BB" w14:textId="77777777" w:rsidR="008F79F5" w:rsidRDefault="008F79F5">
      <w:r>
        <w:separator/>
      </w:r>
    </w:p>
  </w:endnote>
  <w:endnote w:type="continuationSeparator" w:id="0">
    <w:p w14:paraId="0EF72E90" w14:textId="77777777" w:rsidR="008F79F5" w:rsidRDefault="008F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BBBD" w14:textId="77777777" w:rsidR="008232FE" w:rsidRDefault="008232F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D5935DF" w14:textId="77777777" w:rsidR="008232FE" w:rsidRDefault="008232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74A1A6" w14:textId="77777777" w:rsidR="008232FE" w:rsidRDefault="008232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M:\-000000-law\0-yael\05-07-12a\999_447.doc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ACC38" w14:textId="77777777" w:rsidR="008232FE" w:rsidRDefault="008232F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1499F">
      <w:rPr>
        <w:rFonts w:hAnsi="FrankRuehl"/>
        <w:noProof/>
        <w:sz w:val="24"/>
        <w:szCs w:val="24"/>
        <w:rtl/>
      </w:rPr>
      <w:t>2</w:t>
    </w:r>
    <w:r>
      <w:rPr>
        <w:rFonts w:hAnsi="FrankRuehl"/>
        <w:sz w:val="24"/>
        <w:szCs w:val="24"/>
        <w:rtl/>
      </w:rPr>
      <w:fldChar w:fldCharType="end"/>
    </w:r>
  </w:p>
  <w:p w14:paraId="79D937DD" w14:textId="77777777" w:rsidR="008232FE" w:rsidRDefault="008232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4109FB" w14:textId="77777777" w:rsidR="008232FE" w:rsidRDefault="008232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M:\-000000-law\0-yael\05-07-12a\999_447.doc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01B8" w14:textId="77777777" w:rsidR="008F79F5" w:rsidRDefault="008F79F5">
      <w:r>
        <w:separator/>
      </w:r>
    </w:p>
  </w:footnote>
  <w:footnote w:type="continuationSeparator" w:id="0">
    <w:p w14:paraId="79368488" w14:textId="77777777" w:rsidR="008F79F5" w:rsidRDefault="008F79F5">
      <w:r>
        <w:continuationSeparator/>
      </w:r>
    </w:p>
  </w:footnote>
  <w:footnote w:id="1">
    <w:p w14:paraId="77AE8911" w14:textId="77777777" w:rsidR="008232FE" w:rsidRDefault="008232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6395</w:t>
        </w:r>
      </w:hyperlink>
      <w:r>
        <w:rPr>
          <w:rFonts w:hint="cs"/>
          <w:sz w:val="20"/>
          <w:rtl/>
        </w:rPr>
        <w:t xml:space="preserve"> מיום 30.6.2005 עמ' 768.</w:t>
      </w:r>
    </w:p>
    <w:p w14:paraId="7DCD435D" w14:textId="77777777" w:rsidR="008232FE" w:rsidRDefault="008232FE">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4EDB" w14:textId="77777777" w:rsidR="008232FE" w:rsidRDefault="008232F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0FCDF5F0" w14:textId="77777777" w:rsidR="008232FE" w:rsidRDefault="008232F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B60AB83" w14:textId="77777777" w:rsidR="008232FE" w:rsidRDefault="008232F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0393" w14:textId="77777777" w:rsidR="008232FE" w:rsidRDefault="008232FE">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(כשירות והעברה מתפקיד של מנהל מסדיר ומפרק מסדיר)</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63B2C597" w14:textId="77777777" w:rsidR="008232FE" w:rsidRDefault="008232F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C530B9E" w14:textId="77777777" w:rsidR="008232FE" w:rsidRDefault="008232F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2FE"/>
    <w:rsid w:val="000546C1"/>
    <w:rsid w:val="007E59B8"/>
    <w:rsid w:val="0081499F"/>
    <w:rsid w:val="008232FE"/>
    <w:rsid w:val="008F79F5"/>
    <w:rsid w:val="00C259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875C3C0"/>
  <w15:chartTrackingRefBased/>
  <w15:docId w15:val="{F0A9DF6D-3CEB-4BF3-9A12-3ABCBE69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2671</CharactersWithSpaces>
  <SharedDoc>false</SharedDoc>
  <HLinks>
    <vt:vector size="42" baseType="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7733262</vt:i4>
      </vt:variant>
      <vt:variant>
        <vt:i4>0</vt:i4>
      </vt:variant>
      <vt:variant>
        <vt:i4>0</vt:i4>
      </vt:variant>
      <vt:variant>
        <vt:i4>5</vt:i4>
      </vt:variant>
      <vt:variant>
        <vt:lpwstr>http://www.nevo.co.il/Law_word/law06/tak-6395.pdf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(כשירות והעברה מתפקיד של מנהל מסדיר ומפרק מסדיר), תשס"ה-2005</vt:lpwstr>
  </property>
  <property fmtid="{D5CDD505-2E9C-101B-9397-08002B2CF9AE}" pid="5" name="LAWNUMBER">
    <vt:lpwstr>0447</vt:lpwstr>
  </property>
  <property fmtid="{D5CDD505-2E9C-101B-9397-08002B2CF9AE}" pid="6" name="TYPE">
    <vt:lpwstr>01</vt:lpwstr>
  </property>
  <property fmtid="{D5CDD505-2E9C-101B-9397-08002B2CF9AE}" pid="7" name="LINKK1">
    <vt:lpwstr>http://www.nevo.co.il/Law_word/law06/tak-6395.pdf;רשומות – תקנות כלליות#פורסמו ק"ת תשס"ה מס' 6395#מיום 30.6.2005#עמ' 768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יישום תכנית ההתנתקות</vt:lpwstr>
  </property>
  <property fmtid="{D5CDD505-2E9C-101B-9397-08002B2CF9AE}" pid="23" name="MEKOR_SAIF1">
    <vt:lpwstr>93XאX;93XבX;116XגX</vt:lpwstr>
  </property>
  <property fmtid="{D5CDD505-2E9C-101B-9397-08002B2CF9AE}" pid="24" name="NOSE11">
    <vt:lpwstr>בטחון</vt:lpwstr>
  </property>
  <property fmtid="{D5CDD505-2E9C-101B-9397-08002B2CF9AE}" pid="25" name="NOSE21">
    <vt:lpwstr>תכנית ההתנתקות</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