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509" w:rsidRDefault="00FD2509">
      <w:pPr>
        <w:pStyle w:val="big-header"/>
        <w:ind w:left="0" w:right="1134"/>
        <w:rPr>
          <w:rFonts w:hint="cs"/>
          <w:rtl/>
        </w:rPr>
      </w:pPr>
      <w:r>
        <w:rPr>
          <w:rFonts w:hint="cs"/>
          <w:rtl/>
        </w:rPr>
        <w:t>תקנות יישום תכנית ההתנתקות (נכסים פטורים מעיקול), תשס"ה-2005</w:t>
      </w:r>
    </w:p>
    <w:p w:rsidR="00163214" w:rsidRDefault="00163214" w:rsidP="00163214">
      <w:pPr>
        <w:spacing w:line="320" w:lineRule="auto"/>
        <w:jc w:val="left"/>
        <w:rPr>
          <w:rFonts w:hint="cs"/>
          <w:rtl/>
        </w:rPr>
      </w:pPr>
    </w:p>
    <w:p w:rsidR="00245B7B" w:rsidRDefault="00245B7B" w:rsidP="00163214">
      <w:pPr>
        <w:spacing w:line="320" w:lineRule="auto"/>
        <w:jc w:val="left"/>
        <w:rPr>
          <w:rFonts w:hint="cs"/>
          <w:rtl/>
        </w:rPr>
      </w:pPr>
    </w:p>
    <w:p w:rsidR="00163214" w:rsidRPr="00163214" w:rsidRDefault="00163214" w:rsidP="00163214">
      <w:pPr>
        <w:spacing w:line="320" w:lineRule="auto"/>
        <w:jc w:val="left"/>
        <w:rPr>
          <w:rFonts w:cs="Miriam"/>
          <w:szCs w:val="22"/>
          <w:rtl/>
        </w:rPr>
      </w:pPr>
      <w:r w:rsidRPr="00163214">
        <w:rPr>
          <w:rFonts w:cs="Miriam"/>
          <w:szCs w:val="22"/>
          <w:rtl/>
        </w:rPr>
        <w:t>בטחון</w:t>
      </w:r>
      <w:r w:rsidRPr="00163214">
        <w:rPr>
          <w:rFonts w:cs="FrankRuehl"/>
          <w:szCs w:val="26"/>
          <w:rtl/>
        </w:rPr>
        <w:t xml:space="preserve"> – תכנית ההתנתקות – פיצוי, תשלום ומענק</w:t>
      </w:r>
    </w:p>
    <w:p w:rsidR="00FD2509" w:rsidRDefault="00FD2509">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C55E2">
              <w:rPr>
                <w:noProof/>
                <w:sz w:val="24"/>
                <w:rtl/>
              </w:rPr>
              <w:t>2</w:t>
            </w:r>
            <w:r>
              <w:rPr>
                <w:sz w:val="24"/>
                <w:rtl/>
              </w:rPr>
              <w:fldChar w:fldCharType="end"/>
            </w:r>
          </w:p>
        </w:tc>
        <w:tc>
          <w:tcPr>
            <w:tcW w:w="567" w:type="dxa"/>
          </w:tcPr>
          <w:p w:rsidR="00FD2509" w:rsidRDefault="00FD2509">
            <w:pPr>
              <w:spacing w:line="240" w:lineRule="auto"/>
              <w:jc w:val="left"/>
              <w:rPr>
                <w:rFonts w:hint="cs"/>
                <w:sz w:val="24"/>
              </w:rPr>
            </w:pPr>
            <w:hyperlink w:anchor="Seif0" w:tooltip="הגדרות" w:history="1">
              <w:r>
                <w:rPr>
                  <w:rStyle w:val="Hyperlink"/>
                </w:rPr>
                <w:t>Go</w:t>
              </w:r>
            </w:hyperlink>
          </w:p>
        </w:tc>
        <w:tc>
          <w:tcPr>
            <w:tcW w:w="5669" w:type="dxa"/>
          </w:tcPr>
          <w:p w:rsidR="00FD2509" w:rsidRDefault="00FD2509">
            <w:pPr>
              <w:spacing w:line="240" w:lineRule="auto"/>
              <w:jc w:val="left"/>
              <w:rPr>
                <w:sz w:val="24"/>
                <w:rtl/>
              </w:rPr>
            </w:pPr>
            <w:r>
              <w:rPr>
                <w:sz w:val="24"/>
                <w:rtl/>
              </w:rPr>
              <w:t>הגדרות</w:t>
            </w:r>
          </w:p>
        </w:tc>
        <w:tc>
          <w:tcPr>
            <w:tcW w:w="1247" w:type="dxa"/>
          </w:tcPr>
          <w:p w:rsidR="00FD2509" w:rsidRDefault="00FD2509">
            <w:pPr>
              <w:spacing w:line="240" w:lineRule="auto"/>
              <w:jc w:val="left"/>
              <w:rPr>
                <w:rFonts w:hint="cs"/>
                <w:sz w:val="24"/>
              </w:rPr>
            </w:pPr>
            <w:r>
              <w:rPr>
                <w:sz w:val="24"/>
                <w:rtl/>
              </w:rPr>
              <w:t xml:space="preserve">סעיף 1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C55E2">
              <w:rPr>
                <w:noProof/>
                <w:sz w:val="24"/>
                <w:rtl/>
              </w:rPr>
              <w:t>2</w:t>
            </w:r>
            <w:r>
              <w:rPr>
                <w:sz w:val="24"/>
                <w:rtl/>
              </w:rPr>
              <w:fldChar w:fldCharType="end"/>
            </w:r>
          </w:p>
        </w:tc>
        <w:tc>
          <w:tcPr>
            <w:tcW w:w="567" w:type="dxa"/>
          </w:tcPr>
          <w:p w:rsidR="00FD2509" w:rsidRDefault="00FD2509">
            <w:pPr>
              <w:spacing w:line="240" w:lineRule="auto"/>
              <w:jc w:val="left"/>
              <w:rPr>
                <w:rFonts w:hint="cs"/>
                <w:sz w:val="24"/>
              </w:rPr>
            </w:pPr>
            <w:hyperlink w:anchor="Seif1" w:tooltip="הגנה על הסכומים המוגנים" w:history="1">
              <w:r>
                <w:rPr>
                  <w:rStyle w:val="Hyperlink"/>
                </w:rPr>
                <w:t>Go</w:t>
              </w:r>
            </w:hyperlink>
          </w:p>
        </w:tc>
        <w:tc>
          <w:tcPr>
            <w:tcW w:w="5669" w:type="dxa"/>
          </w:tcPr>
          <w:p w:rsidR="00FD2509" w:rsidRDefault="00FD2509">
            <w:pPr>
              <w:spacing w:line="240" w:lineRule="auto"/>
              <w:jc w:val="left"/>
              <w:rPr>
                <w:sz w:val="24"/>
                <w:rtl/>
              </w:rPr>
            </w:pPr>
            <w:r>
              <w:rPr>
                <w:sz w:val="24"/>
                <w:rtl/>
              </w:rPr>
              <w:t>הגנה על הסכומים המוגנים</w:t>
            </w:r>
          </w:p>
        </w:tc>
        <w:tc>
          <w:tcPr>
            <w:tcW w:w="1247" w:type="dxa"/>
          </w:tcPr>
          <w:p w:rsidR="00FD2509" w:rsidRDefault="00FD2509">
            <w:pPr>
              <w:spacing w:line="240" w:lineRule="auto"/>
              <w:jc w:val="left"/>
              <w:rPr>
                <w:rFonts w:hint="cs"/>
                <w:sz w:val="24"/>
              </w:rPr>
            </w:pPr>
            <w:r>
              <w:rPr>
                <w:sz w:val="24"/>
                <w:rtl/>
              </w:rPr>
              <w:t xml:space="preserve">סעיף 2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C55E2">
              <w:rPr>
                <w:noProof/>
                <w:sz w:val="24"/>
                <w:rtl/>
              </w:rPr>
              <w:t>3</w:t>
            </w:r>
            <w:r>
              <w:rPr>
                <w:sz w:val="24"/>
                <w:rtl/>
              </w:rPr>
              <w:fldChar w:fldCharType="end"/>
            </w:r>
          </w:p>
        </w:tc>
        <w:tc>
          <w:tcPr>
            <w:tcW w:w="567" w:type="dxa"/>
          </w:tcPr>
          <w:p w:rsidR="00FD2509" w:rsidRDefault="00FD2509">
            <w:pPr>
              <w:spacing w:line="240" w:lineRule="auto"/>
              <w:jc w:val="left"/>
              <w:rPr>
                <w:rFonts w:hint="cs"/>
                <w:sz w:val="24"/>
              </w:rPr>
            </w:pPr>
            <w:hyperlink w:anchor="Seif2" w:tooltip="הגנה על גמול פרישה" w:history="1">
              <w:r>
                <w:rPr>
                  <w:rStyle w:val="Hyperlink"/>
                </w:rPr>
                <w:t>Go</w:t>
              </w:r>
            </w:hyperlink>
          </w:p>
        </w:tc>
        <w:tc>
          <w:tcPr>
            <w:tcW w:w="5669" w:type="dxa"/>
          </w:tcPr>
          <w:p w:rsidR="00FD2509" w:rsidRDefault="00FD2509">
            <w:pPr>
              <w:spacing w:line="240" w:lineRule="auto"/>
              <w:jc w:val="left"/>
              <w:rPr>
                <w:sz w:val="24"/>
                <w:rtl/>
              </w:rPr>
            </w:pPr>
            <w:r>
              <w:rPr>
                <w:sz w:val="24"/>
                <w:rtl/>
              </w:rPr>
              <w:t>הגנה על גמול פרישה</w:t>
            </w:r>
          </w:p>
        </w:tc>
        <w:tc>
          <w:tcPr>
            <w:tcW w:w="1247" w:type="dxa"/>
          </w:tcPr>
          <w:p w:rsidR="00FD2509" w:rsidRDefault="00FD2509">
            <w:pPr>
              <w:spacing w:line="240" w:lineRule="auto"/>
              <w:jc w:val="left"/>
              <w:rPr>
                <w:rFonts w:hint="cs"/>
                <w:sz w:val="24"/>
              </w:rPr>
            </w:pPr>
            <w:r>
              <w:rPr>
                <w:sz w:val="24"/>
                <w:rtl/>
              </w:rPr>
              <w:t xml:space="preserve">סעיף 3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C55E2">
              <w:rPr>
                <w:noProof/>
                <w:sz w:val="24"/>
                <w:rtl/>
              </w:rPr>
              <w:t>3</w:t>
            </w:r>
            <w:r>
              <w:rPr>
                <w:sz w:val="24"/>
                <w:rtl/>
              </w:rPr>
              <w:fldChar w:fldCharType="end"/>
            </w:r>
          </w:p>
        </w:tc>
        <w:tc>
          <w:tcPr>
            <w:tcW w:w="567" w:type="dxa"/>
          </w:tcPr>
          <w:p w:rsidR="00FD2509" w:rsidRDefault="00FD2509">
            <w:pPr>
              <w:spacing w:line="240" w:lineRule="auto"/>
              <w:jc w:val="left"/>
              <w:rPr>
                <w:rFonts w:hint="cs"/>
                <w:sz w:val="24"/>
              </w:rPr>
            </w:pPr>
            <w:hyperlink w:anchor="Seif3" w:tooltip="הגנת הפיצוי בשל בית מגורים" w:history="1">
              <w:r>
                <w:rPr>
                  <w:rStyle w:val="Hyperlink"/>
                </w:rPr>
                <w:t>Go</w:t>
              </w:r>
            </w:hyperlink>
          </w:p>
        </w:tc>
        <w:tc>
          <w:tcPr>
            <w:tcW w:w="5669" w:type="dxa"/>
          </w:tcPr>
          <w:p w:rsidR="00FD2509" w:rsidRDefault="00FD2509">
            <w:pPr>
              <w:spacing w:line="240" w:lineRule="auto"/>
              <w:jc w:val="left"/>
              <w:rPr>
                <w:sz w:val="24"/>
                <w:rtl/>
              </w:rPr>
            </w:pPr>
            <w:r>
              <w:rPr>
                <w:sz w:val="24"/>
                <w:rtl/>
              </w:rPr>
              <w:t>הגנת הפיצוי בשל בית מגורים</w:t>
            </w:r>
          </w:p>
        </w:tc>
        <w:tc>
          <w:tcPr>
            <w:tcW w:w="1247" w:type="dxa"/>
          </w:tcPr>
          <w:p w:rsidR="00FD2509" w:rsidRDefault="00FD2509">
            <w:pPr>
              <w:spacing w:line="240" w:lineRule="auto"/>
              <w:jc w:val="left"/>
              <w:rPr>
                <w:rFonts w:hint="cs"/>
                <w:sz w:val="24"/>
              </w:rPr>
            </w:pPr>
            <w:r>
              <w:rPr>
                <w:sz w:val="24"/>
                <w:rtl/>
              </w:rPr>
              <w:t xml:space="preserve">סעיף 4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C55E2">
              <w:rPr>
                <w:noProof/>
                <w:sz w:val="24"/>
                <w:rtl/>
              </w:rPr>
              <w:t>3</w:t>
            </w:r>
            <w:r>
              <w:rPr>
                <w:sz w:val="24"/>
                <w:rtl/>
              </w:rPr>
              <w:fldChar w:fldCharType="end"/>
            </w:r>
          </w:p>
        </w:tc>
        <w:tc>
          <w:tcPr>
            <w:tcW w:w="567" w:type="dxa"/>
          </w:tcPr>
          <w:p w:rsidR="00FD2509" w:rsidRDefault="00FD2509">
            <w:pPr>
              <w:spacing w:line="240" w:lineRule="auto"/>
              <w:jc w:val="left"/>
              <w:rPr>
                <w:rFonts w:hint="cs"/>
                <w:sz w:val="24"/>
              </w:rPr>
            </w:pPr>
            <w:hyperlink w:anchor="Seif5" w:tooltip="הגנה על כספים לצורך התארגנות ראשונית" w:history="1">
              <w:r>
                <w:rPr>
                  <w:rStyle w:val="Hyperlink"/>
                </w:rPr>
                <w:t>Go</w:t>
              </w:r>
            </w:hyperlink>
          </w:p>
        </w:tc>
        <w:tc>
          <w:tcPr>
            <w:tcW w:w="5669" w:type="dxa"/>
          </w:tcPr>
          <w:p w:rsidR="00FD2509" w:rsidRDefault="00FD2509">
            <w:pPr>
              <w:spacing w:line="240" w:lineRule="auto"/>
              <w:jc w:val="left"/>
              <w:rPr>
                <w:sz w:val="24"/>
                <w:rtl/>
              </w:rPr>
            </w:pPr>
            <w:r>
              <w:rPr>
                <w:sz w:val="24"/>
                <w:rtl/>
              </w:rPr>
              <w:t>הגנה על כספים לצורך התארגנות ראשונית</w:t>
            </w:r>
          </w:p>
        </w:tc>
        <w:tc>
          <w:tcPr>
            <w:tcW w:w="1247" w:type="dxa"/>
          </w:tcPr>
          <w:p w:rsidR="00FD2509" w:rsidRDefault="00FD2509">
            <w:pPr>
              <w:spacing w:line="240" w:lineRule="auto"/>
              <w:jc w:val="left"/>
              <w:rPr>
                <w:rFonts w:hint="cs"/>
                <w:sz w:val="24"/>
              </w:rPr>
            </w:pPr>
            <w:r>
              <w:rPr>
                <w:sz w:val="24"/>
                <w:rtl/>
              </w:rPr>
              <w:t xml:space="preserve">סעיף 4א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C55E2">
              <w:rPr>
                <w:noProof/>
                <w:sz w:val="24"/>
                <w:rtl/>
              </w:rPr>
              <w:t>4</w:t>
            </w:r>
            <w:r>
              <w:rPr>
                <w:sz w:val="24"/>
                <w:rtl/>
              </w:rPr>
              <w:fldChar w:fldCharType="end"/>
            </w:r>
          </w:p>
        </w:tc>
        <w:tc>
          <w:tcPr>
            <w:tcW w:w="567" w:type="dxa"/>
          </w:tcPr>
          <w:p w:rsidR="00FD2509" w:rsidRDefault="00FD2509">
            <w:pPr>
              <w:spacing w:line="240" w:lineRule="auto"/>
              <w:jc w:val="left"/>
              <w:rPr>
                <w:rFonts w:hint="cs"/>
                <w:sz w:val="24"/>
              </w:rPr>
            </w:pPr>
            <w:hyperlink w:anchor="Seif6" w:tooltip="תשלום באמצעות שיק" w:history="1">
              <w:r>
                <w:rPr>
                  <w:rStyle w:val="Hyperlink"/>
                </w:rPr>
                <w:t>Go</w:t>
              </w:r>
            </w:hyperlink>
          </w:p>
        </w:tc>
        <w:tc>
          <w:tcPr>
            <w:tcW w:w="5669" w:type="dxa"/>
          </w:tcPr>
          <w:p w:rsidR="00FD2509" w:rsidRDefault="00FD2509">
            <w:pPr>
              <w:spacing w:line="240" w:lineRule="auto"/>
              <w:jc w:val="left"/>
              <w:rPr>
                <w:sz w:val="24"/>
                <w:rtl/>
              </w:rPr>
            </w:pPr>
            <w:r>
              <w:rPr>
                <w:sz w:val="24"/>
                <w:rtl/>
              </w:rPr>
              <w:t>תשלום באמצעות שיק</w:t>
            </w:r>
          </w:p>
        </w:tc>
        <w:tc>
          <w:tcPr>
            <w:tcW w:w="1247" w:type="dxa"/>
          </w:tcPr>
          <w:p w:rsidR="00FD2509" w:rsidRDefault="00FD2509">
            <w:pPr>
              <w:spacing w:line="240" w:lineRule="auto"/>
              <w:jc w:val="left"/>
              <w:rPr>
                <w:rFonts w:hint="cs"/>
                <w:sz w:val="24"/>
              </w:rPr>
            </w:pPr>
            <w:r>
              <w:rPr>
                <w:sz w:val="24"/>
                <w:rtl/>
              </w:rPr>
              <w:t xml:space="preserve">סעיף 4ב </w:t>
            </w:r>
          </w:p>
        </w:tc>
      </w:tr>
      <w:tr w:rsidR="00FD2509">
        <w:tblPrEx>
          <w:tblCellMar>
            <w:top w:w="0" w:type="dxa"/>
            <w:bottom w:w="0" w:type="dxa"/>
          </w:tblCellMar>
        </w:tblPrEx>
        <w:trPr>
          <w:jc w:val="right"/>
        </w:trPr>
        <w:tc>
          <w:tcPr>
            <w:tcW w:w="850" w:type="dxa"/>
          </w:tcPr>
          <w:p w:rsidR="00FD2509" w:rsidRDefault="00FD2509">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C55E2">
              <w:rPr>
                <w:noProof/>
                <w:sz w:val="24"/>
                <w:rtl/>
              </w:rPr>
              <w:t>4</w:t>
            </w:r>
            <w:r>
              <w:rPr>
                <w:sz w:val="24"/>
                <w:rtl/>
              </w:rPr>
              <w:fldChar w:fldCharType="end"/>
            </w:r>
          </w:p>
        </w:tc>
        <w:tc>
          <w:tcPr>
            <w:tcW w:w="567" w:type="dxa"/>
          </w:tcPr>
          <w:p w:rsidR="00FD2509" w:rsidRDefault="00FD2509">
            <w:pPr>
              <w:spacing w:line="240" w:lineRule="auto"/>
              <w:jc w:val="left"/>
              <w:rPr>
                <w:rFonts w:hint="cs"/>
                <w:sz w:val="24"/>
              </w:rPr>
            </w:pPr>
            <w:hyperlink w:anchor="Seif4" w:tooltip="תחולה ותחילה" w:history="1">
              <w:r>
                <w:rPr>
                  <w:rStyle w:val="Hyperlink"/>
                </w:rPr>
                <w:t>Go</w:t>
              </w:r>
            </w:hyperlink>
          </w:p>
        </w:tc>
        <w:tc>
          <w:tcPr>
            <w:tcW w:w="5669" w:type="dxa"/>
          </w:tcPr>
          <w:p w:rsidR="00FD2509" w:rsidRDefault="00FD2509">
            <w:pPr>
              <w:spacing w:line="240" w:lineRule="auto"/>
              <w:jc w:val="left"/>
              <w:rPr>
                <w:sz w:val="24"/>
                <w:rtl/>
              </w:rPr>
            </w:pPr>
            <w:r>
              <w:rPr>
                <w:sz w:val="24"/>
                <w:rtl/>
              </w:rPr>
              <w:t>תחולה ותחילה</w:t>
            </w:r>
          </w:p>
        </w:tc>
        <w:tc>
          <w:tcPr>
            <w:tcW w:w="1247" w:type="dxa"/>
          </w:tcPr>
          <w:p w:rsidR="00FD2509" w:rsidRDefault="00FD2509">
            <w:pPr>
              <w:spacing w:line="240" w:lineRule="auto"/>
              <w:jc w:val="left"/>
              <w:rPr>
                <w:rFonts w:hint="cs"/>
                <w:sz w:val="24"/>
              </w:rPr>
            </w:pPr>
            <w:r>
              <w:rPr>
                <w:sz w:val="24"/>
                <w:rtl/>
              </w:rPr>
              <w:t xml:space="preserve">סעיף 5 </w:t>
            </w:r>
          </w:p>
        </w:tc>
      </w:tr>
    </w:tbl>
    <w:p w:rsidR="00FD2509" w:rsidRDefault="00FD2509">
      <w:pPr>
        <w:pStyle w:val="P00"/>
        <w:spacing w:before="72"/>
        <w:ind w:left="0" w:right="1134"/>
        <w:rPr>
          <w:rFonts w:hint="cs"/>
          <w:rtl/>
        </w:rPr>
      </w:pPr>
    </w:p>
    <w:p w:rsidR="00FD2509" w:rsidRDefault="00FD2509" w:rsidP="00163214">
      <w:pPr>
        <w:pStyle w:val="big-header"/>
        <w:ind w:left="0" w:right="1134"/>
        <w:rPr>
          <w:rStyle w:val="default"/>
          <w:rFonts w:cs="FrankRuehl"/>
          <w:rtl/>
        </w:rPr>
      </w:pPr>
      <w:r>
        <w:rPr>
          <w:rtl/>
        </w:rPr>
        <w:br w:type="page"/>
      </w:r>
      <w:r>
        <w:rPr>
          <w:rFonts w:hint="cs"/>
          <w:rtl/>
        </w:rPr>
        <w:lastRenderedPageBreak/>
        <w:t>תקנות יישום תכנית ההתנתקות (נכסים פטורים מעיקול), תשס"ה-2005</w:t>
      </w:r>
      <w:r>
        <w:rPr>
          <w:rStyle w:val="default"/>
          <w:sz w:val="22"/>
          <w:szCs w:val="22"/>
          <w:rtl/>
        </w:rPr>
        <w:footnoteReference w:customMarkFollows="1" w:id="1"/>
        <w:t>*</w:t>
      </w:r>
    </w:p>
    <w:p w:rsidR="00FD2509" w:rsidRDefault="00FD2509">
      <w:pPr>
        <w:pStyle w:val="P00"/>
        <w:spacing w:before="72"/>
        <w:ind w:left="0" w:right="1134"/>
        <w:rPr>
          <w:rStyle w:val="default"/>
          <w:rFonts w:cs="FrankRuehl" w:hint="cs"/>
          <w:rtl/>
        </w:rPr>
      </w:pPr>
      <w:r>
        <w:rPr>
          <w:rStyle w:val="default"/>
          <w:rFonts w:cs="FrankRuehl" w:hint="cs"/>
          <w:rtl/>
        </w:rPr>
        <w:tab/>
        <w:t xml:space="preserve">בתוקף סמכותי לפי סעיפים 103 ו-109(א) לחוק יישום תכנית ההתנתקות, התשס"ה-2005 (להלן </w:t>
      </w:r>
      <w:r>
        <w:rPr>
          <w:rStyle w:val="default"/>
          <w:rFonts w:cs="FrankRuehl"/>
          <w:rtl/>
        </w:rPr>
        <w:t>–</w:t>
      </w:r>
      <w:r>
        <w:rPr>
          <w:rStyle w:val="default"/>
          <w:rFonts w:cs="FrankRuehl" w:hint="cs"/>
          <w:rtl/>
        </w:rPr>
        <w:t xml:space="preserve"> החוק), ובהסכמת שר האוצר, אני מתקינה תקנות אלה:</w:t>
      </w:r>
    </w:p>
    <w:p w:rsidR="00FD2509" w:rsidRDefault="00FD250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7.6pt;z-index:251652608" o:allowincell="f" filled="f" stroked="f" strokecolor="lime" strokeweight=".25pt">
            <v:textbox inset="0,0,0,0">
              <w:txbxContent>
                <w:p w:rsidR="00FD2509" w:rsidRDefault="00FD250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FD2509" w:rsidRDefault="00FD2509">
      <w:pPr>
        <w:pStyle w:val="P00"/>
        <w:spacing w:before="72"/>
        <w:ind w:left="0" w:right="1134"/>
        <w:rPr>
          <w:rStyle w:val="default"/>
          <w:rFonts w:cs="FrankRuehl" w:hint="cs"/>
          <w:rtl/>
        </w:rPr>
      </w:pPr>
      <w:r>
        <w:rPr>
          <w:rStyle w:val="default"/>
          <w:rFonts w:cs="FrankRuehl" w:hint="cs"/>
          <w:rtl/>
        </w:rPr>
        <w:tab/>
        <w:t xml:space="preserve">"גמול פרישה", "דמי הסתגלות" </w:t>
      </w:r>
      <w:r>
        <w:rPr>
          <w:rStyle w:val="default"/>
          <w:rFonts w:cs="FrankRuehl"/>
          <w:rtl/>
        </w:rPr>
        <w:t>–</w:t>
      </w:r>
      <w:r>
        <w:rPr>
          <w:rStyle w:val="default"/>
          <w:rFonts w:cs="FrankRuehl" w:hint="cs"/>
          <w:rtl/>
        </w:rPr>
        <w:t xml:space="preserve"> כמשמעותם בסימן ג' לפרק ה' בחוק;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"הלוואה" </w:t>
      </w:r>
      <w:r>
        <w:rPr>
          <w:rStyle w:val="default"/>
          <w:rFonts w:cs="FrankRuehl"/>
          <w:rtl/>
        </w:rPr>
        <w:t>–</w:t>
      </w:r>
      <w:r>
        <w:rPr>
          <w:rStyle w:val="default"/>
          <w:rFonts w:cs="FrankRuehl" w:hint="cs"/>
          <w:rtl/>
        </w:rPr>
        <w:t xml:space="preserve"> הלוואה עומדת להתיישבות בנגב, בגליל ובאשקלון כמשמעותה בסעיף 47 לחוק;</w:t>
      </w:r>
    </w:p>
    <w:p w:rsidR="00FD2509" w:rsidRDefault="00D74D5A">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133" type="#_x0000_t202" style="position:absolute;left:0;text-align:left;margin-left:470.25pt;margin-top:7.1pt;width:1in;height:11.2pt;z-index:251661824" filled="f" stroked="f">
            <v:textbox inset="1mm,0,1mm,0">
              <w:txbxContent>
                <w:p w:rsidR="00D74D5A" w:rsidRDefault="00D74D5A" w:rsidP="00D74D5A">
                  <w:pPr>
                    <w:spacing w:line="160" w:lineRule="exact"/>
                    <w:jc w:val="left"/>
                    <w:rPr>
                      <w:rFonts w:cs="Miriam" w:hint="cs"/>
                      <w:noProof/>
                      <w:szCs w:val="18"/>
                      <w:rtl/>
                    </w:rPr>
                  </w:pPr>
                  <w:r>
                    <w:rPr>
                      <w:rFonts w:cs="Miriam" w:hint="cs"/>
                      <w:szCs w:val="18"/>
                      <w:rtl/>
                    </w:rPr>
                    <w:t>תק' תשע"ג-2012</w:t>
                  </w:r>
                </w:p>
              </w:txbxContent>
            </v:textbox>
          </v:shape>
        </w:pict>
      </w:r>
      <w:r w:rsidR="00FD2509">
        <w:rPr>
          <w:rStyle w:val="default"/>
          <w:rFonts w:cs="FrankRuehl" w:hint="cs"/>
          <w:rtl/>
        </w:rPr>
        <w:tab/>
        <w:t xml:space="preserve">"הסכומים המוגנים" </w:t>
      </w:r>
      <w:r w:rsidR="00FD2509">
        <w:rPr>
          <w:rStyle w:val="default"/>
          <w:rFonts w:cs="FrankRuehl"/>
          <w:rtl/>
        </w:rPr>
        <w:t>–</w:t>
      </w:r>
      <w:r w:rsidR="00FD2509">
        <w:rPr>
          <w:rStyle w:val="default"/>
          <w:rFonts w:cs="FrankRuehl" w:hint="cs"/>
          <w:rtl/>
        </w:rPr>
        <w:t xml:space="preserve"> סכומי כסף המגיעים לזכאי על פי החוק בשל מענק אישי בשל ותק ובלבד שלא יעלו על מחצית מסכום המענק האישי האמור, דמי הסתגלות, מענק לדמי שכירות, מענק הוצאות הובלה והתארגנות,</w:t>
      </w:r>
      <w:r>
        <w:rPr>
          <w:rStyle w:val="default"/>
          <w:rFonts w:cs="FrankRuehl" w:hint="cs"/>
          <w:rtl/>
        </w:rPr>
        <w:t xml:space="preserve"> </w:t>
      </w:r>
      <w:r w:rsidRPr="00D74D5A">
        <w:rPr>
          <w:rStyle w:val="default"/>
          <w:rFonts w:cs="FrankRuehl" w:hint="cs"/>
          <w:rtl/>
        </w:rPr>
        <w:t>מענק בשל הוצאות בקשר עם תכולת בית המגורים,</w:t>
      </w:r>
      <w:r w:rsidR="00FD2509">
        <w:rPr>
          <w:rStyle w:val="default"/>
          <w:rFonts w:cs="FrankRuehl" w:hint="cs"/>
          <w:rtl/>
        </w:rPr>
        <w:t xml:space="preserve"> הלוואה או שיפוי בשל מס רכישה;</w:t>
      </w:r>
    </w:p>
    <w:p w:rsidR="00245B7B" w:rsidRPr="00067E59" w:rsidRDefault="00245B7B" w:rsidP="00245B7B">
      <w:pPr>
        <w:pStyle w:val="P00"/>
        <w:spacing w:before="0"/>
        <w:ind w:left="0" w:right="1134"/>
        <w:rPr>
          <w:rStyle w:val="default"/>
          <w:rFonts w:cs="FrankRuehl" w:hint="cs"/>
          <w:vanish/>
          <w:color w:val="FF0000"/>
          <w:szCs w:val="20"/>
          <w:shd w:val="clear" w:color="auto" w:fill="FFFF99"/>
          <w:rtl/>
        </w:rPr>
      </w:pPr>
      <w:bookmarkStart w:id="1" w:name="Rov14"/>
      <w:r w:rsidRPr="00067E59">
        <w:rPr>
          <w:rStyle w:val="default"/>
          <w:rFonts w:cs="FrankRuehl" w:hint="cs"/>
          <w:vanish/>
          <w:color w:val="FF0000"/>
          <w:szCs w:val="20"/>
          <w:shd w:val="clear" w:color="auto" w:fill="FFFF99"/>
          <w:rtl/>
        </w:rPr>
        <w:t>מיום 13.11.2012</w:t>
      </w:r>
    </w:p>
    <w:p w:rsidR="00245B7B" w:rsidRPr="00067E59" w:rsidRDefault="00245B7B" w:rsidP="00245B7B">
      <w:pPr>
        <w:pStyle w:val="P00"/>
        <w:spacing w:before="0"/>
        <w:ind w:left="0" w:right="1134"/>
        <w:rPr>
          <w:rStyle w:val="default"/>
          <w:rFonts w:cs="FrankRuehl" w:hint="cs"/>
          <w:vanish/>
          <w:szCs w:val="20"/>
          <w:shd w:val="clear" w:color="auto" w:fill="FFFF99"/>
          <w:rtl/>
        </w:rPr>
      </w:pPr>
      <w:r w:rsidRPr="00067E59">
        <w:rPr>
          <w:rStyle w:val="default"/>
          <w:rFonts w:cs="FrankRuehl" w:hint="cs"/>
          <w:b/>
          <w:bCs/>
          <w:vanish/>
          <w:szCs w:val="20"/>
          <w:shd w:val="clear" w:color="auto" w:fill="FFFF99"/>
          <w:rtl/>
        </w:rPr>
        <w:t>תק' תשע"ג-2012</w:t>
      </w:r>
    </w:p>
    <w:p w:rsidR="00245B7B" w:rsidRPr="00067E59" w:rsidRDefault="00245B7B" w:rsidP="00245B7B">
      <w:pPr>
        <w:pStyle w:val="P00"/>
        <w:spacing w:before="0"/>
        <w:ind w:left="0" w:right="1134"/>
        <w:rPr>
          <w:rStyle w:val="default"/>
          <w:rFonts w:cs="FrankRuehl" w:hint="cs"/>
          <w:vanish/>
          <w:szCs w:val="20"/>
          <w:shd w:val="clear" w:color="auto" w:fill="FFFF99"/>
          <w:rtl/>
        </w:rPr>
      </w:pPr>
      <w:hyperlink r:id="rId6" w:history="1">
        <w:r w:rsidRPr="00067E59">
          <w:rPr>
            <w:rStyle w:val="Hyperlink"/>
            <w:rFonts w:hint="cs"/>
            <w:vanish/>
            <w:szCs w:val="20"/>
            <w:shd w:val="clear" w:color="auto" w:fill="FFFF99"/>
            <w:rtl/>
          </w:rPr>
          <w:t>ק"ת תשע"ג מס' 7179</w:t>
        </w:r>
      </w:hyperlink>
      <w:r w:rsidRPr="00067E59">
        <w:rPr>
          <w:rStyle w:val="default"/>
          <w:rFonts w:cs="FrankRuehl" w:hint="cs"/>
          <w:vanish/>
          <w:szCs w:val="20"/>
          <w:shd w:val="clear" w:color="auto" w:fill="FFFF99"/>
          <w:rtl/>
        </w:rPr>
        <w:t xml:space="preserve"> מיום 13.11.2012 עמ' 166</w:t>
      </w:r>
    </w:p>
    <w:p w:rsidR="00245B7B" w:rsidRPr="00067E59" w:rsidRDefault="00245B7B" w:rsidP="00067E59">
      <w:pPr>
        <w:pStyle w:val="P00"/>
        <w:ind w:left="0" w:right="1134"/>
        <w:rPr>
          <w:rStyle w:val="default"/>
          <w:rFonts w:cs="FrankRuehl" w:hint="cs"/>
          <w:sz w:val="2"/>
          <w:szCs w:val="2"/>
          <w:rtl/>
        </w:rPr>
      </w:pPr>
      <w:r w:rsidRPr="00067E59">
        <w:rPr>
          <w:rStyle w:val="default"/>
          <w:rFonts w:cs="FrankRuehl" w:hint="cs"/>
          <w:vanish/>
          <w:sz w:val="22"/>
          <w:szCs w:val="22"/>
          <w:shd w:val="clear" w:color="auto" w:fill="FFFF99"/>
          <w:rtl/>
        </w:rPr>
        <w:tab/>
        <w:t xml:space="preserve">"הסכומים המוגנים"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סכומי כסף המגיעים לזכאי על פי החוק בשל מענק אישי בשל ותק ובלבד שלא יעלו על מחצית מסכום המענק האישי האמור, דמי הסתגלות, מענק לדמי שכירות, מענק הוצאות הובלה והתארגנות,</w:t>
      </w:r>
      <w:r w:rsidR="00D74D5A" w:rsidRPr="00067E59">
        <w:rPr>
          <w:rStyle w:val="default"/>
          <w:rFonts w:cs="FrankRuehl" w:hint="cs"/>
          <w:vanish/>
          <w:sz w:val="22"/>
          <w:szCs w:val="22"/>
          <w:shd w:val="clear" w:color="auto" w:fill="FFFF99"/>
          <w:rtl/>
        </w:rPr>
        <w:t xml:space="preserve"> </w:t>
      </w:r>
      <w:r w:rsidR="00D74D5A" w:rsidRPr="00067E59">
        <w:rPr>
          <w:rStyle w:val="default"/>
          <w:rFonts w:cs="FrankRuehl" w:hint="cs"/>
          <w:vanish/>
          <w:sz w:val="22"/>
          <w:szCs w:val="22"/>
          <w:u w:val="single"/>
          <w:shd w:val="clear" w:color="auto" w:fill="FFFF99"/>
          <w:rtl/>
        </w:rPr>
        <w:t>מענק בשל הוצאות בקשר עם תכולת בית המגורים,</w:t>
      </w:r>
      <w:r w:rsidRPr="00067E59">
        <w:rPr>
          <w:rStyle w:val="default"/>
          <w:rFonts w:cs="FrankRuehl" w:hint="cs"/>
          <w:vanish/>
          <w:sz w:val="22"/>
          <w:szCs w:val="22"/>
          <w:shd w:val="clear" w:color="auto" w:fill="FFFF99"/>
          <w:rtl/>
        </w:rPr>
        <w:t xml:space="preserve"> הלוואה או שיפוי בשל מס רכישה;</w:t>
      </w:r>
      <w:bookmarkEnd w:id="1"/>
    </w:p>
    <w:p w:rsidR="00FD2509" w:rsidRDefault="00FD2509">
      <w:pPr>
        <w:pStyle w:val="P00"/>
        <w:spacing w:before="72"/>
        <w:ind w:left="0" w:right="1134"/>
        <w:rPr>
          <w:rStyle w:val="default"/>
          <w:rFonts w:cs="FrankRuehl" w:hint="cs"/>
          <w:rtl/>
        </w:rPr>
      </w:pPr>
      <w:r>
        <w:rPr>
          <w:rStyle w:val="default"/>
          <w:rFonts w:cs="FrankRuehl" w:hint="cs"/>
          <w:rtl/>
        </w:rPr>
        <w:tab/>
        <w:t xml:space="preserve">"חשבון בנק" </w:t>
      </w:r>
      <w:r>
        <w:rPr>
          <w:rStyle w:val="default"/>
          <w:rFonts w:cs="FrankRuehl"/>
          <w:rtl/>
        </w:rPr>
        <w:t>–</w:t>
      </w:r>
      <w:r>
        <w:rPr>
          <w:rStyle w:val="default"/>
          <w:rFonts w:cs="FrankRuehl" w:hint="cs"/>
          <w:rtl/>
        </w:rPr>
        <w:t xml:space="preserve"> כמשמעותו בסעיף 89 לחוק;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"חשבון מיוחד" </w:t>
      </w:r>
      <w:r>
        <w:rPr>
          <w:rStyle w:val="default"/>
          <w:rFonts w:cs="FrankRuehl"/>
          <w:rtl/>
        </w:rPr>
        <w:t>–</w:t>
      </w:r>
      <w:r>
        <w:rPr>
          <w:rStyle w:val="default"/>
          <w:rFonts w:cs="FrankRuehl" w:hint="cs"/>
          <w:rtl/>
        </w:rPr>
        <w:t xml:space="preserve"> כמשמעותו בסעיף 91 לחוק;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"מענק אישי בשל ותק" </w:t>
      </w:r>
      <w:r>
        <w:rPr>
          <w:rStyle w:val="default"/>
          <w:rFonts w:cs="FrankRuehl"/>
          <w:rtl/>
        </w:rPr>
        <w:t>–</w:t>
      </w:r>
      <w:r>
        <w:rPr>
          <w:rStyle w:val="default"/>
          <w:rFonts w:cs="FrankRuehl" w:hint="cs"/>
          <w:rtl/>
        </w:rPr>
        <w:t xml:space="preserve"> כמשמעותו בסעיף 46 לחוק;</w:t>
      </w:r>
    </w:p>
    <w:p w:rsidR="00D74D5A" w:rsidRDefault="00D74D5A" w:rsidP="00D74D5A">
      <w:pPr>
        <w:pStyle w:val="P00"/>
        <w:spacing w:before="72"/>
        <w:ind w:left="0" w:right="1134"/>
        <w:rPr>
          <w:rStyle w:val="default"/>
          <w:rFonts w:cs="FrankRuehl" w:hint="cs"/>
          <w:rtl/>
        </w:rPr>
      </w:pPr>
      <w:r>
        <w:rPr>
          <w:rFonts w:hint="cs"/>
          <w:rtl/>
          <w:lang w:eastAsia="en-US"/>
        </w:rPr>
        <w:pict>
          <v:shape id="_x0000_s1134" type="#_x0000_t202" style="position:absolute;left:0;text-align:left;margin-left:470.25pt;margin-top:7.1pt;width:1in;height:11.2pt;z-index:251662848" filled="f" stroked="f">
            <v:textbox inset="1mm,0,1mm,0">
              <w:txbxContent>
                <w:p w:rsidR="00D74D5A" w:rsidRDefault="00D74D5A" w:rsidP="00D74D5A">
                  <w:pPr>
                    <w:spacing w:line="160" w:lineRule="exact"/>
                    <w:jc w:val="left"/>
                    <w:rPr>
                      <w:rFonts w:cs="Miriam" w:hint="cs"/>
                      <w:noProof/>
                      <w:szCs w:val="18"/>
                      <w:rtl/>
                    </w:rPr>
                  </w:pPr>
                  <w:r>
                    <w:rPr>
                      <w:rFonts w:cs="Miriam" w:hint="cs"/>
                      <w:szCs w:val="18"/>
                      <w:rtl/>
                    </w:rPr>
                    <w:t>תק' תשע"ג-2012</w:t>
                  </w:r>
                </w:p>
              </w:txbxContent>
            </v:textbox>
          </v:shape>
        </w:pict>
      </w:r>
      <w:r>
        <w:rPr>
          <w:rStyle w:val="default"/>
          <w:rFonts w:cs="FrankRuehl" w:hint="cs"/>
          <w:rtl/>
        </w:rPr>
        <w:tab/>
        <w:t xml:space="preserve">"מענק בשל הוצאות בקשר עם תכולת בית המגורים" </w:t>
      </w:r>
      <w:r>
        <w:rPr>
          <w:rStyle w:val="default"/>
          <w:rFonts w:cs="FrankRuehl"/>
          <w:rtl/>
        </w:rPr>
        <w:t>–</w:t>
      </w:r>
      <w:r>
        <w:rPr>
          <w:rStyle w:val="default"/>
          <w:rFonts w:cs="FrankRuehl" w:hint="cs"/>
          <w:rtl/>
        </w:rPr>
        <w:t xml:space="preserve"> כמשמעותו בסעיף 44א לחוק;</w:t>
      </w:r>
    </w:p>
    <w:p w:rsidR="00D74D5A" w:rsidRPr="00067E59" w:rsidRDefault="00D74D5A" w:rsidP="00D74D5A">
      <w:pPr>
        <w:pStyle w:val="P00"/>
        <w:spacing w:before="0"/>
        <w:ind w:left="0" w:right="1134"/>
        <w:rPr>
          <w:rStyle w:val="default"/>
          <w:rFonts w:cs="FrankRuehl" w:hint="cs"/>
          <w:vanish/>
          <w:color w:val="FF0000"/>
          <w:szCs w:val="20"/>
          <w:shd w:val="clear" w:color="auto" w:fill="FFFF99"/>
          <w:rtl/>
        </w:rPr>
      </w:pPr>
      <w:bookmarkStart w:id="2" w:name="Rov13"/>
      <w:r w:rsidRPr="00067E59">
        <w:rPr>
          <w:rStyle w:val="default"/>
          <w:rFonts w:cs="FrankRuehl" w:hint="cs"/>
          <w:vanish/>
          <w:color w:val="FF0000"/>
          <w:szCs w:val="20"/>
          <w:shd w:val="clear" w:color="auto" w:fill="FFFF99"/>
          <w:rtl/>
        </w:rPr>
        <w:t>מיום 13.11.2012</w:t>
      </w:r>
    </w:p>
    <w:p w:rsidR="00D74D5A" w:rsidRPr="00067E59" w:rsidRDefault="00D74D5A" w:rsidP="00D74D5A">
      <w:pPr>
        <w:pStyle w:val="P00"/>
        <w:spacing w:before="0"/>
        <w:ind w:left="0" w:right="1134"/>
        <w:rPr>
          <w:rStyle w:val="default"/>
          <w:rFonts w:cs="FrankRuehl" w:hint="cs"/>
          <w:vanish/>
          <w:szCs w:val="20"/>
          <w:shd w:val="clear" w:color="auto" w:fill="FFFF99"/>
          <w:rtl/>
        </w:rPr>
      </w:pPr>
      <w:r w:rsidRPr="00067E59">
        <w:rPr>
          <w:rStyle w:val="default"/>
          <w:rFonts w:cs="FrankRuehl" w:hint="cs"/>
          <w:b/>
          <w:bCs/>
          <w:vanish/>
          <w:szCs w:val="20"/>
          <w:shd w:val="clear" w:color="auto" w:fill="FFFF99"/>
          <w:rtl/>
        </w:rPr>
        <w:t>תק' תשע"ג-2012</w:t>
      </w:r>
    </w:p>
    <w:p w:rsidR="00D74D5A" w:rsidRPr="00067E59" w:rsidRDefault="00D74D5A" w:rsidP="00D74D5A">
      <w:pPr>
        <w:pStyle w:val="P00"/>
        <w:spacing w:before="0"/>
        <w:ind w:left="0" w:right="1134"/>
        <w:rPr>
          <w:rStyle w:val="default"/>
          <w:rFonts w:cs="FrankRuehl" w:hint="cs"/>
          <w:vanish/>
          <w:szCs w:val="20"/>
          <w:shd w:val="clear" w:color="auto" w:fill="FFFF99"/>
          <w:rtl/>
        </w:rPr>
      </w:pPr>
      <w:hyperlink r:id="rId7" w:history="1">
        <w:r w:rsidRPr="00067E59">
          <w:rPr>
            <w:rStyle w:val="Hyperlink"/>
            <w:rFonts w:hint="cs"/>
            <w:vanish/>
            <w:szCs w:val="20"/>
            <w:shd w:val="clear" w:color="auto" w:fill="FFFF99"/>
            <w:rtl/>
          </w:rPr>
          <w:t>ק"ת תשע"ג מס' 7179</w:t>
        </w:r>
      </w:hyperlink>
      <w:r w:rsidRPr="00067E59">
        <w:rPr>
          <w:rStyle w:val="default"/>
          <w:rFonts w:cs="FrankRuehl" w:hint="cs"/>
          <w:vanish/>
          <w:szCs w:val="20"/>
          <w:shd w:val="clear" w:color="auto" w:fill="FFFF99"/>
          <w:rtl/>
        </w:rPr>
        <w:t xml:space="preserve"> מיום 13.11.2012 עמ' 166</w:t>
      </w:r>
    </w:p>
    <w:p w:rsidR="00D74D5A" w:rsidRPr="00067E59" w:rsidRDefault="00D74D5A" w:rsidP="00067E59">
      <w:pPr>
        <w:pStyle w:val="P00"/>
        <w:spacing w:before="0"/>
        <w:ind w:left="0" w:right="1134"/>
        <w:rPr>
          <w:rStyle w:val="default"/>
          <w:rFonts w:cs="FrankRuehl" w:hint="cs"/>
          <w:sz w:val="2"/>
          <w:szCs w:val="2"/>
          <w:rtl/>
        </w:rPr>
      </w:pPr>
      <w:r w:rsidRPr="00067E59">
        <w:rPr>
          <w:rStyle w:val="default"/>
          <w:rFonts w:cs="FrankRuehl" w:hint="cs"/>
          <w:b/>
          <w:bCs/>
          <w:vanish/>
          <w:szCs w:val="20"/>
          <w:shd w:val="clear" w:color="auto" w:fill="FFFF99"/>
          <w:rtl/>
        </w:rPr>
        <w:t>הוספת הגדרת "מענק בשל הוצאות בקשר עם תכולת בית המגורים"</w:t>
      </w:r>
      <w:bookmarkEnd w:id="2"/>
    </w:p>
    <w:p w:rsidR="00FD2509" w:rsidRDefault="00FD2509">
      <w:pPr>
        <w:pStyle w:val="P00"/>
        <w:spacing w:before="72"/>
        <w:ind w:left="0" w:right="1134"/>
        <w:rPr>
          <w:rStyle w:val="default"/>
          <w:rFonts w:cs="FrankRuehl" w:hint="cs"/>
          <w:rtl/>
        </w:rPr>
      </w:pPr>
      <w:r>
        <w:rPr>
          <w:rStyle w:val="default"/>
          <w:rFonts w:cs="FrankRuehl" w:hint="cs"/>
          <w:rtl/>
        </w:rPr>
        <w:tab/>
        <w:t xml:space="preserve">"מענק הוצאות הובלה והתארגנות" </w:t>
      </w:r>
      <w:r>
        <w:rPr>
          <w:rStyle w:val="default"/>
          <w:rFonts w:cs="FrankRuehl"/>
          <w:rtl/>
        </w:rPr>
        <w:t>–</w:t>
      </w:r>
      <w:r>
        <w:rPr>
          <w:rStyle w:val="default"/>
          <w:rFonts w:cs="FrankRuehl" w:hint="cs"/>
          <w:rtl/>
        </w:rPr>
        <w:t xml:space="preserve"> כמשמעותו בסעיף 44 לחוק;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"מענק לדמי שכירות" </w:t>
      </w:r>
      <w:r>
        <w:rPr>
          <w:rStyle w:val="default"/>
          <w:rFonts w:cs="FrankRuehl"/>
          <w:rtl/>
        </w:rPr>
        <w:t>–</w:t>
      </w:r>
      <w:r>
        <w:rPr>
          <w:rStyle w:val="default"/>
          <w:rFonts w:cs="FrankRuehl" w:hint="cs"/>
          <w:rtl/>
        </w:rPr>
        <w:t xml:space="preserve"> כמשמעותו בסעיף 45 לחוק;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"פיצוי בשל בית מגורים" </w:t>
      </w:r>
      <w:r>
        <w:rPr>
          <w:rStyle w:val="default"/>
          <w:rFonts w:cs="FrankRuehl"/>
          <w:rtl/>
        </w:rPr>
        <w:t>–</w:t>
      </w:r>
      <w:r>
        <w:rPr>
          <w:rStyle w:val="default"/>
          <w:rFonts w:cs="FrankRuehl" w:hint="cs"/>
          <w:rtl/>
        </w:rPr>
        <w:t xml:space="preserve"> כמשמעותו בסימן א' לפרק ה' בחוק;</w:t>
      </w:r>
    </w:p>
    <w:p w:rsidR="00FD2509" w:rsidRDefault="00FD2509">
      <w:pPr>
        <w:pStyle w:val="P00"/>
        <w:spacing w:before="72"/>
        <w:ind w:left="0" w:right="1134"/>
        <w:rPr>
          <w:rStyle w:val="default"/>
          <w:rFonts w:cs="FrankRuehl" w:hint="cs"/>
          <w:rtl/>
        </w:rPr>
      </w:pPr>
      <w:r>
        <w:rPr>
          <w:rStyle w:val="default"/>
          <w:rFonts w:cs="FrankRuehl" w:hint="cs"/>
          <w:rtl/>
        </w:rPr>
        <w:tab/>
        <w:t xml:space="preserve">"שיפוי בשל מס רכישה" </w:t>
      </w:r>
      <w:r>
        <w:rPr>
          <w:rStyle w:val="default"/>
          <w:rFonts w:cs="FrankRuehl"/>
          <w:rtl/>
        </w:rPr>
        <w:t>–</w:t>
      </w:r>
      <w:r>
        <w:rPr>
          <w:rStyle w:val="default"/>
          <w:rFonts w:cs="FrankRuehl" w:hint="cs"/>
          <w:rtl/>
        </w:rPr>
        <w:t xml:space="preserve"> כמשמעותו בסעיף 48 לחוק.</w:t>
      </w:r>
    </w:p>
    <w:p w:rsidR="00FD2509" w:rsidRDefault="00FD2509">
      <w:pPr>
        <w:pStyle w:val="P00"/>
        <w:spacing w:before="72"/>
        <w:ind w:left="0" w:right="1134"/>
        <w:rPr>
          <w:rStyle w:val="default"/>
          <w:rFonts w:cs="FrankRuehl" w:hint="cs"/>
          <w:rtl/>
        </w:rPr>
      </w:pPr>
      <w:bookmarkStart w:id="3" w:name="Seif1"/>
      <w:bookmarkEnd w:id="3"/>
      <w:r>
        <w:rPr>
          <w:lang w:val="he-IL"/>
        </w:rPr>
        <w:pict>
          <v:rect id="_x0000_s1120" style="position:absolute;left:0;text-align:left;margin-left:464.5pt;margin-top:8.05pt;width:75.05pt;height:23.45pt;z-index:251653632" o:allowincell="f" filled="f" stroked="f" strokecolor="lime" strokeweight=".25pt">
            <v:textbox inset="0,0,0,0">
              <w:txbxContent>
                <w:p w:rsidR="00FD2509" w:rsidRDefault="00FD2509">
                  <w:pPr>
                    <w:spacing w:line="160" w:lineRule="exact"/>
                    <w:jc w:val="left"/>
                    <w:rPr>
                      <w:rFonts w:cs="Miriam" w:hint="cs"/>
                      <w:szCs w:val="18"/>
                      <w:rtl/>
                    </w:rPr>
                  </w:pPr>
                  <w:r>
                    <w:rPr>
                      <w:rFonts w:cs="Miriam" w:hint="cs"/>
                      <w:szCs w:val="18"/>
                      <w:rtl/>
                    </w:rPr>
                    <w:t>הגנה על הסכומים המוגנים</w:t>
                  </w:r>
                </w:p>
                <w:p w:rsidR="00FD2509" w:rsidRDefault="00FD2509">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זכאי רשאי להורות למינהלה להעביר את הסכומים המוגנים, כולם או חלקם, לחשבון בנק שהוא פתח לצורך הפקדת הסכומים האמורים או הסכומים לפי תקנה 4(ג) או 4א בלבד (להלן </w:t>
      </w:r>
      <w:r>
        <w:rPr>
          <w:rStyle w:val="default"/>
          <w:rFonts w:cs="FrankRuehl"/>
          <w:rtl/>
        </w:rPr>
        <w:t>–</w:t>
      </w:r>
      <w:r>
        <w:rPr>
          <w:rStyle w:val="default"/>
          <w:rFonts w:cs="FrankRuehl" w:hint="cs"/>
          <w:rtl/>
        </w:rPr>
        <w:t xml:space="preserve"> החשבון המוגן), ואשר יהיה נפרד מחשבון הבנק שבו יופקדו שאר כספי הפיצויים (להלן </w:t>
      </w:r>
      <w:r>
        <w:rPr>
          <w:rStyle w:val="default"/>
          <w:rFonts w:cs="FrankRuehl"/>
          <w:rtl/>
        </w:rPr>
        <w:t>–</w:t>
      </w:r>
      <w:r>
        <w:rPr>
          <w:rStyle w:val="default"/>
          <w:rFonts w:cs="FrankRuehl" w:hint="cs"/>
          <w:rtl/>
        </w:rPr>
        <w:t xml:space="preserve"> חשבון הפיצויים).</w:t>
      </w:r>
    </w:p>
    <w:p w:rsidR="00FD2509" w:rsidRDefault="00FD2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החשבון המוגן לא יהיה ניתן לעיקול אלא לשם תשלום מזונות המגיעים מהזכאי לפי פסק דין של בית משפט או של בית דין מוסמך (להלן </w:t>
      </w:r>
      <w:r>
        <w:rPr>
          <w:rStyle w:val="default"/>
          <w:rFonts w:cs="FrankRuehl"/>
          <w:rtl/>
        </w:rPr>
        <w:t>–</w:t>
      </w:r>
      <w:r>
        <w:rPr>
          <w:rStyle w:val="default"/>
          <w:rFonts w:cs="FrankRuehl" w:hint="cs"/>
          <w:rtl/>
        </w:rPr>
        <w:t xml:space="preserve"> תשלום מזונות).</w:t>
      </w:r>
    </w:p>
    <w:p w:rsidR="00FD2509" w:rsidRDefault="00FD2509">
      <w:pPr>
        <w:pStyle w:val="P00"/>
        <w:spacing w:before="72"/>
        <w:ind w:left="0" w:right="1134"/>
        <w:rPr>
          <w:rStyle w:val="default"/>
          <w:rFonts w:cs="FrankRuehl" w:hint="cs"/>
          <w:rtl/>
        </w:rPr>
      </w:pPr>
      <w:r>
        <w:rPr>
          <w:rtl/>
          <w:lang w:val="he-IL"/>
        </w:rPr>
        <w:pict>
          <v:shape id="_x0000_s1127" type="#_x0000_t202" style="position:absolute;left:0;text-align:left;margin-left:470.25pt;margin-top:7.1pt;width:1in;height:8.7pt;z-index:251657728" filled="f" stroked="f">
            <v:textbox style="mso-next-textbox:#_x0000_s1127" inset="1mm,0,1mm,0">
              <w:txbxContent>
                <w:p w:rsidR="00FD2509" w:rsidRDefault="00FD2509">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(ג)</w:t>
      </w:r>
      <w:r>
        <w:rPr>
          <w:rStyle w:val="default"/>
          <w:rFonts w:cs="FrankRuehl" w:hint="cs"/>
          <w:rtl/>
        </w:rPr>
        <w:tab/>
        <w:t>בחשבון המוגן לא יופרדו סכומי כסף אחרים מלבד הסכומים אשר המינהלה תעביר, לבקשת הזכאי, כאמור בתקנת משנה (א), בתקנה 4(ג) או 4א, לפי הענין, ישירות לחשבון המוגן, בין בעצמה ובין באמצעות גורם מעביר, כאמור בתקנת משנה (ה).</w:t>
      </w:r>
    </w:p>
    <w:p w:rsidR="00FD2509" w:rsidRDefault="00FD25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סכום השיפוי בשל מס רכישה יהיה מוגן מפני עיקול בשל חובות הזכאי בדרך של תשלום ישיר של הסכום על ידי המינהלה לרשות המסים, אם החליטה המינהלה על תשלום ישיר כאמור, וזאת על אף האמור בתקנת משנה (א).</w:t>
      </w:r>
    </w:p>
    <w:p w:rsidR="00FD2509" w:rsidRDefault="00FD250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סכום ההלוואה יחולו בנוסף הוראות אלה:</w:t>
      </w:r>
    </w:p>
    <w:p w:rsidR="00FD2509" w:rsidRDefault="00FD25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בכפוף להנחיות של משרד הבינוי והשיכון ומשרד האוצר רשאית המינהלה להעביר את סכום ההלוואה לגורם אחר אשר יהיה אחראי להעברת הכספים לזכאי (להלן </w:t>
      </w:r>
      <w:r>
        <w:rPr>
          <w:rStyle w:val="default"/>
          <w:rFonts w:cs="FrankRuehl"/>
          <w:rtl/>
        </w:rPr>
        <w:t>–</w:t>
      </w:r>
      <w:r>
        <w:rPr>
          <w:rStyle w:val="default"/>
          <w:rFonts w:cs="FrankRuehl" w:hint="cs"/>
          <w:rtl/>
        </w:rPr>
        <w:t xml:space="preserve"> גורם מעביר); תקנת משנה (א) תחול בשינויים המחויבים גם על העברת סכום ההלוואה על ידי הגורם המעביר; זכותו של הזכאי לקבלת ההלוואה מהגורם המעביר אינה ניתנת לעיקול;</w:t>
      </w:r>
    </w:p>
    <w:p w:rsidR="00FD2509" w:rsidRDefault="00FD25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סכום ההלוואה יהיה מוגן מפני עיקול בשל חובות הזכאי בדרך של תשלום ישיר </w:t>
      </w:r>
      <w:r>
        <w:rPr>
          <w:rStyle w:val="default"/>
          <w:rFonts w:cs="FrankRuehl" w:hint="cs"/>
          <w:rtl/>
        </w:rPr>
        <w:lastRenderedPageBreak/>
        <w:t>של הסכום על ידי המינהלה או על ידי הגורם המעביר, לפי הענין, ישירות למוכר קרקע או בית מגורים כאמור בסעיף 47 לחוק, אם החליטו המינהלה או הגורם המעביר, לפי הענין, בכפוף להנחיות של משרד השיכון והבינוי ושל משרד האוצר בענין זה, על תשלום ישיר כאמור, וזאת על אף האמור בתקנת משנה (א).</w:t>
      </w:r>
    </w:p>
    <w:p w:rsidR="00FD2509" w:rsidRDefault="00FD2509">
      <w:pPr>
        <w:pStyle w:val="P00"/>
        <w:spacing w:before="72"/>
        <w:ind w:left="0" w:right="1134"/>
        <w:rPr>
          <w:rStyle w:val="default"/>
          <w:rFonts w:cs="FrankRuehl" w:hint="cs"/>
          <w:rtl/>
        </w:rPr>
      </w:pPr>
      <w:r>
        <w:rPr>
          <w:rtl/>
          <w:lang w:val="he-IL"/>
        </w:rPr>
        <w:pict>
          <v:shape id="_x0000_s1128" type="#_x0000_t202" style="position:absolute;left:0;text-align:left;margin-left:470.25pt;margin-top:7.1pt;width:1in;height:11.2pt;z-index:251658752" filled="f" stroked="f">
            <v:textbox inset="1mm,0,1mm,0">
              <w:txbxContent>
                <w:p w:rsidR="00FD2509" w:rsidRDefault="00FD2509">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(ו)</w:t>
      </w:r>
      <w:r>
        <w:rPr>
          <w:rStyle w:val="default"/>
          <w:rFonts w:cs="FrankRuehl" w:hint="cs"/>
          <w:rtl/>
        </w:rPr>
        <w:tab/>
        <w:t>(בוטלה).</w:t>
      </w:r>
    </w:p>
    <w:p w:rsidR="00EC55E2" w:rsidRPr="00067E59" w:rsidRDefault="00EC55E2" w:rsidP="00EC55E2">
      <w:pPr>
        <w:pStyle w:val="P00"/>
        <w:spacing w:before="0"/>
        <w:ind w:left="0" w:right="1134"/>
        <w:rPr>
          <w:rStyle w:val="default"/>
          <w:rFonts w:cs="FrankRuehl" w:hint="cs"/>
          <w:vanish/>
          <w:color w:val="FF0000"/>
          <w:szCs w:val="20"/>
          <w:shd w:val="clear" w:color="auto" w:fill="FFFF99"/>
          <w:rtl/>
        </w:rPr>
      </w:pPr>
      <w:bookmarkStart w:id="4" w:name="Rov8"/>
      <w:r w:rsidRPr="00067E59">
        <w:rPr>
          <w:rStyle w:val="default"/>
          <w:rFonts w:cs="FrankRuehl" w:hint="cs"/>
          <w:vanish/>
          <w:color w:val="FF0000"/>
          <w:szCs w:val="20"/>
          <w:shd w:val="clear" w:color="auto" w:fill="FFFF99"/>
          <w:rtl/>
        </w:rPr>
        <w:t>מיום 11.8.2005</w:t>
      </w:r>
    </w:p>
    <w:p w:rsidR="00EC55E2" w:rsidRPr="00067E59" w:rsidRDefault="00EC55E2" w:rsidP="00EC55E2">
      <w:pPr>
        <w:pStyle w:val="P00"/>
        <w:spacing w:before="0"/>
        <w:ind w:left="0" w:right="1134"/>
        <w:rPr>
          <w:rStyle w:val="default"/>
          <w:rFonts w:cs="FrankRuehl" w:hint="cs"/>
          <w:b/>
          <w:bCs/>
          <w:vanish/>
          <w:szCs w:val="20"/>
          <w:shd w:val="clear" w:color="auto" w:fill="FFFF99"/>
          <w:rtl/>
        </w:rPr>
      </w:pPr>
      <w:r w:rsidRPr="00067E59">
        <w:rPr>
          <w:rStyle w:val="default"/>
          <w:rFonts w:cs="FrankRuehl" w:hint="cs"/>
          <w:b/>
          <w:bCs/>
          <w:vanish/>
          <w:szCs w:val="20"/>
          <w:shd w:val="clear" w:color="auto" w:fill="FFFF99"/>
          <w:rtl/>
        </w:rPr>
        <w:t>תק' תשס"ה-2005</w:t>
      </w:r>
    </w:p>
    <w:p w:rsidR="00EC55E2" w:rsidRPr="00067E59" w:rsidRDefault="00EC55E2" w:rsidP="00EC55E2">
      <w:pPr>
        <w:pStyle w:val="P00"/>
        <w:spacing w:before="0"/>
        <w:ind w:left="0" w:right="1134"/>
        <w:rPr>
          <w:rStyle w:val="default"/>
          <w:rFonts w:cs="FrankRuehl" w:hint="cs"/>
          <w:vanish/>
          <w:szCs w:val="20"/>
          <w:shd w:val="clear" w:color="auto" w:fill="FFFF99"/>
          <w:rtl/>
        </w:rPr>
      </w:pPr>
      <w:hyperlink r:id="rId8" w:history="1">
        <w:r w:rsidRPr="00067E59">
          <w:rPr>
            <w:rStyle w:val="Hyperlink"/>
            <w:rFonts w:hint="cs"/>
            <w:vanish/>
            <w:szCs w:val="20"/>
            <w:shd w:val="clear" w:color="auto" w:fill="FFFF99"/>
            <w:rtl/>
          </w:rPr>
          <w:t>ק"ת תשס"ה מס' 6412</w:t>
        </w:r>
      </w:hyperlink>
      <w:r w:rsidRPr="00067E59">
        <w:rPr>
          <w:rStyle w:val="default"/>
          <w:rFonts w:cs="FrankRuehl" w:hint="cs"/>
          <w:vanish/>
          <w:szCs w:val="20"/>
          <w:shd w:val="clear" w:color="auto" w:fill="FFFF99"/>
          <w:rtl/>
        </w:rPr>
        <w:t xml:space="preserve"> מיום 11.8.2005 עמ' 886</w:t>
      </w:r>
    </w:p>
    <w:p w:rsidR="00EC55E2" w:rsidRPr="00067E59" w:rsidRDefault="00EC55E2" w:rsidP="00EC55E2">
      <w:pPr>
        <w:pStyle w:val="P00"/>
        <w:ind w:left="0" w:right="1134"/>
        <w:rPr>
          <w:rStyle w:val="default"/>
          <w:rFonts w:cs="FrankRuehl" w:hint="cs"/>
          <w:vanish/>
          <w:sz w:val="22"/>
          <w:szCs w:val="22"/>
          <w:shd w:val="clear" w:color="auto" w:fill="FFFF99"/>
          <w:rtl/>
        </w:rPr>
      </w:pPr>
      <w:r w:rsidRPr="00067E59">
        <w:rPr>
          <w:rStyle w:val="big-number"/>
          <w:rFonts w:cs="FrankRuehl" w:hint="cs"/>
          <w:vanish/>
          <w:sz w:val="22"/>
          <w:szCs w:val="22"/>
          <w:shd w:val="clear" w:color="auto" w:fill="FFFF99"/>
          <w:rtl/>
        </w:rPr>
        <w:t>2.</w:t>
      </w:r>
      <w:r w:rsidRPr="00067E59">
        <w:rPr>
          <w:rStyle w:val="big-number"/>
          <w:rFonts w:cs="FrankRuehl"/>
          <w:vanish/>
          <w:sz w:val="22"/>
          <w:szCs w:val="22"/>
          <w:shd w:val="clear" w:color="auto" w:fill="FFFF99"/>
          <w:rtl/>
        </w:rPr>
        <w:tab/>
      </w:r>
      <w:r w:rsidRPr="00067E59">
        <w:rPr>
          <w:rStyle w:val="default"/>
          <w:rFonts w:cs="FrankRuehl" w:hint="cs"/>
          <w:vanish/>
          <w:sz w:val="22"/>
          <w:szCs w:val="22"/>
          <w:shd w:val="clear" w:color="auto" w:fill="FFFF99"/>
          <w:rtl/>
        </w:rPr>
        <w:t>(א)</w:t>
      </w:r>
      <w:r w:rsidRPr="00067E59">
        <w:rPr>
          <w:rStyle w:val="default"/>
          <w:rFonts w:cs="FrankRuehl" w:hint="cs"/>
          <w:vanish/>
          <w:sz w:val="22"/>
          <w:szCs w:val="22"/>
          <w:shd w:val="clear" w:color="auto" w:fill="FFFF99"/>
          <w:rtl/>
        </w:rPr>
        <w:tab/>
        <w:t xml:space="preserve">זכאי רשאי להורות למינהלה להעביר את הסכומים המוגנים, כולם או חלקם, לחשבון בנק שהוא פתח לצורך הפקדת הסכומים האמורים </w:t>
      </w:r>
      <w:r w:rsidRPr="00067E59">
        <w:rPr>
          <w:rStyle w:val="default"/>
          <w:rFonts w:cs="FrankRuehl" w:hint="cs"/>
          <w:vanish/>
          <w:sz w:val="22"/>
          <w:szCs w:val="22"/>
          <w:u w:val="single"/>
          <w:shd w:val="clear" w:color="auto" w:fill="FFFF99"/>
          <w:rtl/>
        </w:rPr>
        <w:t>או הסכומים לפי תקנה 4(ג) או 4א</w:t>
      </w:r>
      <w:r w:rsidRPr="00067E59">
        <w:rPr>
          <w:rStyle w:val="default"/>
          <w:rFonts w:cs="FrankRuehl" w:hint="cs"/>
          <w:vanish/>
          <w:sz w:val="22"/>
          <w:szCs w:val="22"/>
          <w:shd w:val="clear" w:color="auto" w:fill="FFFF99"/>
          <w:rtl/>
        </w:rPr>
        <w:t xml:space="preserve"> בלבד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החשבון המוגן), ואשר יהיה נפרד מחשבון הבנק שבו יופקדו שאר כספי הפיצויים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חשבון הפיצויים).</w:t>
      </w:r>
    </w:p>
    <w:p w:rsidR="00EC55E2" w:rsidRPr="00067E59" w:rsidRDefault="00EC55E2" w:rsidP="00EC55E2">
      <w:pPr>
        <w:pStyle w:val="P00"/>
        <w:spacing w:before="0"/>
        <w:ind w:left="0"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ab/>
        <w:t>(ב)</w:t>
      </w:r>
      <w:r w:rsidRPr="00067E59">
        <w:rPr>
          <w:rStyle w:val="default"/>
          <w:rFonts w:cs="FrankRuehl" w:hint="cs"/>
          <w:vanish/>
          <w:sz w:val="22"/>
          <w:szCs w:val="22"/>
          <w:shd w:val="clear" w:color="auto" w:fill="FFFF99"/>
          <w:rtl/>
        </w:rPr>
        <w:tab/>
        <w:t xml:space="preserve">החשבון המוגן לא יהיה ניתן לעיקול אלא לשם תשלום מזונות המגיעים מהזכאי לפי פסק דין של בית משפט או של בית דין מוסמך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תשלום מזונות).</w:t>
      </w:r>
    </w:p>
    <w:p w:rsidR="00EC55E2" w:rsidRPr="00067E59" w:rsidRDefault="00EC55E2" w:rsidP="00EC55E2">
      <w:pPr>
        <w:pStyle w:val="P00"/>
        <w:spacing w:before="0"/>
        <w:ind w:left="0"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ab/>
        <w:t>(ג)</w:t>
      </w:r>
      <w:r w:rsidRPr="00067E59">
        <w:rPr>
          <w:rStyle w:val="default"/>
          <w:rFonts w:cs="FrankRuehl" w:hint="cs"/>
          <w:vanish/>
          <w:sz w:val="22"/>
          <w:szCs w:val="22"/>
          <w:shd w:val="clear" w:color="auto" w:fill="FFFF99"/>
          <w:rtl/>
        </w:rPr>
        <w:tab/>
        <w:t xml:space="preserve">בחשבון המוגן לא יופרדו סכומי כסף אחרים מלבד הסכומים </w:t>
      </w:r>
      <w:r w:rsidRPr="00067E59">
        <w:rPr>
          <w:rStyle w:val="default"/>
          <w:rFonts w:cs="FrankRuehl" w:hint="cs"/>
          <w:strike/>
          <w:vanish/>
          <w:sz w:val="22"/>
          <w:szCs w:val="22"/>
          <w:shd w:val="clear" w:color="auto" w:fill="FFFF99"/>
          <w:rtl/>
        </w:rPr>
        <w:t>המוגנים ופיצוי המגורים כמשמעותו בתקנה 4(א),</w:t>
      </w:r>
      <w:r w:rsidRPr="00067E59">
        <w:rPr>
          <w:rStyle w:val="default"/>
          <w:rFonts w:cs="FrankRuehl" w:hint="cs"/>
          <w:vanish/>
          <w:sz w:val="22"/>
          <w:szCs w:val="22"/>
          <w:shd w:val="clear" w:color="auto" w:fill="FFFF99"/>
          <w:rtl/>
        </w:rPr>
        <w:t xml:space="preserve"> אשר המינהלה תעביר, לבקשת הזכאי, כאמור בתקנת משנה (א)</w:t>
      </w:r>
      <w:r w:rsidRPr="00067E59">
        <w:rPr>
          <w:rStyle w:val="default"/>
          <w:rFonts w:cs="FrankRuehl" w:hint="cs"/>
          <w:vanish/>
          <w:sz w:val="22"/>
          <w:szCs w:val="22"/>
          <w:u w:val="single"/>
          <w:shd w:val="clear" w:color="auto" w:fill="FFFF99"/>
          <w:rtl/>
        </w:rPr>
        <w:t>, בתקנה 4(ג) או 4א,</w:t>
      </w:r>
      <w:r w:rsidRPr="00067E59">
        <w:rPr>
          <w:rStyle w:val="default"/>
          <w:rFonts w:cs="FrankRuehl" w:hint="cs"/>
          <w:vanish/>
          <w:sz w:val="22"/>
          <w:szCs w:val="22"/>
          <w:shd w:val="clear" w:color="auto" w:fill="FFFF99"/>
          <w:rtl/>
        </w:rPr>
        <w:t xml:space="preserve"> </w:t>
      </w:r>
      <w:r w:rsidRPr="00067E59">
        <w:rPr>
          <w:rStyle w:val="default"/>
          <w:rFonts w:cs="FrankRuehl" w:hint="cs"/>
          <w:strike/>
          <w:vanish/>
          <w:sz w:val="22"/>
          <w:szCs w:val="22"/>
          <w:shd w:val="clear" w:color="auto" w:fill="FFFF99"/>
          <w:rtl/>
        </w:rPr>
        <w:t>או בתקנה 4(ג),</w:t>
      </w:r>
      <w:r w:rsidRPr="00067E59">
        <w:rPr>
          <w:rStyle w:val="default"/>
          <w:rFonts w:cs="FrankRuehl" w:hint="cs"/>
          <w:vanish/>
          <w:sz w:val="22"/>
          <w:szCs w:val="22"/>
          <w:shd w:val="clear" w:color="auto" w:fill="FFFF99"/>
          <w:rtl/>
        </w:rPr>
        <w:t xml:space="preserve"> לפי הענין, ישירות לחשבון המוגן, בין בעצמה ובין באמצעות גורם מעביר, כאמור בתקנת משנה (ה).</w:t>
      </w:r>
    </w:p>
    <w:p w:rsidR="00EC55E2" w:rsidRPr="00067E59" w:rsidRDefault="00EC55E2" w:rsidP="00EC55E2">
      <w:pPr>
        <w:pStyle w:val="P00"/>
        <w:spacing w:before="0"/>
        <w:ind w:left="0"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ab/>
        <w:t>(ד)</w:t>
      </w:r>
      <w:r w:rsidRPr="00067E59">
        <w:rPr>
          <w:rStyle w:val="default"/>
          <w:rFonts w:cs="FrankRuehl" w:hint="cs"/>
          <w:vanish/>
          <w:sz w:val="22"/>
          <w:szCs w:val="22"/>
          <w:shd w:val="clear" w:color="auto" w:fill="FFFF99"/>
          <w:rtl/>
        </w:rPr>
        <w:tab/>
        <w:t>סכום השיפוי בשל מס רכישה יהיה מוגן מפני עיקול בשל חובות הזכאי בדרך של תשלום ישיר של הסכום על ידי המינהלה לרשות המסים, אם החליטה המינהלה על תשלום ישיר כאמור, וזאת על אף האמור בתקנת משנה (א).</w:t>
      </w:r>
    </w:p>
    <w:p w:rsidR="00EC55E2" w:rsidRPr="00067E59" w:rsidRDefault="00EC55E2" w:rsidP="00EC55E2">
      <w:pPr>
        <w:pStyle w:val="P00"/>
        <w:spacing w:before="0"/>
        <w:ind w:left="0"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ab/>
        <w:t>(ה)</w:t>
      </w:r>
      <w:r w:rsidRPr="00067E59">
        <w:rPr>
          <w:rStyle w:val="default"/>
          <w:rFonts w:cs="FrankRuehl" w:hint="cs"/>
          <w:vanish/>
          <w:sz w:val="22"/>
          <w:szCs w:val="22"/>
          <w:shd w:val="clear" w:color="auto" w:fill="FFFF99"/>
          <w:rtl/>
        </w:rPr>
        <w:tab/>
        <w:t>על סכום ההלוואה יחולו בנוסף הוראות אלה:</w:t>
      </w:r>
    </w:p>
    <w:p w:rsidR="00EC55E2" w:rsidRPr="00067E59" w:rsidRDefault="00EC55E2" w:rsidP="00EC55E2">
      <w:pPr>
        <w:pStyle w:val="P00"/>
        <w:spacing w:before="0"/>
        <w:ind w:left="1021"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(1)</w:t>
      </w:r>
      <w:r w:rsidRPr="00067E59">
        <w:rPr>
          <w:rStyle w:val="default"/>
          <w:rFonts w:cs="FrankRuehl" w:hint="cs"/>
          <w:vanish/>
          <w:sz w:val="22"/>
          <w:szCs w:val="22"/>
          <w:shd w:val="clear" w:color="auto" w:fill="FFFF99"/>
          <w:rtl/>
        </w:rPr>
        <w:tab/>
        <w:t xml:space="preserve">בכפוף להנחיות של משרד הבינוי והשיכון ומשרד האוצר רשאית המינהלה להעביר את סכום ההלוואה לגורם אחר אשר יהיה אחראי להעברת הכספים לזכאי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גורם מעביר); תקנת משנה (א) תחול בשינויים המחויבים גם על העברת סכום ההלוואה על ידי הגורם המעביר; זכותו של הזכאי לקבלת ההלוואה מהגורם המעביר אינה ניתנת לעיקול;</w:t>
      </w:r>
    </w:p>
    <w:p w:rsidR="00EC55E2" w:rsidRPr="00067E59" w:rsidRDefault="00EC55E2" w:rsidP="00EC55E2">
      <w:pPr>
        <w:pStyle w:val="P00"/>
        <w:spacing w:before="0"/>
        <w:ind w:left="1021" w:right="1134"/>
        <w:rPr>
          <w:rStyle w:val="default"/>
          <w:rFonts w:cs="FrankRuehl" w:hint="cs"/>
          <w:vanish/>
          <w:sz w:val="22"/>
          <w:szCs w:val="22"/>
          <w:shd w:val="clear" w:color="auto" w:fill="FFFF99"/>
          <w:rtl/>
        </w:rPr>
      </w:pPr>
      <w:r w:rsidRPr="00067E59">
        <w:rPr>
          <w:rStyle w:val="default"/>
          <w:rFonts w:cs="FrankRuehl" w:hint="cs"/>
          <w:vanish/>
          <w:sz w:val="22"/>
          <w:szCs w:val="22"/>
          <w:shd w:val="clear" w:color="auto" w:fill="FFFF99"/>
          <w:rtl/>
        </w:rPr>
        <w:t>(2)</w:t>
      </w:r>
      <w:r w:rsidRPr="00067E59">
        <w:rPr>
          <w:rStyle w:val="default"/>
          <w:rFonts w:cs="FrankRuehl" w:hint="cs"/>
          <w:vanish/>
          <w:sz w:val="22"/>
          <w:szCs w:val="22"/>
          <w:shd w:val="clear" w:color="auto" w:fill="FFFF99"/>
          <w:rtl/>
        </w:rPr>
        <w:tab/>
        <w:t>סכום ההלוואה יהיה מוגן מפני עיקול בשל חובות הזכאי בדרך של תשלום ישיר של הסכום על ידי המינהלה או על ידי הגורם המעביר, לפי הענין, ישירות למוכר קרקע או בית מגורים כאמור בסעיף 47 לחוק, אם החליטו המינהלה או הגורם המעביר, לפי הענין, בכפוף להנחיות של משרד השיכון והבינוי ושל משרד האוצר בענין זה, על תשלום ישיר כאמור, וזאת על אף האמור בתקנת משנה (א).</w:t>
      </w:r>
    </w:p>
    <w:p w:rsidR="00EC55E2" w:rsidRPr="00EC55E2" w:rsidRDefault="00EC55E2" w:rsidP="00EC55E2">
      <w:pPr>
        <w:pStyle w:val="P00"/>
        <w:spacing w:before="0"/>
        <w:ind w:left="0" w:right="1134"/>
        <w:rPr>
          <w:rStyle w:val="default"/>
          <w:rFonts w:cs="FrankRuehl" w:hint="cs"/>
          <w:strike/>
          <w:sz w:val="2"/>
          <w:szCs w:val="2"/>
          <w:rtl/>
        </w:rPr>
      </w:pPr>
      <w:r w:rsidRPr="00067E59">
        <w:rPr>
          <w:rStyle w:val="default"/>
          <w:rFonts w:cs="FrankRuehl" w:hint="cs"/>
          <w:vanish/>
          <w:sz w:val="22"/>
          <w:szCs w:val="22"/>
          <w:shd w:val="clear" w:color="auto" w:fill="FFFF99"/>
          <w:rtl/>
        </w:rPr>
        <w:tab/>
      </w:r>
      <w:r w:rsidRPr="00067E59">
        <w:rPr>
          <w:rStyle w:val="default"/>
          <w:rFonts w:cs="FrankRuehl" w:hint="cs"/>
          <w:strike/>
          <w:vanish/>
          <w:sz w:val="22"/>
          <w:szCs w:val="22"/>
          <w:shd w:val="clear" w:color="auto" w:fill="FFFF99"/>
          <w:rtl/>
        </w:rPr>
        <w:t>(ו)</w:t>
      </w:r>
      <w:r w:rsidRPr="00067E59">
        <w:rPr>
          <w:rStyle w:val="default"/>
          <w:rFonts w:cs="FrankRuehl" w:hint="cs"/>
          <w:strike/>
          <w:vanish/>
          <w:sz w:val="22"/>
          <w:szCs w:val="22"/>
          <w:shd w:val="clear" w:color="auto" w:fill="FFFF99"/>
          <w:rtl/>
        </w:rPr>
        <w:tab/>
        <w:t>על אף האמור בתקנת משנה (א) רשאית המינהלה לשלם לזכאי, לבקשתו, סכום שלא יעלה על 50,000 שקלים חדשים מתוך הכספים המוגנים שעל המינהלה לשלם ישירות לזכאי, באמצעות שיק; שיק כאמור לא ניתן יהיה להפקדה בחשבון המוגן או בחשבון הפיצויים.</w:t>
      </w:r>
      <w:bookmarkEnd w:id="4"/>
    </w:p>
    <w:p w:rsidR="00FD2509" w:rsidRDefault="00FD2509">
      <w:pPr>
        <w:pStyle w:val="P00"/>
        <w:spacing w:before="72"/>
        <w:ind w:left="0" w:right="1134"/>
        <w:rPr>
          <w:rStyle w:val="default"/>
          <w:rFonts w:cs="FrankRuehl" w:hint="cs"/>
          <w:rtl/>
        </w:rPr>
      </w:pPr>
      <w:bookmarkStart w:id="5" w:name="Seif2"/>
      <w:bookmarkEnd w:id="5"/>
      <w:r>
        <w:rPr>
          <w:lang w:val="he-IL"/>
        </w:rPr>
        <w:pict>
          <v:rect id="_x0000_s1121" style="position:absolute;left:0;text-align:left;margin-left:464.5pt;margin-top:8.05pt;width:75.05pt;height:15.6pt;z-index:251654656" o:allowincell="f" filled="f" stroked="f" strokecolor="lime" strokeweight=".25pt">
            <v:textbox inset="0,0,0,0">
              <w:txbxContent>
                <w:p w:rsidR="00FD2509" w:rsidRDefault="00FD2509">
                  <w:pPr>
                    <w:spacing w:line="160" w:lineRule="exact"/>
                    <w:jc w:val="left"/>
                    <w:rPr>
                      <w:rFonts w:cs="Miriam" w:hint="cs"/>
                      <w:szCs w:val="18"/>
                      <w:rtl/>
                    </w:rPr>
                  </w:pPr>
                  <w:r>
                    <w:rPr>
                      <w:rFonts w:cs="Miriam" w:hint="cs"/>
                      <w:szCs w:val="18"/>
                      <w:rtl/>
                    </w:rPr>
                    <w:t>הגנה על גמול פרישה</w:t>
                  </w:r>
                </w:p>
                <w:p w:rsidR="00FD2509" w:rsidRDefault="00FD2509">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 xml:space="preserve">מגמול הפרישה החודשי שיופקד בחשבון הפיצויים של הזכאי לא יהיה ניתן לעיקול, למשך 30 ימים מיום ההפקדה, סכום השווה לגמלה בשיעור הנקוב בטור ג' בתוספת השניה לחוק הבטחת הכנסה, התשמ"א-1981, שהיתה משתלמת בחודש שקדם לתשלום גמול הפרישה לאותו עובד לפי הרכב משפחתו אילו היה זכאי לגמלה כאמור; היה הסכום האמור יותר מ-80% מגמול הפרישה החודשי, יקטן הסכום שאינו ניתן לעיקול כדי 80% מגמול הפרישה החודשי; לענין זה, "גמול הפרישה החודשי" </w:t>
      </w:r>
      <w:r>
        <w:rPr>
          <w:rStyle w:val="default"/>
          <w:rFonts w:cs="FrankRuehl"/>
          <w:rtl/>
        </w:rPr>
        <w:t>–</w:t>
      </w:r>
      <w:r>
        <w:rPr>
          <w:rStyle w:val="default"/>
          <w:rFonts w:cs="FrankRuehl" w:hint="cs"/>
          <w:rtl/>
        </w:rPr>
        <w:t xml:space="preserve"> גמול הפרישה אשר משולם לזכאי מדי חודש.</w:t>
      </w:r>
    </w:p>
    <w:p w:rsidR="00FD2509" w:rsidRDefault="00FD2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עיקול לשם תשלום מזונות.</w:t>
      </w:r>
    </w:p>
    <w:p w:rsidR="00EC55E2" w:rsidRPr="00067E59" w:rsidRDefault="00EC55E2" w:rsidP="00EC55E2">
      <w:pPr>
        <w:pStyle w:val="P00"/>
        <w:spacing w:before="0"/>
        <w:ind w:left="0" w:right="1134"/>
        <w:rPr>
          <w:rStyle w:val="default"/>
          <w:rFonts w:cs="FrankRuehl" w:hint="cs"/>
          <w:vanish/>
          <w:color w:val="FF0000"/>
          <w:szCs w:val="20"/>
          <w:shd w:val="clear" w:color="auto" w:fill="FFFF99"/>
          <w:rtl/>
        </w:rPr>
      </w:pPr>
      <w:bookmarkStart w:id="6" w:name="Rov9"/>
      <w:r w:rsidRPr="00067E59">
        <w:rPr>
          <w:rStyle w:val="default"/>
          <w:rFonts w:cs="FrankRuehl" w:hint="cs"/>
          <w:vanish/>
          <w:color w:val="FF0000"/>
          <w:szCs w:val="20"/>
          <w:shd w:val="clear" w:color="auto" w:fill="FFFF99"/>
          <w:rtl/>
        </w:rPr>
        <w:t>מיום 11.8.2005</w:t>
      </w:r>
    </w:p>
    <w:p w:rsidR="00EC55E2" w:rsidRPr="00067E59" w:rsidRDefault="00EC55E2" w:rsidP="00EC55E2">
      <w:pPr>
        <w:pStyle w:val="P00"/>
        <w:spacing w:before="0"/>
        <w:ind w:left="0" w:right="1134"/>
        <w:rPr>
          <w:rStyle w:val="default"/>
          <w:rFonts w:cs="FrankRuehl" w:hint="cs"/>
          <w:b/>
          <w:bCs/>
          <w:vanish/>
          <w:szCs w:val="20"/>
          <w:shd w:val="clear" w:color="auto" w:fill="FFFF99"/>
          <w:rtl/>
        </w:rPr>
      </w:pPr>
      <w:r w:rsidRPr="00067E59">
        <w:rPr>
          <w:rStyle w:val="default"/>
          <w:rFonts w:cs="FrankRuehl" w:hint="cs"/>
          <w:b/>
          <w:bCs/>
          <w:vanish/>
          <w:szCs w:val="20"/>
          <w:shd w:val="clear" w:color="auto" w:fill="FFFF99"/>
          <w:rtl/>
        </w:rPr>
        <w:t>תק' תשס"ה-2005</w:t>
      </w:r>
    </w:p>
    <w:p w:rsidR="00EC55E2" w:rsidRPr="00067E59" w:rsidRDefault="00EC55E2" w:rsidP="00EC55E2">
      <w:pPr>
        <w:pStyle w:val="P00"/>
        <w:spacing w:before="0"/>
        <w:ind w:left="0" w:right="1134"/>
        <w:rPr>
          <w:rStyle w:val="default"/>
          <w:rFonts w:cs="FrankRuehl" w:hint="cs"/>
          <w:vanish/>
          <w:szCs w:val="20"/>
          <w:shd w:val="clear" w:color="auto" w:fill="FFFF99"/>
          <w:rtl/>
        </w:rPr>
      </w:pPr>
      <w:hyperlink r:id="rId9" w:history="1">
        <w:r w:rsidRPr="00067E59">
          <w:rPr>
            <w:rStyle w:val="Hyperlink"/>
            <w:rFonts w:hint="cs"/>
            <w:vanish/>
            <w:szCs w:val="20"/>
            <w:shd w:val="clear" w:color="auto" w:fill="FFFF99"/>
            <w:rtl/>
          </w:rPr>
          <w:t>ק"ת תשס"ה מס' 6412</w:t>
        </w:r>
      </w:hyperlink>
      <w:r w:rsidRPr="00067E59">
        <w:rPr>
          <w:rStyle w:val="default"/>
          <w:rFonts w:cs="FrankRuehl" w:hint="cs"/>
          <w:vanish/>
          <w:szCs w:val="20"/>
          <w:shd w:val="clear" w:color="auto" w:fill="FFFF99"/>
          <w:rtl/>
        </w:rPr>
        <w:t xml:space="preserve"> מיום 11.8.2005 עמ' 886</w:t>
      </w:r>
    </w:p>
    <w:p w:rsidR="00EC55E2" w:rsidRPr="00EC55E2" w:rsidRDefault="00EC55E2" w:rsidP="00EC55E2">
      <w:pPr>
        <w:pStyle w:val="P00"/>
        <w:ind w:left="0" w:right="1134"/>
        <w:rPr>
          <w:rStyle w:val="default"/>
          <w:rFonts w:cs="FrankRuehl" w:hint="cs"/>
          <w:sz w:val="2"/>
          <w:szCs w:val="2"/>
          <w:rtl/>
        </w:rPr>
      </w:pPr>
      <w:r w:rsidRPr="00067E59">
        <w:rPr>
          <w:rStyle w:val="big-number"/>
          <w:vanish/>
          <w:sz w:val="22"/>
          <w:szCs w:val="22"/>
          <w:shd w:val="clear" w:color="auto" w:fill="FFFF99"/>
          <w:rtl/>
        </w:rPr>
        <w:tab/>
      </w:r>
      <w:r w:rsidRPr="00067E59">
        <w:rPr>
          <w:rStyle w:val="default"/>
          <w:rFonts w:cs="FrankRuehl" w:hint="cs"/>
          <w:vanish/>
          <w:sz w:val="22"/>
          <w:szCs w:val="22"/>
          <w:shd w:val="clear" w:color="auto" w:fill="FFFF99"/>
          <w:rtl/>
        </w:rPr>
        <w:t>(א)</w:t>
      </w:r>
      <w:r w:rsidRPr="00067E59">
        <w:rPr>
          <w:rStyle w:val="default"/>
          <w:rFonts w:cs="FrankRuehl" w:hint="cs"/>
          <w:vanish/>
          <w:sz w:val="22"/>
          <w:szCs w:val="22"/>
          <w:shd w:val="clear" w:color="auto" w:fill="FFFF99"/>
          <w:rtl/>
        </w:rPr>
        <w:tab/>
        <w:t xml:space="preserve">מגמול הפרישה החודשי שיופקד בחשבון </w:t>
      </w:r>
      <w:r w:rsidRPr="00067E59">
        <w:rPr>
          <w:rStyle w:val="default"/>
          <w:rFonts w:cs="FrankRuehl" w:hint="cs"/>
          <w:strike/>
          <w:vanish/>
          <w:sz w:val="22"/>
          <w:szCs w:val="22"/>
          <w:shd w:val="clear" w:color="auto" w:fill="FFFF99"/>
          <w:rtl/>
        </w:rPr>
        <w:t>הבנק</w:t>
      </w:r>
      <w:r w:rsidRPr="00067E59">
        <w:rPr>
          <w:rStyle w:val="default"/>
          <w:rFonts w:cs="FrankRuehl" w:hint="cs"/>
          <w:vanish/>
          <w:sz w:val="22"/>
          <w:szCs w:val="22"/>
          <w:shd w:val="clear" w:color="auto" w:fill="FFFF99"/>
          <w:rtl/>
        </w:rPr>
        <w:t xml:space="preserve"> </w:t>
      </w:r>
      <w:r w:rsidRPr="00067E59">
        <w:rPr>
          <w:rStyle w:val="default"/>
          <w:rFonts w:cs="FrankRuehl" w:hint="cs"/>
          <w:vanish/>
          <w:sz w:val="22"/>
          <w:szCs w:val="22"/>
          <w:u w:val="single"/>
          <w:shd w:val="clear" w:color="auto" w:fill="FFFF99"/>
          <w:rtl/>
        </w:rPr>
        <w:t>הפיצויים</w:t>
      </w:r>
      <w:r w:rsidRPr="00067E59">
        <w:rPr>
          <w:rStyle w:val="default"/>
          <w:rFonts w:cs="FrankRuehl" w:hint="cs"/>
          <w:vanish/>
          <w:sz w:val="22"/>
          <w:szCs w:val="22"/>
          <w:shd w:val="clear" w:color="auto" w:fill="FFFF99"/>
          <w:rtl/>
        </w:rPr>
        <w:t xml:space="preserve"> של הזכאי לא יהיה ניתן לעיקול, למשך 30 ימים מיום ההפקדה, סכום השווה לגמלה בשיעור הנקוב בטור ג' בתוספת השניה לחוק הבטחת הכנסה, התשמ"א-1981, שהיתה משתלמת בחודש שקדם לתשלום גמול הפרישה לאותו עובד לפי הרכב משפחתו אילו היה זכאי לגמלה כאמור; היה הסכום האמור יותר מ-80% מגמול הפרישה החודשי, יקטן הסכום שאינו ניתן לעיקול כדי 80% מגמול הפרישה החודשי; לענין זה, "גמול הפרישה החודשי"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גמול הפרישה אשר משולם לזכאי מדי חודש.</w:t>
      </w:r>
      <w:bookmarkEnd w:id="6"/>
    </w:p>
    <w:p w:rsidR="00FD2509" w:rsidRDefault="00FD2509">
      <w:pPr>
        <w:pStyle w:val="P00"/>
        <w:spacing w:before="72"/>
        <w:ind w:left="0" w:right="1134"/>
        <w:rPr>
          <w:rStyle w:val="default"/>
          <w:rFonts w:cs="FrankRuehl" w:hint="cs"/>
          <w:rtl/>
        </w:rPr>
      </w:pPr>
      <w:bookmarkStart w:id="7" w:name="Seif3"/>
      <w:bookmarkEnd w:id="7"/>
      <w:r>
        <w:rPr>
          <w:lang w:val="he-IL"/>
        </w:rPr>
        <w:pict>
          <v:rect id="_x0000_s1122" style="position:absolute;left:0;text-align:left;margin-left:464.5pt;margin-top:8.05pt;width:75.05pt;height:26.05pt;z-index:251655680" o:allowincell="f" filled="f" stroked="f" strokecolor="lime" strokeweight=".25pt">
            <v:textbox inset="0,0,0,0">
              <w:txbxContent>
                <w:p w:rsidR="00FD2509" w:rsidRDefault="00FD2509">
                  <w:pPr>
                    <w:spacing w:line="160" w:lineRule="exact"/>
                    <w:jc w:val="left"/>
                    <w:rPr>
                      <w:rFonts w:cs="Miriam" w:hint="cs"/>
                      <w:szCs w:val="18"/>
                      <w:rtl/>
                    </w:rPr>
                  </w:pPr>
                  <w:r>
                    <w:rPr>
                      <w:rFonts w:cs="Miriam" w:hint="cs"/>
                      <w:szCs w:val="18"/>
                      <w:rtl/>
                    </w:rPr>
                    <w:t>הגנת הפיצוי בשל בית מגורים</w:t>
                  </w:r>
                </w:p>
                <w:p w:rsidR="00FD2509" w:rsidRDefault="00FD2509">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 xml:space="preserve">סכום הכסף המגיע לזכאי כפיצוי בשל בית מגורים, לפי סימן א' לפרק ה' לחוק, ואשר אין מניעה להעבירו לחשבון הבנק של הזכאי לפי סעיף 91(ב)(2) ו-(3) לחוק (להלן </w:t>
      </w:r>
      <w:r>
        <w:rPr>
          <w:rStyle w:val="default"/>
          <w:rFonts w:cs="FrankRuehl"/>
          <w:rtl/>
        </w:rPr>
        <w:t>–</w:t>
      </w:r>
      <w:r>
        <w:rPr>
          <w:rStyle w:val="default"/>
          <w:rFonts w:cs="FrankRuehl" w:hint="cs"/>
          <w:rtl/>
        </w:rPr>
        <w:t xml:space="preserve"> פיצוי המגורים), יהיה פטור מעיקול, לצורך רכישת בית מגורים חלופי, בדרך של העברה ישירה של הסכום, כולו או חלקו, לפי הנדרש, למוכר או למחכיר של זכויות במקרקעין, שעליהם מבקש הזכאי לבנות את בית מגוריו (להלן </w:t>
      </w:r>
      <w:r>
        <w:rPr>
          <w:rStyle w:val="default"/>
          <w:rFonts w:cs="FrankRuehl"/>
          <w:rtl/>
        </w:rPr>
        <w:t>–</w:t>
      </w:r>
      <w:r>
        <w:rPr>
          <w:rStyle w:val="default"/>
          <w:rFonts w:cs="FrankRuehl" w:hint="cs"/>
          <w:rtl/>
        </w:rPr>
        <w:t xml:space="preserve"> מקרקעין) או בבית מגורים, או בהתאם לאמור בתקנת משנה (ג).</w:t>
      </w:r>
    </w:p>
    <w:p w:rsidR="00FD2509" w:rsidRDefault="00FD2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המינהלה תעביר את התשלום, לבקשת הזכאי, ישירות למוכר של זכויות הבעלות בבית המגורים או במקרקעין או למחכיר לדורות של זכויות החכירה בבית המגורים או במקרקעין, לפי הענין, ובלבד שהומצאו לה המסמכים האלה:</w:t>
      </w:r>
    </w:p>
    <w:p w:rsidR="00FD2509" w:rsidRDefault="00FD25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הסכם מכר או חכירה לדורות שנכרת בין הזכאי לבין המוכר או המחכיר לדורות, לפי הענין, ולפיו יועברו לזכאי זכויות הבעלות או החכירה לדורות במקרקעין או זכות לקבלת זכויות כאמור;</w:t>
      </w:r>
    </w:p>
    <w:p w:rsidR="00FD2509" w:rsidRDefault="00FD25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מהרישום בפנקסי המקרקעין אודות זכויות הבעלות או החכירה לדורות של המוכר או המחכיר, לפי הענין, בבית המגורים או במקרקעין, או אישור מטעם הגורם שאצלו מתנהל רישום הזכויות לגבי בית המגורים או המקרקעין אודות זכויות כאמור של המוכר או המחכיר אם זכויות אלה טרם נרשמו בפנקסי המקרקעין;</w:t>
      </w:r>
    </w:p>
    <w:p w:rsidR="00FD2509" w:rsidRDefault="00FD25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העברת תשלום ישירות למוכר או למחכיר של מקרקעין </w:t>
      </w:r>
      <w:r>
        <w:rPr>
          <w:rStyle w:val="default"/>
          <w:rFonts w:cs="FrankRuehl"/>
          <w:rtl/>
        </w:rPr>
        <w:t>–</w:t>
      </w:r>
      <w:r>
        <w:rPr>
          <w:rStyle w:val="default"/>
          <w:rFonts w:cs="FrankRuehl" w:hint="cs"/>
          <w:rtl/>
        </w:rPr>
        <w:t xml:space="preserve"> הצהרה של הזכאי ולפיה הוא מתכוון לבנות את בית מגוריו על המקרקעין האמורים.</w:t>
      </w:r>
    </w:p>
    <w:p w:rsidR="00FD2509" w:rsidRDefault="00FD25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המינהלה תעביר, לבקשת הזכאי, את פיצוי המגורים או את יתרתו לאחר התשלום למוכר או למחכיר מקרקעין כאמור בתקנת משנה (ב), לפי הענין, לחשבון המוגן, ובלבד שהתקיים אחד משני אלה:</w:t>
      </w:r>
    </w:p>
    <w:p w:rsidR="00FD2509" w:rsidRDefault="00FD25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הועבר התשלום כאמור בתקנת משנה (ב) ישירות למוכר או למחכיר של מקרקעין בהתאם לתנאים הקבועים בה;</w:t>
      </w:r>
    </w:p>
    <w:p w:rsidR="00FD2509" w:rsidRDefault="00FD25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הזכאי המציא למינהלה </w:t>
      </w:r>
      <w:r>
        <w:rPr>
          <w:rStyle w:val="default"/>
          <w:rFonts w:cs="FrankRuehl"/>
          <w:rtl/>
        </w:rPr>
        <w:t>–</w:t>
      </w:r>
    </w:p>
    <w:p w:rsidR="00FD2509" w:rsidRDefault="00FD250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העתק מהרישום בפנקסי המקרקעין אודות זכויות הבעלות או החכירה לדורות שלו במקרקעין או אישור מטעם הגורם שאצלו מתנהל רישום הזכויות לגבי המקרקעין האמורים אודות זכויותיו כאמור של הזכאי, אם טרם נרשמו בפנקסי המקרקעין;</w:t>
      </w:r>
    </w:p>
    <w:p w:rsidR="00FD2509" w:rsidRDefault="00FD25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הצהרה כאמור בתקנת משנה (ב)(3).</w:t>
      </w:r>
    </w:p>
    <w:p w:rsidR="00EC55E2" w:rsidRPr="00067E59" w:rsidRDefault="00EC55E2" w:rsidP="00EC55E2">
      <w:pPr>
        <w:pStyle w:val="P00"/>
        <w:spacing w:before="0"/>
        <w:ind w:left="0" w:right="1134"/>
        <w:rPr>
          <w:rStyle w:val="default"/>
          <w:rFonts w:cs="FrankRuehl" w:hint="cs"/>
          <w:vanish/>
          <w:color w:val="FF0000"/>
          <w:szCs w:val="20"/>
          <w:shd w:val="clear" w:color="auto" w:fill="FFFF99"/>
          <w:rtl/>
        </w:rPr>
      </w:pPr>
      <w:bookmarkStart w:id="8" w:name="Rov10"/>
      <w:r w:rsidRPr="00067E59">
        <w:rPr>
          <w:rStyle w:val="default"/>
          <w:rFonts w:cs="FrankRuehl" w:hint="cs"/>
          <w:vanish/>
          <w:color w:val="FF0000"/>
          <w:szCs w:val="20"/>
          <w:shd w:val="clear" w:color="auto" w:fill="FFFF99"/>
          <w:rtl/>
        </w:rPr>
        <w:t>מיום 11.8.2005</w:t>
      </w:r>
    </w:p>
    <w:p w:rsidR="00EC55E2" w:rsidRPr="00067E59" w:rsidRDefault="00EC55E2" w:rsidP="00EC55E2">
      <w:pPr>
        <w:pStyle w:val="P00"/>
        <w:spacing w:before="0"/>
        <w:ind w:left="0" w:right="1134"/>
        <w:rPr>
          <w:rStyle w:val="default"/>
          <w:rFonts w:cs="FrankRuehl" w:hint="cs"/>
          <w:b/>
          <w:bCs/>
          <w:vanish/>
          <w:szCs w:val="20"/>
          <w:shd w:val="clear" w:color="auto" w:fill="FFFF99"/>
          <w:rtl/>
        </w:rPr>
      </w:pPr>
      <w:r w:rsidRPr="00067E59">
        <w:rPr>
          <w:rStyle w:val="default"/>
          <w:rFonts w:cs="FrankRuehl" w:hint="cs"/>
          <w:b/>
          <w:bCs/>
          <w:vanish/>
          <w:szCs w:val="20"/>
          <w:shd w:val="clear" w:color="auto" w:fill="FFFF99"/>
          <w:rtl/>
        </w:rPr>
        <w:t>תק' תשס"ה-2005</w:t>
      </w:r>
    </w:p>
    <w:p w:rsidR="00EC55E2" w:rsidRPr="00067E59" w:rsidRDefault="00EC55E2" w:rsidP="00EC55E2">
      <w:pPr>
        <w:pStyle w:val="P00"/>
        <w:spacing w:before="0"/>
        <w:ind w:left="0" w:right="1134"/>
        <w:rPr>
          <w:rStyle w:val="default"/>
          <w:rFonts w:cs="FrankRuehl" w:hint="cs"/>
          <w:vanish/>
          <w:szCs w:val="20"/>
          <w:shd w:val="clear" w:color="auto" w:fill="FFFF99"/>
          <w:rtl/>
        </w:rPr>
      </w:pPr>
      <w:hyperlink r:id="rId10" w:history="1">
        <w:r w:rsidRPr="00067E59">
          <w:rPr>
            <w:rStyle w:val="Hyperlink"/>
            <w:rFonts w:hint="cs"/>
            <w:vanish/>
            <w:szCs w:val="20"/>
            <w:shd w:val="clear" w:color="auto" w:fill="FFFF99"/>
            <w:rtl/>
          </w:rPr>
          <w:t>ק"ת תשס"ה מס' 6412</w:t>
        </w:r>
      </w:hyperlink>
      <w:r w:rsidRPr="00067E59">
        <w:rPr>
          <w:rStyle w:val="default"/>
          <w:rFonts w:cs="FrankRuehl" w:hint="cs"/>
          <w:vanish/>
          <w:szCs w:val="20"/>
          <w:shd w:val="clear" w:color="auto" w:fill="FFFF99"/>
          <w:rtl/>
        </w:rPr>
        <w:t xml:space="preserve"> מיום 11.8.2005 עמ' 886</w:t>
      </w:r>
    </w:p>
    <w:p w:rsidR="00EC55E2" w:rsidRPr="00EC55E2" w:rsidRDefault="00EC55E2" w:rsidP="00EC55E2">
      <w:pPr>
        <w:pStyle w:val="P00"/>
        <w:ind w:left="0" w:right="1134"/>
        <w:rPr>
          <w:rStyle w:val="default"/>
          <w:rFonts w:cs="FrankRuehl" w:hint="cs"/>
          <w:sz w:val="2"/>
          <w:szCs w:val="2"/>
          <w:rtl/>
        </w:rPr>
      </w:pPr>
      <w:r w:rsidRPr="00067E59">
        <w:rPr>
          <w:rStyle w:val="big-number"/>
          <w:vanish/>
          <w:sz w:val="22"/>
          <w:szCs w:val="22"/>
          <w:shd w:val="clear" w:color="auto" w:fill="FFFF99"/>
          <w:rtl/>
        </w:rPr>
        <w:tab/>
      </w:r>
      <w:r w:rsidRPr="00067E59">
        <w:rPr>
          <w:rStyle w:val="default"/>
          <w:rFonts w:cs="FrankRuehl" w:hint="cs"/>
          <w:vanish/>
          <w:sz w:val="22"/>
          <w:szCs w:val="22"/>
          <w:shd w:val="clear" w:color="auto" w:fill="FFFF99"/>
          <w:rtl/>
        </w:rPr>
        <w:t>(א)</w:t>
      </w:r>
      <w:r w:rsidRPr="00067E59">
        <w:rPr>
          <w:rStyle w:val="default"/>
          <w:rFonts w:cs="FrankRuehl" w:hint="cs"/>
          <w:vanish/>
          <w:sz w:val="22"/>
          <w:szCs w:val="22"/>
          <w:shd w:val="clear" w:color="auto" w:fill="FFFF99"/>
          <w:rtl/>
        </w:rPr>
        <w:tab/>
        <w:t xml:space="preserve">סכום הכסף המגיע לזכאי כפיצוי בשל בית מגורים, לפי סימן א' לפרק ה' לחוק, ואשר </w:t>
      </w:r>
      <w:r w:rsidRPr="00067E59">
        <w:rPr>
          <w:rStyle w:val="default"/>
          <w:rFonts w:cs="FrankRuehl" w:hint="cs"/>
          <w:strike/>
          <w:vanish/>
          <w:sz w:val="22"/>
          <w:szCs w:val="22"/>
          <w:shd w:val="clear" w:color="auto" w:fill="FFFF99"/>
          <w:rtl/>
        </w:rPr>
        <w:t>לא נדרש להעבירו לחשבון המיוחד לפי סעיף 91(ב)(3)</w:t>
      </w:r>
      <w:r w:rsidRPr="00067E59">
        <w:rPr>
          <w:rStyle w:val="default"/>
          <w:rFonts w:cs="FrankRuehl" w:hint="cs"/>
          <w:vanish/>
          <w:sz w:val="22"/>
          <w:szCs w:val="22"/>
          <w:shd w:val="clear" w:color="auto" w:fill="FFFF99"/>
          <w:rtl/>
        </w:rPr>
        <w:t xml:space="preserve"> </w:t>
      </w:r>
      <w:r w:rsidRPr="00067E59">
        <w:rPr>
          <w:rStyle w:val="default"/>
          <w:rFonts w:cs="FrankRuehl" w:hint="cs"/>
          <w:vanish/>
          <w:sz w:val="22"/>
          <w:szCs w:val="22"/>
          <w:u w:val="single"/>
          <w:shd w:val="clear" w:color="auto" w:fill="FFFF99"/>
          <w:rtl/>
        </w:rPr>
        <w:t>אין מניעה להעבירו לחשבון הבנק של הזכאי לפי סעיף 91(ב)(2) ו-(3)</w:t>
      </w:r>
      <w:r w:rsidRPr="00067E59">
        <w:rPr>
          <w:rStyle w:val="default"/>
          <w:rFonts w:cs="FrankRuehl" w:hint="cs"/>
          <w:vanish/>
          <w:sz w:val="22"/>
          <w:szCs w:val="22"/>
          <w:shd w:val="clear" w:color="auto" w:fill="FFFF99"/>
          <w:rtl/>
        </w:rPr>
        <w:t xml:space="preserve"> לחוק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פיצוי המגורים), יהיה פטור מעיקול, לצורך רכישת בית מגורים חלופי, בדרך של העברה ישירה של הסכום, כולו או חלקו, לפי הנדרש, למוכר או למחכיר של זכויות במקרקעין, שעליהם מבקש הזכאי לבנות את בית מגוריו (להלן </w:t>
      </w:r>
      <w:r w:rsidRPr="00067E59">
        <w:rPr>
          <w:rStyle w:val="default"/>
          <w:rFonts w:cs="FrankRuehl"/>
          <w:vanish/>
          <w:sz w:val="22"/>
          <w:szCs w:val="22"/>
          <w:shd w:val="clear" w:color="auto" w:fill="FFFF99"/>
          <w:rtl/>
        </w:rPr>
        <w:t>–</w:t>
      </w:r>
      <w:r w:rsidRPr="00067E59">
        <w:rPr>
          <w:rStyle w:val="default"/>
          <w:rFonts w:cs="FrankRuehl" w:hint="cs"/>
          <w:vanish/>
          <w:sz w:val="22"/>
          <w:szCs w:val="22"/>
          <w:shd w:val="clear" w:color="auto" w:fill="FFFF99"/>
          <w:rtl/>
        </w:rPr>
        <w:t xml:space="preserve"> מקרקעין) או בבית מגורים, או בהתאם לאמור בתקנת משנה (ג).</w:t>
      </w:r>
      <w:bookmarkEnd w:id="8"/>
    </w:p>
    <w:p w:rsidR="00FD2509" w:rsidRDefault="00FD2509">
      <w:pPr>
        <w:pStyle w:val="P00"/>
        <w:spacing w:before="72"/>
        <w:ind w:left="0" w:right="1134"/>
        <w:rPr>
          <w:rStyle w:val="default"/>
          <w:rFonts w:cs="FrankRuehl" w:hint="cs"/>
          <w:rtl/>
        </w:rPr>
      </w:pPr>
      <w:bookmarkStart w:id="9" w:name="Seif5"/>
      <w:bookmarkEnd w:id="9"/>
      <w:r>
        <w:rPr>
          <w:rFonts w:cs="Miriam"/>
          <w:szCs w:val="32"/>
          <w:rtl/>
          <w:lang w:val="he-IL"/>
        </w:rPr>
        <w:pict>
          <v:shape id="_x0000_s1129" type="#_x0000_t202" style="position:absolute;left:0;text-align:left;margin-left:470.25pt;margin-top:7.1pt;width:1in;height:33.6pt;z-index:251659776" filled="f" stroked="f">
            <v:textbox inset="1mm,0,1mm,0">
              <w:txbxContent>
                <w:p w:rsidR="00FD2509" w:rsidRDefault="00FD2509">
                  <w:pPr>
                    <w:spacing w:line="160" w:lineRule="exact"/>
                    <w:jc w:val="left"/>
                    <w:rPr>
                      <w:rFonts w:cs="Miriam" w:hint="cs"/>
                      <w:szCs w:val="18"/>
                      <w:rtl/>
                    </w:rPr>
                  </w:pPr>
                  <w:r>
                    <w:rPr>
                      <w:rFonts w:cs="Miriam" w:hint="cs"/>
                      <w:szCs w:val="18"/>
                      <w:rtl/>
                    </w:rPr>
                    <w:t>הגנה על כספים לצורך התארגנות ראשונית</w:t>
                  </w:r>
                </w:p>
                <w:p w:rsidR="00FD2509" w:rsidRDefault="00FD2509">
                  <w:pPr>
                    <w:spacing w:line="160" w:lineRule="exact"/>
                    <w:jc w:val="left"/>
                    <w:rPr>
                      <w:rFonts w:cs="Miriam" w:hint="cs"/>
                      <w:szCs w:val="18"/>
                      <w:rtl/>
                    </w:rPr>
                  </w:pPr>
                  <w:r>
                    <w:rPr>
                      <w:rFonts w:cs="Miriam" w:hint="cs"/>
                      <w:szCs w:val="18"/>
                      <w:rtl/>
                    </w:rPr>
                    <w:t>תק' תשס"ה-2005</w:t>
                  </w:r>
                </w:p>
              </w:txbxContent>
            </v:textbox>
            <w10:anchorlock/>
          </v:shape>
        </w:pict>
      </w:r>
      <w:r>
        <w:rPr>
          <w:rStyle w:val="big-number"/>
          <w:rtl/>
        </w:rPr>
        <w:t>4</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לצורך התארגנותו הראשונית של זכאי, ולפי בקשתו שתוגש לא יאוחר מ</w:t>
      </w:r>
      <w:r>
        <w:rPr>
          <w:rStyle w:val="default"/>
          <w:rFonts w:cs="FrankRuehl" w:hint="cs"/>
          <w:rtl/>
        </w:rPr>
        <w:t>-</w:t>
      </w:r>
      <w:r>
        <w:rPr>
          <w:rStyle w:val="default"/>
          <w:rFonts w:cs="FrankRuehl"/>
          <w:rtl/>
        </w:rPr>
        <w:t>60 ימים מיום הפינוי, תעביר המינהלה, בסמוך ככל שניתן למועד הגשת הבקשה, לחשבון המוגן, סכום שלא יעלה על 50,000 שקלים חדשים מתוך פיצוי המגורים או הפיצויים לפי סימן ב' או ג' לפרק ה'</w:t>
      </w:r>
      <w:r>
        <w:rPr>
          <w:rStyle w:val="default"/>
          <w:rFonts w:cs="FrankRuehl" w:hint="cs"/>
          <w:rtl/>
        </w:rPr>
        <w:t xml:space="preserve"> </w:t>
      </w:r>
      <w:r>
        <w:rPr>
          <w:rStyle w:val="default"/>
          <w:rFonts w:cs="FrankRuehl"/>
          <w:rtl/>
        </w:rPr>
        <w:t>בחוק המגיעים לזכאי (להלן – הסכום המועבר), ובלבד שסכום הכספים</w:t>
      </w:r>
      <w:r>
        <w:rPr>
          <w:rStyle w:val="default"/>
          <w:rFonts w:cs="FrankRuehl" w:hint="cs"/>
          <w:rtl/>
        </w:rPr>
        <w:t xml:space="preserve"> </w:t>
      </w:r>
      <w:r>
        <w:rPr>
          <w:rStyle w:val="default"/>
          <w:rFonts w:cs="FrankRuehl"/>
          <w:rtl/>
        </w:rPr>
        <w:t>שישולם לזכאי מתוך הפיצויים האמורים עד למועד ההעברה, לרבות הסכום המועבר, לא יעלה על 50,000 שקלים חדשים.</w:t>
      </w:r>
    </w:p>
    <w:p w:rsidR="00FD2509" w:rsidRDefault="00FD25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יראו את הסכום המועבר כסכום שנזקף תחילה, ככל שניתן, על חשבון הכספים שעל המינהלה להעביר לחשבון המוגן לפי תקנות 2 ו</w:t>
      </w:r>
      <w:r>
        <w:rPr>
          <w:rStyle w:val="default"/>
          <w:rFonts w:cs="FrankRuehl" w:hint="cs"/>
          <w:rtl/>
        </w:rPr>
        <w:t>-</w:t>
      </w:r>
      <w:r>
        <w:rPr>
          <w:rStyle w:val="default"/>
          <w:rFonts w:cs="FrankRuehl"/>
          <w:rtl/>
        </w:rPr>
        <w:t>4(ג)</w:t>
      </w:r>
      <w:r>
        <w:rPr>
          <w:rStyle w:val="default"/>
          <w:rFonts w:cs="FrankRuehl" w:hint="cs"/>
          <w:rtl/>
        </w:rPr>
        <w:t xml:space="preserve"> </w:t>
      </w:r>
      <w:r>
        <w:rPr>
          <w:rStyle w:val="default"/>
          <w:rFonts w:cs="FrankRuehl"/>
          <w:rtl/>
        </w:rPr>
        <w:t>או ישירות למוכר או למחכיר זכויות בבית מגורים או מקרקעין כאמור בתקנה 4(א) ו</w:t>
      </w:r>
      <w:r>
        <w:rPr>
          <w:rStyle w:val="default"/>
          <w:rFonts w:cs="FrankRuehl" w:hint="cs"/>
          <w:rtl/>
        </w:rPr>
        <w:t>-</w:t>
      </w:r>
      <w:r>
        <w:rPr>
          <w:rStyle w:val="default"/>
          <w:rFonts w:cs="FrankRuehl"/>
          <w:rtl/>
        </w:rPr>
        <w:t>(ב)</w:t>
      </w:r>
      <w:r>
        <w:rPr>
          <w:rStyle w:val="default"/>
          <w:rFonts w:cs="FrankRuehl" w:hint="cs"/>
          <w:rtl/>
        </w:rPr>
        <w:t>.</w:t>
      </w:r>
    </w:p>
    <w:p w:rsidR="00EC55E2" w:rsidRPr="00067E59" w:rsidRDefault="00EC55E2" w:rsidP="00EC55E2">
      <w:pPr>
        <w:pStyle w:val="P00"/>
        <w:spacing w:before="0"/>
        <w:ind w:left="0" w:right="1134"/>
        <w:rPr>
          <w:rStyle w:val="default"/>
          <w:rFonts w:cs="FrankRuehl" w:hint="cs"/>
          <w:vanish/>
          <w:color w:val="FF0000"/>
          <w:szCs w:val="20"/>
          <w:shd w:val="clear" w:color="auto" w:fill="FFFF99"/>
          <w:rtl/>
        </w:rPr>
      </w:pPr>
      <w:bookmarkStart w:id="10" w:name="Rov11"/>
      <w:r w:rsidRPr="00067E59">
        <w:rPr>
          <w:rStyle w:val="default"/>
          <w:rFonts w:cs="FrankRuehl" w:hint="cs"/>
          <w:vanish/>
          <w:color w:val="FF0000"/>
          <w:szCs w:val="20"/>
          <w:shd w:val="clear" w:color="auto" w:fill="FFFF99"/>
          <w:rtl/>
        </w:rPr>
        <w:t>מיום 11.8.2005</w:t>
      </w:r>
    </w:p>
    <w:p w:rsidR="00EC55E2" w:rsidRPr="00067E59" w:rsidRDefault="00EC55E2" w:rsidP="00EC55E2">
      <w:pPr>
        <w:pStyle w:val="P00"/>
        <w:spacing w:before="0"/>
        <w:ind w:left="0" w:right="1134"/>
        <w:rPr>
          <w:rStyle w:val="default"/>
          <w:rFonts w:cs="FrankRuehl" w:hint="cs"/>
          <w:b/>
          <w:bCs/>
          <w:vanish/>
          <w:szCs w:val="20"/>
          <w:shd w:val="clear" w:color="auto" w:fill="FFFF99"/>
          <w:rtl/>
        </w:rPr>
      </w:pPr>
      <w:r w:rsidRPr="00067E59">
        <w:rPr>
          <w:rStyle w:val="default"/>
          <w:rFonts w:cs="FrankRuehl" w:hint="cs"/>
          <w:b/>
          <w:bCs/>
          <w:vanish/>
          <w:szCs w:val="20"/>
          <w:shd w:val="clear" w:color="auto" w:fill="FFFF99"/>
          <w:rtl/>
        </w:rPr>
        <w:t>תק' תשס"ה-2005</w:t>
      </w:r>
    </w:p>
    <w:p w:rsidR="00EC55E2" w:rsidRPr="00067E59" w:rsidRDefault="00EC55E2" w:rsidP="00EC55E2">
      <w:pPr>
        <w:pStyle w:val="P00"/>
        <w:spacing w:before="0"/>
        <w:ind w:left="0" w:right="1134"/>
        <w:rPr>
          <w:rStyle w:val="default"/>
          <w:rFonts w:cs="FrankRuehl" w:hint="cs"/>
          <w:vanish/>
          <w:szCs w:val="20"/>
          <w:shd w:val="clear" w:color="auto" w:fill="FFFF99"/>
          <w:rtl/>
        </w:rPr>
      </w:pPr>
      <w:hyperlink r:id="rId11" w:history="1">
        <w:r w:rsidRPr="00067E59">
          <w:rPr>
            <w:rStyle w:val="Hyperlink"/>
            <w:rFonts w:hint="cs"/>
            <w:vanish/>
            <w:szCs w:val="20"/>
            <w:shd w:val="clear" w:color="auto" w:fill="FFFF99"/>
            <w:rtl/>
          </w:rPr>
          <w:t>ק"ת תשס"ה מס' 6412</w:t>
        </w:r>
      </w:hyperlink>
      <w:r w:rsidRPr="00067E59">
        <w:rPr>
          <w:rStyle w:val="default"/>
          <w:rFonts w:cs="FrankRuehl" w:hint="cs"/>
          <w:vanish/>
          <w:szCs w:val="20"/>
          <w:shd w:val="clear" w:color="auto" w:fill="FFFF99"/>
          <w:rtl/>
        </w:rPr>
        <w:t xml:space="preserve"> מיום 11.8.2005 עמ' 886</w:t>
      </w:r>
    </w:p>
    <w:p w:rsidR="00EC55E2" w:rsidRPr="00EC55E2" w:rsidRDefault="00EC55E2" w:rsidP="00EC55E2">
      <w:pPr>
        <w:pStyle w:val="P00"/>
        <w:spacing w:before="0"/>
        <w:ind w:left="0" w:right="1134"/>
        <w:rPr>
          <w:rStyle w:val="default"/>
          <w:rFonts w:cs="FrankRuehl" w:hint="cs"/>
          <w:sz w:val="2"/>
          <w:szCs w:val="2"/>
          <w:rtl/>
        </w:rPr>
      </w:pPr>
      <w:r w:rsidRPr="00067E59">
        <w:rPr>
          <w:rStyle w:val="default"/>
          <w:rFonts w:cs="FrankRuehl" w:hint="cs"/>
          <w:b/>
          <w:bCs/>
          <w:vanish/>
          <w:szCs w:val="20"/>
          <w:shd w:val="clear" w:color="auto" w:fill="FFFF99"/>
          <w:rtl/>
        </w:rPr>
        <w:t>הוספת סעיף 4א</w:t>
      </w:r>
      <w:bookmarkEnd w:id="10"/>
    </w:p>
    <w:p w:rsidR="00FD2509" w:rsidRDefault="00FD2509">
      <w:pPr>
        <w:pStyle w:val="P00"/>
        <w:spacing w:before="72"/>
        <w:ind w:left="0" w:right="1134"/>
        <w:rPr>
          <w:rStyle w:val="default"/>
          <w:rFonts w:cs="FrankRuehl" w:hint="cs"/>
          <w:rtl/>
        </w:rPr>
      </w:pPr>
      <w:bookmarkStart w:id="11" w:name="Seif6"/>
      <w:bookmarkEnd w:id="11"/>
      <w:r>
        <w:rPr>
          <w:rFonts w:cs="Miriam"/>
          <w:szCs w:val="32"/>
          <w:rtl/>
          <w:lang w:val="he-IL"/>
        </w:rPr>
        <w:pict>
          <v:shape id="_x0000_s1130" type="#_x0000_t202" style="position:absolute;left:0;text-align:left;margin-left:470.25pt;margin-top:7.1pt;width:1in;height:28pt;z-index:251660800" filled="f" stroked="f">
            <v:textbox inset="1mm,0,1mm,0">
              <w:txbxContent>
                <w:p w:rsidR="00FD2509" w:rsidRDefault="00FD2509">
                  <w:pPr>
                    <w:spacing w:line="160" w:lineRule="exact"/>
                    <w:jc w:val="left"/>
                    <w:rPr>
                      <w:rFonts w:cs="Miriam" w:hint="cs"/>
                      <w:szCs w:val="18"/>
                      <w:rtl/>
                    </w:rPr>
                  </w:pPr>
                  <w:r>
                    <w:rPr>
                      <w:rFonts w:cs="Miriam" w:hint="cs"/>
                      <w:szCs w:val="18"/>
                      <w:rtl/>
                    </w:rPr>
                    <w:t>תשלום באמצעות שיק</w:t>
                  </w:r>
                </w:p>
                <w:p w:rsidR="00FD2509" w:rsidRDefault="00FD2509">
                  <w:pPr>
                    <w:spacing w:line="160" w:lineRule="exact"/>
                    <w:jc w:val="left"/>
                    <w:rPr>
                      <w:rFonts w:cs="Miriam" w:hint="cs"/>
                      <w:szCs w:val="18"/>
                      <w:rtl/>
                    </w:rPr>
                  </w:pPr>
                  <w:r>
                    <w:rPr>
                      <w:rFonts w:cs="Miriam" w:hint="cs"/>
                      <w:szCs w:val="18"/>
                      <w:rtl/>
                    </w:rPr>
                    <w:t>תק' תשס"ה-2005</w:t>
                  </w:r>
                </w:p>
              </w:txbxContent>
            </v:textbox>
            <w10:anchorlock/>
          </v:shape>
        </w:pict>
      </w:r>
      <w:r>
        <w:rPr>
          <w:rStyle w:val="big-number"/>
          <w:rtl/>
        </w:rPr>
        <w:t>4</w:t>
      </w:r>
      <w:r>
        <w:rPr>
          <w:rStyle w:val="default"/>
          <w:rFonts w:cs="FrankRuehl"/>
          <w:rtl/>
        </w:rPr>
        <w:t>ב.</w:t>
      </w:r>
      <w:r>
        <w:rPr>
          <w:rStyle w:val="default"/>
          <w:rFonts w:cs="FrankRuehl" w:hint="cs"/>
          <w:rtl/>
        </w:rPr>
        <w:tab/>
      </w:r>
      <w:r>
        <w:rPr>
          <w:rStyle w:val="default"/>
          <w:rFonts w:cs="FrankRuehl"/>
          <w:rtl/>
        </w:rPr>
        <w:t>על אף האמור בתקנות 2(א), 4(ג) ו</w:t>
      </w:r>
      <w:r>
        <w:rPr>
          <w:rStyle w:val="default"/>
          <w:rFonts w:cs="FrankRuehl" w:hint="cs"/>
          <w:rtl/>
        </w:rPr>
        <w:t>-</w:t>
      </w:r>
      <w:r>
        <w:rPr>
          <w:rStyle w:val="default"/>
          <w:rFonts w:cs="FrankRuehl"/>
          <w:rtl/>
        </w:rPr>
        <w:t>4א, המינהלה תשלם לזכאי, לפי בקשתו, שתוגש לא יאוחר מ</w:t>
      </w:r>
      <w:r>
        <w:rPr>
          <w:rStyle w:val="default"/>
          <w:rFonts w:cs="FrankRuehl" w:hint="cs"/>
          <w:rtl/>
        </w:rPr>
        <w:t>-</w:t>
      </w:r>
      <w:r>
        <w:rPr>
          <w:rStyle w:val="default"/>
          <w:rFonts w:cs="FrankRuehl"/>
          <w:rtl/>
        </w:rPr>
        <w:t>60 ימים מיום הפינוי, באמצעות שיק, סכום שלא יעלה על 50,000 שקלים חדשים מתוך הסכומים שהיה על המינהלה להעביר לחשבון המוגן לפי התקנות האמורות, וזאת בסמוך ככל שניתן</w:t>
      </w:r>
      <w:r>
        <w:rPr>
          <w:rStyle w:val="default"/>
          <w:rFonts w:cs="FrankRuehl" w:hint="cs"/>
          <w:rtl/>
        </w:rPr>
        <w:t xml:space="preserve"> </w:t>
      </w:r>
      <w:r>
        <w:rPr>
          <w:rStyle w:val="default"/>
          <w:rFonts w:cs="FrankRuehl"/>
          <w:rtl/>
        </w:rPr>
        <w:t>למועד הגשת הבקשה; שיק כאמור לא ניתן יהיה להפקדה בחשבון המוגן או בחשבון הפיצויים.</w:t>
      </w:r>
    </w:p>
    <w:p w:rsidR="00EC55E2" w:rsidRPr="00067E59" w:rsidRDefault="00EC55E2" w:rsidP="00EC55E2">
      <w:pPr>
        <w:pStyle w:val="P00"/>
        <w:spacing w:before="0"/>
        <w:ind w:left="0" w:right="1134"/>
        <w:rPr>
          <w:rStyle w:val="default"/>
          <w:rFonts w:cs="FrankRuehl" w:hint="cs"/>
          <w:vanish/>
          <w:color w:val="FF0000"/>
          <w:szCs w:val="20"/>
          <w:shd w:val="clear" w:color="auto" w:fill="FFFF99"/>
          <w:rtl/>
        </w:rPr>
      </w:pPr>
      <w:bookmarkStart w:id="12" w:name="Rov12"/>
      <w:r w:rsidRPr="00067E59">
        <w:rPr>
          <w:rStyle w:val="default"/>
          <w:rFonts w:cs="FrankRuehl" w:hint="cs"/>
          <w:vanish/>
          <w:color w:val="FF0000"/>
          <w:szCs w:val="20"/>
          <w:shd w:val="clear" w:color="auto" w:fill="FFFF99"/>
          <w:rtl/>
        </w:rPr>
        <w:t>מיום 11.8.2005</w:t>
      </w:r>
    </w:p>
    <w:p w:rsidR="00EC55E2" w:rsidRPr="00067E59" w:rsidRDefault="00EC55E2" w:rsidP="00EC55E2">
      <w:pPr>
        <w:pStyle w:val="P00"/>
        <w:spacing w:before="0"/>
        <w:ind w:left="0" w:right="1134"/>
        <w:rPr>
          <w:rStyle w:val="default"/>
          <w:rFonts w:cs="FrankRuehl" w:hint="cs"/>
          <w:b/>
          <w:bCs/>
          <w:vanish/>
          <w:szCs w:val="20"/>
          <w:shd w:val="clear" w:color="auto" w:fill="FFFF99"/>
          <w:rtl/>
        </w:rPr>
      </w:pPr>
      <w:r w:rsidRPr="00067E59">
        <w:rPr>
          <w:rStyle w:val="default"/>
          <w:rFonts w:cs="FrankRuehl" w:hint="cs"/>
          <w:b/>
          <w:bCs/>
          <w:vanish/>
          <w:szCs w:val="20"/>
          <w:shd w:val="clear" w:color="auto" w:fill="FFFF99"/>
          <w:rtl/>
        </w:rPr>
        <w:t>תק' תשס"ה-2005</w:t>
      </w:r>
    </w:p>
    <w:p w:rsidR="00EC55E2" w:rsidRPr="00067E59" w:rsidRDefault="00EC55E2" w:rsidP="00EC55E2">
      <w:pPr>
        <w:pStyle w:val="P00"/>
        <w:spacing w:before="0"/>
        <w:ind w:left="0" w:right="1134"/>
        <w:rPr>
          <w:rStyle w:val="default"/>
          <w:rFonts w:cs="FrankRuehl" w:hint="cs"/>
          <w:vanish/>
          <w:szCs w:val="20"/>
          <w:shd w:val="clear" w:color="auto" w:fill="FFFF99"/>
          <w:rtl/>
        </w:rPr>
      </w:pPr>
      <w:hyperlink r:id="rId12" w:history="1">
        <w:r w:rsidRPr="00067E59">
          <w:rPr>
            <w:rStyle w:val="Hyperlink"/>
            <w:rFonts w:hint="cs"/>
            <w:vanish/>
            <w:szCs w:val="20"/>
            <w:shd w:val="clear" w:color="auto" w:fill="FFFF99"/>
            <w:rtl/>
          </w:rPr>
          <w:t>ק"ת תשס"ה מס' 6412</w:t>
        </w:r>
      </w:hyperlink>
      <w:r w:rsidRPr="00067E59">
        <w:rPr>
          <w:rStyle w:val="default"/>
          <w:rFonts w:cs="FrankRuehl" w:hint="cs"/>
          <w:vanish/>
          <w:szCs w:val="20"/>
          <w:shd w:val="clear" w:color="auto" w:fill="FFFF99"/>
          <w:rtl/>
        </w:rPr>
        <w:t xml:space="preserve"> מיום 11.8.2005 עמ' 886</w:t>
      </w:r>
    </w:p>
    <w:p w:rsidR="00EC55E2" w:rsidRPr="00EC55E2" w:rsidRDefault="00EC55E2" w:rsidP="00EC55E2">
      <w:pPr>
        <w:pStyle w:val="P00"/>
        <w:spacing w:before="0"/>
        <w:ind w:left="0" w:right="1134"/>
        <w:rPr>
          <w:rStyle w:val="default"/>
          <w:rFonts w:cs="FrankRuehl" w:hint="cs"/>
          <w:sz w:val="2"/>
          <w:szCs w:val="2"/>
          <w:rtl/>
        </w:rPr>
      </w:pPr>
      <w:r w:rsidRPr="00067E59">
        <w:rPr>
          <w:rStyle w:val="default"/>
          <w:rFonts w:cs="FrankRuehl" w:hint="cs"/>
          <w:b/>
          <w:bCs/>
          <w:vanish/>
          <w:szCs w:val="20"/>
          <w:shd w:val="clear" w:color="auto" w:fill="FFFF99"/>
          <w:rtl/>
        </w:rPr>
        <w:t>הוספת סעיף 4ב</w:t>
      </w:r>
      <w:bookmarkEnd w:id="12"/>
    </w:p>
    <w:p w:rsidR="00FD2509" w:rsidRDefault="00FD2509">
      <w:pPr>
        <w:pStyle w:val="P00"/>
        <w:spacing w:before="72"/>
        <w:ind w:left="0" w:right="1134"/>
        <w:rPr>
          <w:rStyle w:val="default"/>
          <w:rFonts w:cs="FrankRuehl" w:hint="cs"/>
          <w:rtl/>
        </w:rPr>
      </w:pPr>
      <w:bookmarkStart w:id="13" w:name="Seif4"/>
      <w:bookmarkEnd w:id="13"/>
      <w:r>
        <w:rPr>
          <w:lang w:val="he-IL"/>
        </w:rPr>
        <w:pict>
          <v:rect id="_x0000_s1123" style="position:absolute;left:0;text-align:left;margin-left:464.5pt;margin-top:8.05pt;width:75.05pt;height:7.6pt;z-index:251656704" o:allowincell="f" filled="f" stroked="f" strokecolor="lime" strokeweight=".25pt">
            <v:textbox inset="0,0,0,0">
              <w:txbxContent>
                <w:p w:rsidR="00FD2509" w:rsidRDefault="00FD2509">
                  <w:pPr>
                    <w:spacing w:line="160" w:lineRule="exact"/>
                    <w:jc w:val="left"/>
                    <w:rPr>
                      <w:rFonts w:cs="Miriam" w:hint="cs"/>
                      <w:noProof/>
                      <w:szCs w:val="18"/>
                      <w:rtl/>
                    </w:rPr>
                  </w:pPr>
                  <w:r>
                    <w:rPr>
                      <w:rFonts w:cs="Miriam" w:hint="cs"/>
                      <w:szCs w:val="18"/>
                      <w:rtl/>
                    </w:rPr>
                    <w:t>תחולה ותחילה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תקנות אלה יחולו גם על פיצויים שהזכאות לקבלם נקבעה לזכאי ערב תחילתן; ואולם לענין פיצויים ששולמו לזכאי ערב תחילתן, יחולו התקנות רק לגבי סכומי כסף שקיבלה המינהלה מהזכאי, שלא יעלו על סכומי הפיצויים הנדונים בתקנות אלה ששולמו לו, ואשר הזכאי ביקש מהמינהלה להעבירם בדרך הקבועה בתקנות אלה לכל סכום כאמור.</w:t>
      </w:r>
    </w:p>
    <w:p w:rsidR="00FD2509" w:rsidRDefault="00FD2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תחילתן של תקנות 2(א) עד (ג), 3 ו-4(ג) ביום י' בתמוז התשס"ה (17 ביולי 2005); ואולם לבקשת זכאי, אשר זכאותו לפיצויים נקבעה בטרם המועד האמור, רשאית המינהלה שלא להעביר את סכומי הפיצויים שהתקנות האמורות חלות לגביהם לחשבונותיו עד למועד שיודיע לה הזכאי, שיהיה בתוך 30 ימים מהמועד האמור, וזאת במטרה להבטיח את תחולתן של התקנות האמורות לגבי סכומים כאמור.</w:t>
      </w:r>
    </w:p>
    <w:p w:rsidR="00FD2509" w:rsidRDefault="00FD2509">
      <w:pPr>
        <w:pStyle w:val="P00"/>
        <w:spacing w:before="72"/>
        <w:ind w:left="0" w:right="1134"/>
        <w:rPr>
          <w:rFonts w:hint="cs"/>
          <w:rtl/>
        </w:rPr>
      </w:pPr>
    </w:p>
    <w:p w:rsidR="00FD2509" w:rsidRDefault="00FD2509">
      <w:pPr>
        <w:pStyle w:val="P00"/>
        <w:spacing w:before="72"/>
        <w:ind w:left="0" w:right="1134"/>
        <w:rPr>
          <w:rFonts w:hint="cs"/>
          <w:rtl/>
        </w:rPr>
      </w:pPr>
    </w:p>
    <w:p w:rsidR="00FD2509" w:rsidRDefault="00FD2509">
      <w:pPr>
        <w:pStyle w:val="P00"/>
        <w:spacing w:before="72"/>
        <w:ind w:left="0" w:right="1134"/>
        <w:rPr>
          <w:rFonts w:hint="cs"/>
          <w:rtl/>
        </w:rPr>
      </w:pPr>
      <w:r>
        <w:rPr>
          <w:rFonts w:hint="cs"/>
          <w:rtl/>
        </w:rPr>
        <w:t>ה' בתמוז התשס"ה (12 ביולי 2005)</w:t>
      </w:r>
    </w:p>
    <w:p w:rsidR="00FD2509" w:rsidRDefault="00FD2509">
      <w:pPr>
        <w:pStyle w:val="sig-0"/>
        <w:tabs>
          <w:tab w:val="clear" w:pos="4820"/>
          <w:tab w:val="center" w:pos="5670"/>
        </w:tabs>
        <w:ind w:left="0" w:right="1134"/>
        <w:rPr>
          <w:rtl/>
        </w:rPr>
      </w:pPr>
      <w:r>
        <w:rPr>
          <w:rFonts w:hint="cs"/>
          <w:rtl/>
        </w:rPr>
        <w:tab/>
        <w:t>ציפי לבני</w:t>
      </w:r>
    </w:p>
    <w:p w:rsidR="00FD2509" w:rsidRDefault="00FD2509">
      <w:pPr>
        <w:pStyle w:val="sig-1"/>
        <w:widowControl/>
        <w:tabs>
          <w:tab w:val="clear" w:pos="851"/>
          <w:tab w:val="clear" w:pos="2835"/>
          <w:tab w:val="clear" w:pos="4820"/>
          <w:tab w:val="center" w:pos="5670"/>
        </w:tabs>
        <w:ind w:left="0" w:right="1134"/>
        <w:rPr>
          <w:rtl/>
        </w:rPr>
      </w:pPr>
      <w:r>
        <w:rPr>
          <w:rFonts w:hint="cs"/>
          <w:rtl/>
        </w:rPr>
        <w:tab/>
        <w:t>שרת המשפטים</w:t>
      </w:r>
    </w:p>
    <w:p w:rsidR="00FD2509" w:rsidRDefault="00FD2509">
      <w:pPr>
        <w:pStyle w:val="sig-1"/>
        <w:widowControl/>
        <w:ind w:left="0" w:right="1134"/>
        <w:rPr>
          <w:rFonts w:hint="cs"/>
          <w:rtl/>
        </w:rPr>
      </w:pPr>
    </w:p>
    <w:p w:rsidR="00EC55E2" w:rsidRDefault="00EC55E2">
      <w:pPr>
        <w:pStyle w:val="sig-1"/>
        <w:widowControl/>
        <w:ind w:left="0" w:right="1134"/>
        <w:rPr>
          <w:rFonts w:hint="cs"/>
          <w:rtl/>
        </w:rPr>
      </w:pPr>
    </w:p>
    <w:p w:rsidR="00EC55E2" w:rsidRDefault="00EC55E2">
      <w:pPr>
        <w:pStyle w:val="sig-1"/>
        <w:widowControl/>
        <w:ind w:left="0" w:right="1134"/>
        <w:rPr>
          <w:rFonts w:hint="cs"/>
          <w:rtl/>
        </w:rPr>
      </w:pPr>
    </w:p>
    <w:sectPr w:rsidR="00EC55E2">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E86" w:rsidRDefault="004C5E86">
      <w:r>
        <w:separator/>
      </w:r>
    </w:p>
  </w:endnote>
  <w:endnote w:type="continuationSeparator" w:id="0">
    <w:p w:rsidR="004C5E86" w:rsidRDefault="004C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09" w:rsidRDefault="00FD250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D2509" w:rsidRDefault="00FD25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D2509" w:rsidRDefault="00FD25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5E2">
      <w:rPr>
        <w:rFonts w:cs="TopType Jerushalmi"/>
        <w:noProof/>
        <w:color w:val="000000"/>
        <w:sz w:val="14"/>
        <w:szCs w:val="14"/>
      </w:rPr>
      <w:t>D:\Yael\hakika\Revadim\999_454.doc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09" w:rsidRDefault="00FD250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112B3">
      <w:rPr>
        <w:rFonts w:hAnsi="FrankRuehl"/>
        <w:noProof/>
        <w:sz w:val="24"/>
        <w:szCs w:val="24"/>
        <w:rtl/>
      </w:rPr>
      <w:t>3</w:t>
    </w:r>
    <w:r>
      <w:rPr>
        <w:rFonts w:hAnsi="FrankRuehl"/>
        <w:sz w:val="24"/>
        <w:szCs w:val="24"/>
        <w:rtl/>
      </w:rPr>
      <w:fldChar w:fldCharType="end"/>
    </w:r>
  </w:p>
  <w:p w:rsidR="00FD2509" w:rsidRDefault="00FD25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D2509" w:rsidRDefault="00FD25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5E2">
      <w:rPr>
        <w:rFonts w:cs="TopType Jerushalmi"/>
        <w:noProof/>
        <w:color w:val="000000"/>
        <w:sz w:val="14"/>
        <w:szCs w:val="14"/>
      </w:rPr>
      <w:t>D:\Yael\hakika\Revadim\999_454.doc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E86" w:rsidRDefault="004C5E86" w:rsidP="00EC55E2">
      <w:pPr>
        <w:spacing w:before="60" w:line="240" w:lineRule="auto"/>
        <w:ind w:right="1134"/>
      </w:pPr>
      <w:r>
        <w:separator/>
      </w:r>
    </w:p>
  </w:footnote>
  <w:footnote w:type="continuationSeparator" w:id="0">
    <w:p w:rsidR="004C5E86" w:rsidRDefault="004C5E86">
      <w:r>
        <w:continuationSeparator/>
      </w:r>
    </w:p>
  </w:footnote>
  <w:footnote w:id="1">
    <w:p w:rsidR="00FD2509" w:rsidRDefault="00FD25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תשס"ה מס' 6400</w:t>
        </w:r>
      </w:hyperlink>
      <w:r>
        <w:rPr>
          <w:rFonts w:hint="cs"/>
          <w:sz w:val="20"/>
          <w:rtl/>
        </w:rPr>
        <w:t xml:space="preserve"> מיום 14.7.2005 עמ' 802.</w:t>
      </w:r>
    </w:p>
    <w:p w:rsidR="00FD2509" w:rsidRDefault="00FD2509" w:rsidP="00EC55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6412</w:t>
        </w:r>
      </w:hyperlink>
      <w:r>
        <w:rPr>
          <w:rFonts w:hint="cs"/>
          <w:sz w:val="20"/>
          <w:rtl/>
        </w:rPr>
        <w:t xml:space="preserve"> מיום 11.8.2005 עמ' 886 </w:t>
      </w:r>
      <w:r>
        <w:rPr>
          <w:sz w:val="20"/>
          <w:rtl/>
        </w:rPr>
        <w:t>–</w:t>
      </w:r>
      <w:r>
        <w:rPr>
          <w:rFonts w:hint="cs"/>
          <w:sz w:val="20"/>
          <w:rtl/>
        </w:rPr>
        <w:t xml:space="preserve"> תק' תשס"ה-2005.</w:t>
      </w:r>
    </w:p>
    <w:p w:rsidR="000112B3" w:rsidRDefault="000112B3" w:rsidP="000112B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245B7B" w:rsidRPr="000112B3">
          <w:rPr>
            <w:rStyle w:val="Hyperlink"/>
            <w:rFonts w:hint="cs"/>
            <w:sz w:val="20"/>
            <w:rtl/>
          </w:rPr>
          <w:t>ק"ת תשע"ג מס' 7179</w:t>
        </w:r>
      </w:hyperlink>
      <w:r w:rsidR="00245B7B">
        <w:rPr>
          <w:rFonts w:hint="cs"/>
          <w:sz w:val="20"/>
          <w:rtl/>
        </w:rPr>
        <w:t xml:space="preserve"> מיום 13.11.2012 עמ' 166 </w:t>
      </w:r>
      <w:r w:rsidR="00245B7B">
        <w:rPr>
          <w:sz w:val="20"/>
          <w:rtl/>
        </w:rPr>
        <w:t>–</w:t>
      </w:r>
      <w:r w:rsidR="00245B7B">
        <w:rPr>
          <w:rFonts w:hint="cs"/>
          <w:sz w:val="20"/>
          <w:rtl/>
        </w:rPr>
        <w:t xml:space="preserve"> תק' תשע"ג-2012.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09" w:rsidRDefault="00FD250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FD2509" w:rsidRDefault="00FD250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D2509" w:rsidRDefault="00FD250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509" w:rsidRDefault="00FD250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(נכסים פטורים מעיקול)</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FD2509" w:rsidRDefault="00FD250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D2509" w:rsidRDefault="00FD250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55E2"/>
    <w:rsid w:val="000112B3"/>
    <w:rsid w:val="00067E59"/>
    <w:rsid w:val="00163214"/>
    <w:rsid w:val="00245B7B"/>
    <w:rsid w:val="002C0979"/>
    <w:rsid w:val="00453F62"/>
    <w:rsid w:val="004C5E86"/>
    <w:rsid w:val="007A0610"/>
    <w:rsid w:val="00AA2EB2"/>
    <w:rsid w:val="00BD0AF6"/>
    <w:rsid w:val="00D51C87"/>
    <w:rsid w:val="00D74D5A"/>
    <w:rsid w:val="00DB65A5"/>
    <w:rsid w:val="00EC55E2"/>
    <w:rsid w:val="00FD25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DD8841-4C2B-451D-809A-72AD338D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12.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179.pdf" TargetMode="External"/><Relationship Id="rId12" Type="http://schemas.openxmlformats.org/officeDocument/2006/relationships/hyperlink" Target="http://www.nevo.co.il/Law_word/law06/TAK-6412.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179.pdf" TargetMode="External"/><Relationship Id="rId11" Type="http://schemas.openxmlformats.org/officeDocument/2006/relationships/hyperlink" Target="http://www.nevo.co.il/Law_word/law06/TAK-6412.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6412.pdf" TargetMode="External"/><Relationship Id="rId4" Type="http://schemas.openxmlformats.org/officeDocument/2006/relationships/footnotes" Target="footnotes.xml"/><Relationship Id="rId9" Type="http://schemas.openxmlformats.org/officeDocument/2006/relationships/hyperlink" Target="http://www.nevo.co.il/Law_word/law06/TAK-6412.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79.pdf" TargetMode="External"/><Relationship Id="rId2" Type="http://schemas.openxmlformats.org/officeDocument/2006/relationships/hyperlink" Target="http://www.nevo.co.il/Law_word/law06/tak-6412.pdf" TargetMode="External"/><Relationship Id="rId1" Type="http://schemas.openxmlformats.org/officeDocument/2006/relationships/hyperlink" Target="http://www.nevo.co.il/Law_word/law06/tak-64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11360</CharactersWithSpaces>
  <SharedDoc>false</SharedDoc>
  <HLinks>
    <vt:vector size="102" baseType="variant">
      <vt:variant>
        <vt:i4>8257550</vt:i4>
      </vt:variant>
      <vt:variant>
        <vt:i4>60</vt:i4>
      </vt:variant>
      <vt:variant>
        <vt:i4>0</vt:i4>
      </vt:variant>
      <vt:variant>
        <vt:i4>5</vt:i4>
      </vt:variant>
      <vt:variant>
        <vt:lpwstr>http://www.nevo.co.il/Law_word/law06/TAK-6412.pdf</vt:lpwstr>
      </vt:variant>
      <vt:variant>
        <vt:lpwstr/>
      </vt:variant>
      <vt:variant>
        <vt:i4>8257550</vt:i4>
      </vt:variant>
      <vt:variant>
        <vt:i4>57</vt:i4>
      </vt:variant>
      <vt:variant>
        <vt:i4>0</vt:i4>
      </vt:variant>
      <vt:variant>
        <vt:i4>5</vt:i4>
      </vt:variant>
      <vt:variant>
        <vt:lpwstr>http://www.nevo.co.il/Law_word/law06/TAK-6412.pdf</vt:lpwstr>
      </vt:variant>
      <vt:variant>
        <vt:lpwstr/>
      </vt:variant>
      <vt:variant>
        <vt:i4>8257550</vt:i4>
      </vt:variant>
      <vt:variant>
        <vt:i4>54</vt:i4>
      </vt:variant>
      <vt:variant>
        <vt:i4>0</vt:i4>
      </vt:variant>
      <vt:variant>
        <vt:i4>5</vt:i4>
      </vt:variant>
      <vt:variant>
        <vt:lpwstr>http://www.nevo.co.il/Law_word/law06/TAK-6412.pdf</vt:lpwstr>
      </vt:variant>
      <vt:variant>
        <vt:lpwstr/>
      </vt:variant>
      <vt:variant>
        <vt:i4>8257550</vt:i4>
      </vt:variant>
      <vt:variant>
        <vt:i4>51</vt:i4>
      </vt:variant>
      <vt:variant>
        <vt:i4>0</vt:i4>
      </vt:variant>
      <vt:variant>
        <vt:i4>5</vt:i4>
      </vt:variant>
      <vt:variant>
        <vt:lpwstr>http://www.nevo.co.il/Law_word/law06/TAK-6412.pdf</vt:lpwstr>
      </vt:variant>
      <vt:variant>
        <vt:lpwstr/>
      </vt:variant>
      <vt:variant>
        <vt:i4>8257550</vt:i4>
      </vt:variant>
      <vt:variant>
        <vt:i4>48</vt:i4>
      </vt:variant>
      <vt:variant>
        <vt:i4>0</vt:i4>
      </vt:variant>
      <vt:variant>
        <vt:i4>5</vt:i4>
      </vt:variant>
      <vt:variant>
        <vt:lpwstr>http://www.nevo.co.il/Law_word/law06/TAK-6412.pdf</vt:lpwstr>
      </vt:variant>
      <vt:variant>
        <vt:lpwstr/>
      </vt:variant>
      <vt:variant>
        <vt:i4>7929856</vt:i4>
      </vt:variant>
      <vt:variant>
        <vt:i4>45</vt:i4>
      </vt:variant>
      <vt:variant>
        <vt:i4>0</vt:i4>
      </vt:variant>
      <vt:variant>
        <vt:i4>5</vt:i4>
      </vt:variant>
      <vt:variant>
        <vt:lpwstr>http://www.nevo.co.il/Law_word/law06/tak-7179.pdf</vt:lpwstr>
      </vt:variant>
      <vt:variant>
        <vt:lpwstr/>
      </vt:variant>
      <vt:variant>
        <vt:i4>7929856</vt:i4>
      </vt:variant>
      <vt:variant>
        <vt:i4>42</vt:i4>
      </vt:variant>
      <vt:variant>
        <vt:i4>0</vt:i4>
      </vt:variant>
      <vt:variant>
        <vt:i4>5</vt:i4>
      </vt:variant>
      <vt:variant>
        <vt:lpwstr>http://www.nevo.co.il/Law_word/law06/tak-7179.pdf</vt:lpwstr>
      </vt:variant>
      <vt:variant>
        <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7929856</vt:i4>
      </vt:variant>
      <vt:variant>
        <vt:i4>6</vt:i4>
      </vt:variant>
      <vt:variant>
        <vt:i4>0</vt:i4>
      </vt:variant>
      <vt:variant>
        <vt:i4>5</vt:i4>
      </vt:variant>
      <vt:variant>
        <vt:lpwstr>http://www.nevo.co.il/Law_word/law06/TAK-7179.pdf</vt:lpwstr>
      </vt:variant>
      <vt:variant>
        <vt:lpwstr/>
      </vt:variant>
      <vt:variant>
        <vt:i4>8257550</vt:i4>
      </vt:variant>
      <vt:variant>
        <vt:i4>3</vt:i4>
      </vt:variant>
      <vt:variant>
        <vt:i4>0</vt:i4>
      </vt:variant>
      <vt:variant>
        <vt:i4>5</vt:i4>
      </vt:variant>
      <vt:variant>
        <vt:lpwstr>http://www.nevo.co.il/Law_word/law06/tak-6412.pdf</vt:lpwstr>
      </vt:variant>
      <vt:variant>
        <vt:lpwstr/>
      </vt:variant>
      <vt:variant>
        <vt:i4>8323084</vt:i4>
      </vt:variant>
      <vt:variant>
        <vt:i4>0</vt:i4>
      </vt:variant>
      <vt:variant>
        <vt:i4>0</vt:i4>
      </vt:variant>
      <vt:variant>
        <vt:i4>5</vt:i4>
      </vt:variant>
      <vt:variant>
        <vt:lpwstr>http://www.nevo.co.il/Law_word/law06/tak-6400.pdf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(נכסים פטורים מעיקול), תשס"ה-2005</vt:lpwstr>
  </property>
  <property fmtid="{D5CDD505-2E9C-101B-9397-08002B2CF9AE}" pid="5" name="LAWNUMBER">
    <vt:lpwstr>0454</vt:lpwstr>
  </property>
  <property fmtid="{D5CDD505-2E9C-101B-9397-08002B2CF9AE}" pid="6" name="TYPE">
    <vt:lpwstr>01</vt:lpwstr>
  </property>
  <property fmtid="{D5CDD505-2E9C-101B-9397-08002B2CF9AE}" pid="7" name="LINKK1">
    <vt:lpwstr>http://www.nevo.co.il/Law_word/law06/tak-6412.pdf;רשומות – תקנות כלליות#תוקנו ק"ת תשס"ה מס' 6412#מיום 11.8.2005#עמ' 886#תק' תשס"ה-2005</vt:lpwstr>
  </property>
  <property fmtid="{D5CDD505-2E9C-101B-9397-08002B2CF9AE}" pid="8" name="LINKK2">
    <vt:lpwstr>http://www.nevo.co.il/Law_word/law06/tak-6400.pdf;רשומות – תקנות כלליות#פורסמו ק"ת תשס"ה מס' 6400#מיום 14.7.2005#עמ' 802</vt:lpwstr>
  </property>
  <property fmtid="{D5CDD505-2E9C-101B-9397-08002B2CF9AE}" pid="9" name="LINKK3">
    <vt:lpwstr>http://www.nevo.co.il/Law_word/law06/TAK-7179.pdf;רשומות - תקנות כלליות#ק"ת תשע"ג מס' 7179 #מיום 13.11.2012 עמ' 166 – תק' תשע"ג-2012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יישום תכנית ההתנתקות</vt:lpwstr>
  </property>
  <property fmtid="{D5CDD505-2E9C-101B-9397-08002B2CF9AE}" pid="23" name="MEKOR_SAIF1">
    <vt:lpwstr>103X;109XאX</vt:lpwstr>
  </property>
  <property fmtid="{D5CDD505-2E9C-101B-9397-08002B2CF9AE}" pid="24" name="NOSE11">
    <vt:lpwstr>בטחון</vt:lpwstr>
  </property>
  <property fmtid="{D5CDD505-2E9C-101B-9397-08002B2CF9AE}" pid="25" name="NOSE21">
    <vt:lpwstr>תכנית ההתנתקות</vt:lpwstr>
  </property>
  <property fmtid="{D5CDD505-2E9C-101B-9397-08002B2CF9AE}" pid="26" name="NOSE31">
    <vt:lpwstr>פיצוי, תשלום ומענק</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