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3A6F" w:rsidRDefault="003A3A6F">
      <w:pPr>
        <w:pStyle w:val="big-header"/>
        <w:ind w:left="0" w:right="1134"/>
      </w:pPr>
      <w:r>
        <w:rPr>
          <w:rFonts w:hint="cs"/>
          <w:rtl/>
        </w:rPr>
        <w:t>תקנות יישום תכנית ההתנתקות (סדרי דין בערעור לפי החוק), תשס"ה-2005</w:t>
      </w:r>
    </w:p>
    <w:p w:rsidR="003402B9" w:rsidRPr="003402B9" w:rsidRDefault="003402B9" w:rsidP="003402B9">
      <w:pPr>
        <w:spacing w:line="320" w:lineRule="auto"/>
        <w:jc w:val="left"/>
        <w:rPr>
          <w:rFonts w:cs="FrankRuehl"/>
          <w:szCs w:val="26"/>
          <w:rtl/>
        </w:rPr>
      </w:pPr>
    </w:p>
    <w:p w:rsidR="003402B9" w:rsidRDefault="003402B9" w:rsidP="003402B9">
      <w:pPr>
        <w:spacing w:line="320" w:lineRule="auto"/>
        <w:jc w:val="left"/>
        <w:rPr>
          <w:rtl/>
        </w:rPr>
      </w:pPr>
    </w:p>
    <w:p w:rsidR="003402B9" w:rsidRDefault="003402B9" w:rsidP="003402B9">
      <w:pPr>
        <w:spacing w:line="320" w:lineRule="auto"/>
        <w:jc w:val="left"/>
        <w:rPr>
          <w:rFonts w:cs="FrankRuehl"/>
          <w:szCs w:val="26"/>
          <w:rtl/>
        </w:rPr>
      </w:pPr>
      <w:r w:rsidRPr="003402B9">
        <w:rPr>
          <w:rFonts w:cs="Miriam"/>
          <w:szCs w:val="22"/>
          <w:rtl/>
        </w:rPr>
        <w:t>בטחון</w:t>
      </w:r>
      <w:r w:rsidRPr="003402B9">
        <w:rPr>
          <w:rFonts w:cs="FrankRuehl"/>
          <w:szCs w:val="26"/>
          <w:rtl/>
        </w:rPr>
        <w:t xml:space="preserve"> – תכנית ההתנתקות</w:t>
      </w:r>
    </w:p>
    <w:p w:rsidR="003402B9" w:rsidRPr="003402B9" w:rsidRDefault="003402B9" w:rsidP="003402B9">
      <w:pPr>
        <w:spacing w:line="320" w:lineRule="auto"/>
        <w:jc w:val="left"/>
        <w:rPr>
          <w:rFonts w:cs="Miriam"/>
          <w:szCs w:val="22"/>
          <w:rtl/>
        </w:rPr>
      </w:pPr>
      <w:r w:rsidRPr="003402B9">
        <w:rPr>
          <w:rFonts w:cs="Miriam"/>
          <w:szCs w:val="22"/>
          <w:rtl/>
        </w:rPr>
        <w:t>בתי משפט וסדרי דין</w:t>
      </w:r>
      <w:r w:rsidRPr="003402B9">
        <w:rPr>
          <w:rFonts w:cs="FrankRuehl"/>
          <w:szCs w:val="26"/>
          <w:rtl/>
        </w:rPr>
        <w:t xml:space="preserve"> – סדר דין אזרחי – ערעור על החלטות</w:t>
      </w:r>
    </w:p>
    <w:p w:rsidR="003A3A6F" w:rsidRDefault="003A3A6F">
      <w:pPr>
        <w:pStyle w:val="big-header"/>
        <w:ind w:left="0" w:right="1134"/>
        <w:rPr>
          <w:rStyle w:val="default"/>
          <w:rFonts w:cs="FrankRuehl"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A3A6F">
        <w:tblPrEx>
          <w:tblCellMar>
            <w:top w:w="0" w:type="dxa"/>
            <w:bottom w:w="0" w:type="dxa"/>
          </w:tblCellMar>
        </w:tblPrEx>
        <w:trPr>
          <w:jc w:val="right"/>
        </w:trPr>
        <w:tc>
          <w:tcPr>
            <w:tcW w:w="850" w:type="dxa"/>
          </w:tcPr>
          <w:p w:rsidR="003A3A6F" w:rsidRDefault="003A3A6F">
            <w:pPr>
              <w:spacing w:line="240" w:lineRule="auto"/>
              <w:jc w:val="left"/>
              <w:rPr>
                <w:rFonts w:hint="cs"/>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3A3A6F" w:rsidRDefault="003A3A6F">
            <w:pPr>
              <w:spacing w:line="240" w:lineRule="auto"/>
              <w:jc w:val="left"/>
              <w:rPr>
                <w:rFonts w:hint="cs"/>
                <w:sz w:val="24"/>
              </w:rPr>
            </w:pPr>
            <w:hyperlink w:anchor="Seif0" w:tooltip="הגשת ערעור" w:history="1">
              <w:r>
                <w:rPr>
                  <w:rStyle w:val="Hyperlink"/>
                </w:rPr>
                <w:t>Go</w:t>
              </w:r>
            </w:hyperlink>
          </w:p>
        </w:tc>
        <w:tc>
          <w:tcPr>
            <w:tcW w:w="5669" w:type="dxa"/>
          </w:tcPr>
          <w:p w:rsidR="003A3A6F" w:rsidRDefault="003A3A6F">
            <w:pPr>
              <w:spacing w:line="240" w:lineRule="auto"/>
              <w:jc w:val="left"/>
              <w:rPr>
                <w:sz w:val="24"/>
                <w:rtl/>
              </w:rPr>
            </w:pPr>
            <w:r>
              <w:rPr>
                <w:sz w:val="24"/>
                <w:rtl/>
              </w:rPr>
              <w:t>הגשת ערעור</w:t>
            </w:r>
          </w:p>
        </w:tc>
        <w:tc>
          <w:tcPr>
            <w:tcW w:w="1247" w:type="dxa"/>
          </w:tcPr>
          <w:p w:rsidR="003A3A6F" w:rsidRDefault="003A3A6F">
            <w:pPr>
              <w:spacing w:line="240" w:lineRule="auto"/>
              <w:jc w:val="left"/>
              <w:rPr>
                <w:rFonts w:hint="cs"/>
                <w:sz w:val="24"/>
              </w:rPr>
            </w:pPr>
            <w:r>
              <w:rPr>
                <w:sz w:val="24"/>
                <w:rtl/>
              </w:rPr>
              <w:t xml:space="preserve">סעיף 1 </w:t>
            </w:r>
          </w:p>
        </w:tc>
      </w:tr>
      <w:tr w:rsidR="003A3A6F">
        <w:tblPrEx>
          <w:tblCellMar>
            <w:top w:w="0" w:type="dxa"/>
            <w:bottom w:w="0" w:type="dxa"/>
          </w:tblCellMar>
        </w:tblPrEx>
        <w:trPr>
          <w:jc w:val="right"/>
        </w:trPr>
        <w:tc>
          <w:tcPr>
            <w:tcW w:w="850" w:type="dxa"/>
          </w:tcPr>
          <w:p w:rsidR="003A3A6F" w:rsidRDefault="003A3A6F">
            <w:pPr>
              <w:spacing w:line="240" w:lineRule="auto"/>
              <w:jc w:val="left"/>
              <w:rPr>
                <w:rFonts w:hint="cs"/>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3A3A6F" w:rsidRDefault="003A3A6F">
            <w:pPr>
              <w:spacing w:line="240" w:lineRule="auto"/>
              <w:jc w:val="left"/>
              <w:rPr>
                <w:rFonts w:hint="cs"/>
                <w:sz w:val="24"/>
              </w:rPr>
            </w:pPr>
            <w:hyperlink w:anchor="Seif1" w:tooltip="פרטי הערעור" w:history="1">
              <w:r>
                <w:rPr>
                  <w:rStyle w:val="Hyperlink"/>
                </w:rPr>
                <w:t>Go</w:t>
              </w:r>
            </w:hyperlink>
          </w:p>
        </w:tc>
        <w:tc>
          <w:tcPr>
            <w:tcW w:w="5669" w:type="dxa"/>
          </w:tcPr>
          <w:p w:rsidR="003A3A6F" w:rsidRDefault="003A3A6F">
            <w:pPr>
              <w:spacing w:line="240" w:lineRule="auto"/>
              <w:jc w:val="left"/>
              <w:rPr>
                <w:sz w:val="24"/>
                <w:rtl/>
              </w:rPr>
            </w:pPr>
            <w:r>
              <w:rPr>
                <w:sz w:val="24"/>
                <w:rtl/>
              </w:rPr>
              <w:t>פרטי הערעור</w:t>
            </w:r>
          </w:p>
        </w:tc>
        <w:tc>
          <w:tcPr>
            <w:tcW w:w="1247" w:type="dxa"/>
          </w:tcPr>
          <w:p w:rsidR="003A3A6F" w:rsidRDefault="003A3A6F">
            <w:pPr>
              <w:spacing w:line="240" w:lineRule="auto"/>
              <w:jc w:val="left"/>
              <w:rPr>
                <w:rFonts w:hint="cs"/>
                <w:sz w:val="24"/>
              </w:rPr>
            </w:pPr>
            <w:r>
              <w:rPr>
                <w:sz w:val="24"/>
                <w:rtl/>
              </w:rPr>
              <w:t xml:space="preserve">סעיף 2 </w:t>
            </w:r>
          </w:p>
        </w:tc>
      </w:tr>
      <w:tr w:rsidR="003A3A6F">
        <w:tblPrEx>
          <w:tblCellMar>
            <w:top w:w="0" w:type="dxa"/>
            <w:bottom w:w="0" w:type="dxa"/>
          </w:tblCellMar>
        </w:tblPrEx>
        <w:trPr>
          <w:jc w:val="right"/>
        </w:trPr>
        <w:tc>
          <w:tcPr>
            <w:tcW w:w="850" w:type="dxa"/>
          </w:tcPr>
          <w:p w:rsidR="003A3A6F" w:rsidRDefault="003A3A6F">
            <w:pPr>
              <w:spacing w:line="240" w:lineRule="auto"/>
              <w:jc w:val="left"/>
              <w:rPr>
                <w:rFonts w:hint="cs"/>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3A3A6F" w:rsidRDefault="003A3A6F">
            <w:pPr>
              <w:spacing w:line="240" w:lineRule="auto"/>
              <w:jc w:val="left"/>
              <w:rPr>
                <w:rFonts w:hint="cs"/>
                <w:sz w:val="24"/>
              </w:rPr>
            </w:pPr>
            <w:hyperlink w:anchor="Seif2" w:tooltip="הארכת מועד להגשת ערעור" w:history="1">
              <w:r>
                <w:rPr>
                  <w:rStyle w:val="Hyperlink"/>
                </w:rPr>
                <w:t>Go</w:t>
              </w:r>
            </w:hyperlink>
          </w:p>
        </w:tc>
        <w:tc>
          <w:tcPr>
            <w:tcW w:w="5669" w:type="dxa"/>
          </w:tcPr>
          <w:p w:rsidR="003A3A6F" w:rsidRDefault="003A3A6F">
            <w:pPr>
              <w:spacing w:line="240" w:lineRule="auto"/>
              <w:jc w:val="left"/>
              <w:rPr>
                <w:sz w:val="24"/>
                <w:rtl/>
              </w:rPr>
            </w:pPr>
            <w:r>
              <w:rPr>
                <w:sz w:val="24"/>
                <w:rtl/>
              </w:rPr>
              <w:t>הארכת מועד להגשת ערעור</w:t>
            </w:r>
          </w:p>
        </w:tc>
        <w:tc>
          <w:tcPr>
            <w:tcW w:w="1247" w:type="dxa"/>
          </w:tcPr>
          <w:p w:rsidR="003A3A6F" w:rsidRDefault="003A3A6F">
            <w:pPr>
              <w:spacing w:line="240" w:lineRule="auto"/>
              <w:jc w:val="left"/>
              <w:rPr>
                <w:rFonts w:hint="cs"/>
                <w:sz w:val="24"/>
              </w:rPr>
            </w:pPr>
            <w:r>
              <w:rPr>
                <w:sz w:val="24"/>
                <w:rtl/>
              </w:rPr>
              <w:t xml:space="preserve">סעיף 3 </w:t>
            </w:r>
          </w:p>
        </w:tc>
      </w:tr>
      <w:tr w:rsidR="003A3A6F">
        <w:tblPrEx>
          <w:tblCellMar>
            <w:top w:w="0" w:type="dxa"/>
            <w:bottom w:w="0" w:type="dxa"/>
          </w:tblCellMar>
        </w:tblPrEx>
        <w:trPr>
          <w:jc w:val="right"/>
        </w:trPr>
        <w:tc>
          <w:tcPr>
            <w:tcW w:w="850" w:type="dxa"/>
          </w:tcPr>
          <w:p w:rsidR="003A3A6F" w:rsidRDefault="003A3A6F">
            <w:pPr>
              <w:spacing w:line="240" w:lineRule="auto"/>
              <w:jc w:val="left"/>
              <w:rPr>
                <w:rFonts w:hint="cs"/>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3A3A6F" w:rsidRDefault="003A3A6F">
            <w:pPr>
              <w:spacing w:line="240" w:lineRule="auto"/>
              <w:jc w:val="left"/>
              <w:rPr>
                <w:rFonts w:hint="cs"/>
                <w:sz w:val="24"/>
              </w:rPr>
            </w:pPr>
            <w:hyperlink w:anchor="Seif3" w:tooltip="המצאה למשיבה" w:history="1">
              <w:r>
                <w:rPr>
                  <w:rStyle w:val="Hyperlink"/>
                </w:rPr>
                <w:t>Go</w:t>
              </w:r>
            </w:hyperlink>
          </w:p>
        </w:tc>
        <w:tc>
          <w:tcPr>
            <w:tcW w:w="5669" w:type="dxa"/>
          </w:tcPr>
          <w:p w:rsidR="003A3A6F" w:rsidRDefault="003A3A6F">
            <w:pPr>
              <w:spacing w:line="240" w:lineRule="auto"/>
              <w:jc w:val="left"/>
              <w:rPr>
                <w:sz w:val="24"/>
                <w:rtl/>
              </w:rPr>
            </w:pPr>
            <w:r>
              <w:rPr>
                <w:sz w:val="24"/>
                <w:rtl/>
              </w:rPr>
              <w:t>המצאה למשיבה</w:t>
            </w:r>
          </w:p>
        </w:tc>
        <w:tc>
          <w:tcPr>
            <w:tcW w:w="1247" w:type="dxa"/>
          </w:tcPr>
          <w:p w:rsidR="003A3A6F" w:rsidRDefault="003A3A6F">
            <w:pPr>
              <w:spacing w:line="240" w:lineRule="auto"/>
              <w:jc w:val="left"/>
              <w:rPr>
                <w:rFonts w:hint="cs"/>
                <w:sz w:val="24"/>
              </w:rPr>
            </w:pPr>
            <w:r>
              <w:rPr>
                <w:sz w:val="24"/>
                <w:rtl/>
              </w:rPr>
              <w:t xml:space="preserve">סעיף 4 </w:t>
            </w:r>
          </w:p>
        </w:tc>
      </w:tr>
      <w:tr w:rsidR="003A3A6F">
        <w:tblPrEx>
          <w:tblCellMar>
            <w:top w:w="0" w:type="dxa"/>
            <w:bottom w:w="0" w:type="dxa"/>
          </w:tblCellMar>
        </w:tblPrEx>
        <w:trPr>
          <w:jc w:val="right"/>
        </w:trPr>
        <w:tc>
          <w:tcPr>
            <w:tcW w:w="850" w:type="dxa"/>
          </w:tcPr>
          <w:p w:rsidR="003A3A6F" w:rsidRDefault="003A3A6F">
            <w:pPr>
              <w:spacing w:line="240" w:lineRule="auto"/>
              <w:jc w:val="left"/>
              <w:rPr>
                <w:rFonts w:hint="cs"/>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3A3A6F" w:rsidRDefault="003A3A6F">
            <w:pPr>
              <w:spacing w:line="240" w:lineRule="auto"/>
              <w:jc w:val="left"/>
              <w:rPr>
                <w:rFonts w:hint="cs"/>
                <w:sz w:val="24"/>
              </w:rPr>
            </w:pPr>
            <w:hyperlink w:anchor="Seif5" w:tooltip="פגם בכתב הערעור" w:history="1">
              <w:r>
                <w:rPr>
                  <w:rStyle w:val="Hyperlink"/>
                </w:rPr>
                <w:t>Go</w:t>
              </w:r>
            </w:hyperlink>
          </w:p>
        </w:tc>
        <w:tc>
          <w:tcPr>
            <w:tcW w:w="5669" w:type="dxa"/>
          </w:tcPr>
          <w:p w:rsidR="003A3A6F" w:rsidRDefault="003A3A6F">
            <w:pPr>
              <w:spacing w:line="240" w:lineRule="auto"/>
              <w:jc w:val="left"/>
              <w:rPr>
                <w:sz w:val="24"/>
                <w:rtl/>
              </w:rPr>
            </w:pPr>
            <w:r>
              <w:rPr>
                <w:sz w:val="24"/>
                <w:rtl/>
              </w:rPr>
              <w:t>פגם בכתב הערעור</w:t>
            </w:r>
          </w:p>
        </w:tc>
        <w:tc>
          <w:tcPr>
            <w:tcW w:w="1247" w:type="dxa"/>
          </w:tcPr>
          <w:p w:rsidR="003A3A6F" w:rsidRDefault="003A3A6F">
            <w:pPr>
              <w:spacing w:line="240" w:lineRule="auto"/>
              <w:jc w:val="left"/>
              <w:rPr>
                <w:rFonts w:hint="cs"/>
                <w:sz w:val="24"/>
              </w:rPr>
            </w:pPr>
            <w:r>
              <w:rPr>
                <w:sz w:val="24"/>
                <w:rtl/>
              </w:rPr>
              <w:t xml:space="preserve">סעיף 5 </w:t>
            </w:r>
          </w:p>
        </w:tc>
      </w:tr>
      <w:tr w:rsidR="003A3A6F">
        <w:tblPrEx>
          <w:tblCellMar>
            <w:top w:w="0" w:type="dxa"/>
            <w:bottom w:w="0" w:type="dxa"/>
          </w:tblCellMar>
        </w:tblPrEx>
        <w:trPr>
          <w:jc w:val="right"/>
        </w:trPr>
        <w:tc>
          <w:tcPr>
            <w:tcW w:w="850" w:type="dxa"/>
          </w:tcPr>
          <w:p w:rsidR="003A3A6F" w:rsidRDefault="003A3A6F">
            <w:pPr>
              <w:spacing w:line="240" w:lineRule="auto"/>
              <w:jc w:val="left"/>
              <w:rPr>
                <w:rFonts w:hint="cs"/>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3A3A6F" w:rsidRDefault="003A3A6F">
            <w:pPr>
              <w:spacing w:line="240" w:lineRule="auto"/>
              <w:jc w:val="left"/>
              <w:rPr>
                <w:rFonts w:hint="cs"/>
                <w:sz w:val="24"/>
              </w:rPr>
            </w:pPr>
            <w:hyperlink w:anchor="Seif4" w:tooltip="תגובת המשיבה לערעור" w:history="1">
              <w:r>
                <w:rPr>
                  <w:rStyle w:val="Hyperlink"/>
                </w:rPr>
                <w:t>Go</w:t>
              </w:r>
            </w:hyperlink>
          </w:p>
        </w:tc>
        <w:tc>
          <w:tcPr>
            <w:tcW w:w="5669" w:type="dxa"/>
          </w:tcPr>
          <w:p w:rsidR="003A3A6F" w:rsidRDefault="003A3A6F">
            <w:pPr>
              <w:spacing w:line="240" w:lineRule="auto"/>
              <w:jc w:val="left"/>
              <w:rPr>
                <w:sz w:val="24"/>
                <w:rtl/>
              </w:rPr>
            </w:pPr>
            <w:r>
              <w:rPr>
                <w:sz w:val="24"/>
                <w:rtl/>
              </w:rPr>
              <w:t>תגובת המשיבה לערעור</w:t>
            </w:r>
          </w:p>
        </w:tc>
        <w:tc>
          <w:tcPr>
            <w:tcW w:w="1247" w:type="dxa"/>
          </w:tcPr>
          <w:p w:rsidR="003A3A6F" w:rsidRDefault="003A3A6F">
            <w:pPr>
              <w:spacing w:line="240" w:lineRule="auto"/>
              <w:jc w:val="left"/>
              <w:rPr>
                <w:rFonts w:hint="cs"/>
                <w:sz w:val="24"/>
              </w:rPr>
            </w:pPr>
            <w:r>
              <w:rPr>
                <w:sz w:val="24"/>
                <w:rtl/>
              </w:rPr>
              <w:t xml:space="preserve">סעיף 6 </w:t>
            </w:r>
          </w:p>
        </w:tc>
      </w:tr>
      <w:tr w:rsidR="003A3A6F">
        <w:tblPrEx>
          <w:tblCellMar>
            <w:top w:w="0" w:type="dxa"/>
            <w:bottom w:w="0" w:type="dxa"/>
          </w:tblCellMar>
        </w:tblPrEx>
        <w:trPr>
          <w:jc w:val="right"/>
        </w:trPr>
        <w:tc>
          <w:tcPr>
            <w:tcW w:w="850" w:type="dxa"/>
          </w:tcPr>
          <w:p w:rsidR="003A3A6F" w:rsidRDefault="003A3A6F">
            <w:pPr>
              <w:spacing w:line="240" w:lineRule="auto"/>
              <w:jc w:val="left"/>
              <w:rPr>
                <w:rFonts w:hint="cs"/>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3A3A6F" w:rsidRDefault="003A3A6F">
            <w:pPr>
              <w:spacing w:line="240" w:lineRule="auto"/>
              <w:jc w:val="left"/>
              <w:rPr>
                <w:rFonts w:hint="cs"/>
                <w:sz w:val="24"/>
              </w:rPr>
            </w:pPr>
            <w:hyperlink w:anchor="Seif6" w:tooltip="קדם דיון" w:history="1">
              <w:r>
                <w:rPr>
                  <w:rStyle w:val="Hyperlink"/>
                </w:rPr>
                <w:t>Go</w:t>
              </w:r>
            </w:hyperlink>
          </w:p>
        </w:tc>
        <w:tc>
          <w:tcPr>
            <w:tcW w:w="5669" w:type="dxa"/>
          </w:tcPr>
          <w:p w:rsidR="003A3A6F" w:rsidRDefault="003A3A6F">
            <w:pPr>
              <w:spacing w:line="240" w:lineRule="auto"/>
              <w:jc w:val="left"/>
              <w:rPr>
                <w:sz w:val="24"/>
                <w:rtl/>
              </w:rPr>
            </w:pPr>
            <w:r>
              <w:rPr>
                <w:sz w:val="24"/>
                <w:rtl/>
              </w:rPr>
              <w:t>קדם דיון</w:t>
            </w:r>
          </w:p>
        </w:tc>
        <w:tc>
          <w:tcPr>
            <w:tcW w:w="1247" w:type="dxa"/>
          </w:tcPr>
          <w:p w:rsidR="003A3A6F" w:rsidRDefault="003A3A6F">
            <w:pPr>
              <w:spacing w:line="240" w:lineRule="auto"/>
              <w:jc w:val="left"/>
              <w:rPr>
                <w:rFonts w:hint="cs"/>
                <w:sz w:val="24"/>
              </w:rPr>
            </w:pPr>
            <w:r>
              <w:rPr>
                <w:sz w:val="24"/>
                <w:rtl/>
              </w:rPr>
              <w:t xml:space="preserve">סעיף 7 </w:t>
            </w:r>
          </w:p>
        </w:tc>
      </w:tr>
      <w:tr w:rsidR="003A3A6F">
        <w:tblPrEx>
          <w:tblCellMar>
            <w:top w:w="0" w:type="dxa"/>
            <w:bottom w:w="0" w:type="dxa"/>
          </w:tblCellMar>
        </w:tblPrEx>
        <w:trPr>
          <w:jc w:val="right"/>
        </w:trPr>
        <w:tc>
          <w:tcPr>
            <w:tcW w:w="850" w:type="dxa"/>
          </w:tcPr>
          <w:p w:rsidR="003A3A6F" w:rsidRDefault="003A3A6F">
            <w:pPr>
              <w:spacing w:line="240" w:lineRule="auto"/>
              <w:jc w:val="left"/>
              <w:rPr>
                <w:rFonts w:hint="cs"/>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3A3A6F" w:rsidRDefault="003A3A6F">
            <w:pPr>
              <w:spacing w:line="240" w:lineRule="auto"/>
              <w:jc w:val="left"/>
              <w:rPr>
                <w:rFonts w:hint="cs"/>
                <w:sz w:val="24"/>
              </w:rPr>
            </w:pPr>
            <w:hyperlink w:anchor="Seif7" w:tooltip="סדר הטיעון" w:history="1">
              <w:r>
                <w:rPr>
                  <w:rStyle w:val="Hyperlink"/>
                </w:rPr>
                <w:t>Go</w:t>
              </w:r>
            </w:hyperlink>
          </w:p>
        </w:tc>
        <w:tc>
          <w:tcPr>
            <w:tcW w:w="5669" w:type="dxa"/>
          </w:tcPr>
          <w:p w:rsidR="003A3A6F" w:rsidRDefault="003A3A6F">
            <w:pPr>
              <w:spacing w:line="240" w:lineRule="auto"/>
              <w:jc w:val="left"/>
              <w:rPr>
                <w:sz w:val="24"/>
                <w:rtl/>
              </w:rPr>
            </w:pPr>
            <w:r>
              <w:rPr>
                <w:sz w:val="24"/>
                <w:rtl/>
              </w:rPr>
              <w:t>סדר הטיעון</w:t>
            </w:r>
          </w:p>
        </w:tc>
        <w:tc>
          <w:tcPr>
            <w:tcW w:w="1247" w:type="dxa"/>
          </w:tcPr>
          <w:p w:rsidR="003A3A6F" w:rsidRDefault="003A3A6F">
            <w:pPr>
              <w:spacing w:line="240" w:lineRule="auto"/>
              <w:jc w:val="left"/>
              <w:rPr>
                <w:rFonts w:hint="cs"/>
                <w:sz w:val="24"/>
              </w:rPr>
            </w:pPr>
            <w:r>
              <w:rPr>
                <w:sz w:val="24"/>
                <w:rtl/>
              </w:rPr>
              <w:t xml:space="preserve">סעיף 8 </w:t>
            </w:r>
          </w:p>
        </w:tc>
      </w:tr>
      <w:tr w:rsidR="003A3A6F">
        <w:tblPrEx>
          <w:tblCellMar>
            <w:top w:w="0" w:type="dxa"/>
            <w:bottom w:w="0" w:type="dxa"/>
          </w:tblCellMar>
        </w:tblPrEx>
        <w:trPr>
          <w:jc w:val="right"/>
        </w:trPr>
        <w:tc>
          <w:tcPr>
            <w:tcW w:w="850" w:type="dxa"/>
          </w:tcPr>
          <w:p w:rsidR="003A3A6F" w:rsidRDefault="003A3A6F">
            <w:pPr>
              <w:spacing w:line="240" w:lineRule="auto"/>
              <w:jc w:val="left"/>
              <w:rPr>
                <w:rFonts w:hint="cs"/>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3A3A6F" w:rsidRDefault="003A3A6F">
            <w:pPr>
              <w:spacing w:line="240" w:lineRule="auto"/>
              <w:jc w:val="left"/>
              <w:rPr>
                <w:rFonts w:hint="cs"/>
                <w:sz w:val="24"/>
              </w:rPr>
            </w:pPr>
            <w:hyperlink w:anchor="Seif8" w:tooltip="פסק דין" w:history="1">
              <w:r>
                <w:rPr>
                  <w:rStyle w:val="Hyperlink"/>
                </w:rPr>
                <w:t>Go</w:t>
              </w:r>
            </w:hyperlink>
          </w:p>
        </w:tc>
        <w:tc>
          <w:tcPr>
            <w:tcW w:w="5669" w:type="dxa"/>
          </w:tcPr>
          <w:p w:rsidR="003A3A6F" w:rsidRDefault="003A3A6F">
            <w:pPr>
              <w:spacing w:line="240" w:lineRule="auto"/>
              <w:jc w:val="left"/>
              <w:rPr>
                <w:sz w:val="24"/>
                <w:rtl/>
              </w:rPr>
            </w:pPr>
            <w:r>
              <w:rPr>
                <w:sz w:val="24"/>
                <w:rtl/>
              </w:rPr>
              <w:t>פסק דין</w:t>
            </w:r>
          </w:p>
        </w:tc>
        <w:tc>
          <w:tcPr>
            <w:tcW w:w="1247" w:type="dxa"/>
          </w:tcPr>
          <w:p w:rsidR="003A3A6F" w:rsidRDefault="003A3A6F">
            <w:pPr>
              <w:spacing w:line="240" w:lineRule="auto"/>
              <w:jc w:val="left"/>
              <w:rPr>
                <w:rFonts w:hint="cs"/>
                <w:sz w:val="24"/>
              </w:rPr>
            </w:pPr>
            <w:r>
              <w:rPr>
                <w:sz w:val="24"/>
                <w:rtl/>
              </w:rPr>
              <w:t xml:space="preserve">סעיף 9 </w:t>
            </w:r>
          </w:p>
        </w:tc>
      </w:tr>
      <w:tr w:rsidR="003A3A6F">
        <w:tblPrEx>
          <w:tblCellMar>
            <w:top w:w="0" w:type="dxa"/>
            <w:bottom w:w="0" w:type="dxa"/>
          </w:tblCellMar>
        </w:tblPrEx>
        <w:trPr>
          <w:jc w:val="right"/>
        </w:trPr>
        <w:tc>
          <w:tcPr>
            <w:tcW w:w="850" w:type="dxa"/>
          </w:tcPr>
          <w:p w:rsidR="003A3A6F" w:rsidRDefault="003A3A6F">
            <w:pPr>
              <w:spacing w:line="240" w:lineRule="auto"/>
              <w:jc w:val="left"/>
              <w:rPr>
                <w:rFonts w:hint="cs"/>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3A3A6F" w:rsidRDefault="003A3A6F">
            <w:pPr>
              <w:spacing w:line="240" w:lineRule="auto"/>
              <w:jc w:val="left"/>
              <w:rPr>
                <w:rFonts w:hint="cs"/>
                <w:sz w:val="24"/>
              </w:rPr>
            </w:pPr>
            <w:hyperlink w:anchor="Seif9" w:tooltip="אי התייצבות" w:history="1">
              <w:r>
                <w:rPr>
                  <w:rStyle w:val="Hyperlink"/>
                </w:rPr>
                <w:t>Go</w:t>
              </w:r>
            </w:hyperlink>
          </w:p>
        </w:tc>
        <w:tc>
          <w:tcPr>
            <w:tcW w:w="5669" w:type="dxa"/>
          </w:tcPr>
          <w:p w:rsidR="003A3A6F" w:rsidRDefault="003A3A6F">
            <w:pPr>
              <w:spacing w:line="240" w:lineRule="auto"/>
              <w:jc w:val="left"/>
              <w:rPr>
                <w:sz w:val="24"/>
                <w:rtl/>
              </w:rPr>
            </w:pPr>
            <w:r>
              <w:rPr>
                <w:sz w:val="24"/>
                <w:rtl/>
              </w:rPr>
              <w:t>אי התייצבות</w:t>
            </w:r>
          </w:p>
        </w:tc>
        <w:tc>
          <w:tcPr>
            <w:tcW w:w="1247" w:type="dxa"/>
          </w:tcPr>
          <w:p w:rsidR="003A3A6F" w:rsidRDefault="003A3A6F">
            <w:pPr>
              <w:spacing w:line="240" w:lineRule="auto"/>
              <w:jc w:val="left"/>
              <w:rPr>
                <w:rFonts w:hint="cs"/>
                <w:sz w:val="24"/>
              </w:rPr>
            </w:pPr>
            <w:r>
              <w:rPr>
                <w:sz w:val="24"/>
                <w:rtl/>
              </w:rPr>
              <w:t xml:space="preserve">סעיף 10 </w:t>
            </w:r>
          </w:p>
        </w:tc>
      </w:tr>
      <w:tr w:rsidR="003A3A6F">
        <w:tblPrEx>
          <w:tblCellMar>
            <w:top w:w="0" w:type="dxa"/>
            <w:bottom w:w="0" w:type="dxa"/>
          </w:tblCellMar>
        </w:tblPrEx>
        <w:trPr>
          <w:jc w:val="right"/>
        </w:trPr>
        <w:tc>
          <w:tcPr>
            <w:tcW w:w="850" w:type="dxa"/>
          </w:tcPr>
          <w:p w:rsidR="003A3A6F" w:rsidRDefault="003A3A6F">
            <w:pPr>
              <w:spacing w:line="240" w:lineRule="auto"/>
              <w:jc w:val="left"/>
              <w:rPr>
                <w:rFonts w:hint="cs"/>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3A3A6F" w:rsidRDefault="003A3A6F">
            <w:pPr>
              <w:spacing w:line="240" w:lineRule="auto"/>
              <w:jc w:val="left"/>
              <w:rPr>
                <w:rFonts w:hint="cs"/>
                <w:sz w:val="24"/>
              </w:rPr>
            </w:pPr>
            <w:hyperlink w:anchor="Seif10" w:tooltip="דיון דחוף" w:history="1">
              <w:r>
                <w:rPr>
                  <w:rStyle w:val="Hyperlink"/>
                </w:rPr>
                <w:t>Go</w:t>
              </w:r>
            </w:hyperlink>
          </w:p>
        </w:tc>
        <w:tc>
          <w:tcPr>
            <w:tcW w:w="5669" w:type="dxa"/>
          </w:tcPr>
          <w:p w:rsidR="003A3A6F" w:rsidRDefault="003A3A6F">
            <w:pPr>
              <w:spacing w:line="240" w:lineRule="auto"/>
              <w:jc w:val="left"/>
              <w:rPr>
                <w:sz w:val="24"/>
                <w:rtl/>
              </w:rPr>
            </w:pPr>
            <w:r>
              <w:rPr>
                <w:sz w:val="24"/>
                <w:rtl/>
              </w:rPr>
              <w:t>דיון דחוף</w:t>
            </w:r>
          </w:p>
        </w:tc>
        <w:tc>
          <w:tcPr>
            <w:tcW w:w="1247" w:type="dxa"/>
          </w:tcPr>
          <w:p w:rsidR="003A3A6F" w:rsidRDefault="003A3A6F">
            <w:pPr>
              <w:spacing w:line="240" w:lineRule="auto"/>
              <w:jc w:val="left"/>
              <w:rPr>
                <w:rFonts w:hint="cs"/>
                <w:sz w:val="24"/>
              </w:rPr>
            </w:pPr>
            <w:r>
              <w:rPr>
                <w:sz w:val="24"/>
                <w:rtl/>
              </w:rPr>
              <w:t xml:space="preserve">סעיף 11 </w:t>
            </w:r>
          </w:p>
        </w:tc>
      </w:tr>
      <w:tr w:rsidR="003A3A6F">
        <w:tblPrEx>
          <w:tblCellMar>
            <w:top w:w="0" w:type="dxa"/>
            <w:bottom w:w="0" w:type="dxa"/>
          </w:tblCellMar>
        </w:tblPrEx>
        <w:trPr>
          <w:jc w:val="right"/>
        </w:trPr>
        <w:tc>
          <w:tcPr>
            <w:tcW w:w="850" w:type="dxa"/>
          </w:tcPr>
          <w:p w:rsidR="003A3A6F" w:rsidRDefault="003A3A6F">
            <w:pPr>
              <w:spacing w:line="240" w:lineRule="auto"/>
              <w:jc w:val="left"/>
              <w:rPr>
                <w:rFonts w:hint="cs"/>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3A3A6F" w:rsidRDefault="003A3A6F">
            <w:pPr>
              <w:spacing w:line="240" w:lineRule="auto"/>
              <w:jc w:val="left"/>
              <w:rPr>
                <w:rFonts w:hint="cs"/>
                <w:sz w:val="24"/>
              </w:rPr>
            </w:pPr>
            <w:hyperlink w:anchor="Seif11" w:tooltip="תקופת פגרה" w:history="1">
              <w:r>
                <w:rPr>
                  <w:rStyle w:val="Hyperlink"/>
                </w:rPr>
                <w:t>Go</w:t>
              </w:r>
            </w:hyperlink>
          </w:p>
        </w:tc>
        <w:tc>
          <w:tcPr>
            <w:tcW w:w="5669" w:type="dxa"/>
          </w:tcPr>
          <w:p w:rsidR="003A3A6F" w:rsidRDefault="003A3A6F">
            <w:pPr>
              <w:spacing w:line="240" w:lineRule="auto"/>
              <w:jc w:val="left"/>
              <w:rPr>
                <w:sz w:val="24"/>
                <w:rtl/>
              </w:rPr>
            </w:pPr>
            <w:r>
              <w:rPr>
                <w:sz w:val="24"/>
                <w:rtl/>
              </w:rPr>
              <w:t>תקופת פגרה</w:t>
            </w:r>
          </w:p>
        </w:tc>
        <w:tc>
          <w:tcPr>
            <w:tcW w:w="1247" w:type="dxa"/>
          </w:tcPr>
          <w:p w:rsidR="003A3A6F" w:rsidRDefault="003A3A6F">
            <w:pPr>
              <w:spacing w:line="240" w:lineRule="auto"/>
              <w:jc w:val="left"/>
              <w:rPr>
                <w:rFonts w:hint="cs"/>
                <w:sz w:val="24"/>
              </w:rPr>
            </w:pPr>
            <w:r>
              <w:rPr>
                <w:sz w:val="24"/>
                <w:rtl/>
              </w:rPr>
              <w:t xml:space="preserve">סעיף 12 </w:t>
            </w:r>
          </w:p>
        </w:tc>
      </w:tr>
      <w:tr w:rsidR="003A3A6F">
        <w:tblPrEx>
          <w:tblCellMar>
            <w:top w:w="0" w:type="dxa"/>
            <w:bottom w:w="0" w:type="dxa"/>
          </w:tblCellMar>
        </w:tblPrEx>
        <w:trPr>
          <w:jc w:val="right"/>
        </w:trPr>
        <w:tc>
          <w:tcPr>
            <w:tcW w:w="850" w:type="dxa"/>
          </w:tcPr>
          <w:p w:rsidR="003A3A6F" w:rsidRDefault="003A3A6F">
            <w:pPr>
              <w:spacing w:line="240" w:lineRule="auto"/>
              <w:jc w:val="left"/>
              <w:rPr>
                <w:rFonts w:hint="cs"/>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3A3A6F" w:rsidRDefault="003A3A6F">
            <w:pPr>
              <w:spacing w:line="240" w:lineRule="auto"/>
              <w:jc w:val="left"/>
              <w:rPr>
                <w:rFonts w:hint="cs"/>
                <w:sz w:val="24"/>
              </w:rPr>
            </w:pPr>
            <w:hyperlink w:anchor="Seif12" w:tooltip="המצאת כתבי בי דין" w:history="1">
              <w:r>
                <w:rPr>
                  <w:rStyle w:val="Hyperlink"/>
                </w:rPr>
                <w:t>Go</w:t>
              </w:r>
            </w:hyperlink>
          </w:p>
        </w:tc>
        <w:tc>
          <w:tcPr>
            <w:tcW w:w="5669" w:type="dxa"/>
          </w:tcPr>
          <w:p w:rsidR="003A3A6F" w:rsidRDefault="003A3A6F">
            <w:pPr>
              <w:spacing w:line="240" w:lineRule="auto"/>
              <w:jc w:val="left"/>
              <w:rPr>
                <w:sz w:val="24"/>
                <w:rtl/>
              </w:rPr>
            </w:pPr>
            <w:r>
              <w:rPr>
                <w:sz w:val="24"/>
                <w:rtl/>
              </w:rPr>
              <w:t>המצאת כתבי בי דין</w:t>
            </w:r>
          </w:p>
        </w:tc>
        <w:tc>
          <w:tcPr>
            <w:tcW w:w="1247" w:type="dxa"/>
          </w:tcPr>
          <w:p w:rsidR="003A3A6F" w:rsidRDefault="003A3A6F">
            <w:pPr>
              <w:spacing w:line="240" w:lineRule="auto"/>
              <w:jc w:val="left"/>
              <w:rPr>
                <w:rFonts w:hint="cs"/>
                <w:sz w:val="24"/>
              </w:rPr>
            </w:pPr>
            <w:r>
              <w:rPr>
                <w:sz w:val="24"/>
                <w:rtl/>
              </w:rPr>
              <w:t xml:space="preserve">סעיף 13 </w:t>
            </w:r>
          </w:p>
        </w:tc>
      </w:tr>
      <w:tr w:rsidR="003A3A6F">
        <w:tblPrEx>
          <w:tblCellMar>
            <w:top w:w="0" w:type="dxa"/>
            <w:bottom w:w="0" w:type="dxa"/>
          </w:tblCellMar>
        </w:tblPrEx>
        <w:trPr>
          <w:jc w:val="right"/>
        </w:trPr>
        <w:tc>
          <w:tcPr>
            <w:tcW w:w="850" w:type="dxa"/>
          </w:tcPr>
          <w:p w:rsidR="003A3A6F" w:rsidRDefault="003A3A6F">
            <w:pPr>
              <w:spacing w:line="240" w:lineRule="auto"/>
              <w:jc w:val="left"/>
              <w:rPr>
                <w:rFonts w:hint="cs"/>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3A3A6F" w:rsidRDefault="003A3A6F">
            <w:pPr>
              <w:spacing w:line="240" w:lineRule="auto"/>
              <w:jc w:val="left"/>
              <w:rPr>
                <w:rFonts w:hint="cs"/>
                <w:sz w:val="24"/>
              </w:rPr>
            </w:pPr>
            <w:hyperlink w:anchor="Seif13" w:tooltip="ביטול החלטה שניתנה על פי צד אחד" w:history="1">
              <w:r>
                <w:rPr>
                  <w:rStyle w:val="Hyperlink"/>
                </w:rPr>
                <w:t>Go</w:t>
              </w:r>
            </w:hyperlink>
          </w:p>
        </w:tc>
        <w:tc>
          <w:tcPr>
            <w:tcW w:w="5669" w:type="dxa"/>
          </w:tcPr>
          <w:p w:rsidR="003A3A6F" w:rsidRDefault="003A3A6F">
            <w:pPr>
              <w:spacing w:line="240" w:lineRule="auto"/>
              <w:jc w:val="left"/>
              <w:rPr>
                <w:sz w:val="24"/>
                <w:rtl/>
              </w:rPr>
            </w:pPr>
            <w:r>
              <w:rPr>
                <w:sz w:val="24"/>
                <w:rtl/>
              </w:rPr>
              <w:t>ביטול החלטה שניתנה על פי צד אחד</w:t>
            </w:r>
          </w:p>
        </w:tc>
        <w:tc>
          <w:tcPr>
            <w:tcW w:w="1247" w:type="dxa"/>
          </w:tcPr>
          <w:p w:rsidR="003A3A6F" w:rsidRDefault="003A3A6F">
            <w:pPr>
              <w:spacing w:line="240" w:lineRule="auto"/>
              <w:jc w:val="left"/>
              <w:rPr>
                <w:rFonts w:hint="cs"/>
                <w:sz w:val="24"/>
              </w:rPr>
            </w:pPr>
            <w:r>
              <w:rPr>
                <w:sz w:val="24"/>
                <w:rtl/>
              </w:rPr>
              <w:t xml:space="preserve">סעיף 14 </w:t>
            </w:r>
          </w:p>
        </w:tc>
      </w:tr>
      <w:tr w:rsidR="003A3A6F">
        <w:tblPrEx>
          <w:tblCellMar>
            <w:top w:w="0" w:type="dxa"/>
            <w:bottom w:w="0" w:type="dxa"/>
          </w:tblCellMar>
        </w:tblPrEx>
        <w:trPr>
          <w:jc w:val="right"/>
        </w:trPr>
        <w:tc>
          <w:tcPr>
            <w:tcW w:w="850" w:type="dxa"/>
          </w:tcPr>
          <w:p w:rsidR="003A3A6F" w:rsidRDefault="003A3A6F">
            <w:pPr>
              <w:spacing w:line="240" w:lineRule="auto"/>
              <w:jc w:val="left"/>
              <w:rPr>
                <w:rFonts w:hint="cs"/>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3A3A6F" w:rsidRDefault="003A3A6F">
            <w:pPr>
              <w:spacing w:line="240" w:lineRule="auto"/>
              <w:jc w:val="left"/>
              <w:rPr>
                <w:rFonts w:hint="cs"/>
                <w:sz w:val="24"/>
              </w:rPr>
            </w:pPr>
            <w:hyperlink w:anchor="Seif14" w:tooltip="תחולת תקנות סדר הדין האזרחי" w:history="1">
              <w:r>
                <w:rPr>
                  <w:rStyle w:val="Hyperlink"/>
                </w:rPr>
                <w:t>Go</w:t>
              </w:r>
            </w:hyperlink>
          </w:p>
        </w:tc>
        <w:tc>
          <w:tcPr>
            <w:tcW w:w="5669" w:type="dxa"/>
          </w:tcPr>
          <w:p w:rsidR="003A3A6F" w:rsidRDefault="003A3A6F">
            <w:pPr>
              <w:spacing w:line="240" w:lineRule="auto"/>
              <w:jc w:val="left"/>
              <w:rPr>
                <w:sz w:val="24"/>
                <w:rtl/>
              </w:rPr>
            </w:pPr>
            <w:r>
              <w:rPr>
                <w:sz w:val="24"/>
                <w:rtl/>
              </w:rPr>
              <w:t>תחולת תקנות סדר הדין האזרחי</w:t>
            </w:r>
          </w:p>
        </w:tc>
        <w:tc>
          <w:tcPr>
            <w:tcW w:w="1247" w:type="dxa"/>
          </w:tcPr>
          <w:p w:rsidR="003A3A6F" w:rsidRDefault="003A3A6F">
            <w:pPr>
              <w:spacing w:line="240" w:lineRule="auto"/>
              <w:jc w:val="left"/>
              <w:rPr>
                <w:rFonts w:hint="cs"/>
                <w:sz w:val="24"/>
              </w:rPr>
            </w:pPr>
            <w:r>
              <w:rPr>
                <w:sz w:val="24"/>
                <w:rtl/>
              </w:rPr>
              <w:t xml:space="preserve">סעיף 15 </w:t>
            </w:r>
          </w:p>
        </w:tc>
      </w:tr>
    </w:tbl>
    <w:p w:rsidR="003A3A6F" w:rsidRDefault="003A3A6F">
      <w:pPr>
        <w:pStyle w:val="P00"/>
        <w:spacing w:before="72"/>
        <w:ind w:left="0" w:right="1134"/>
        <w:rPr>
          <w:rFonts w:hint="cs"/>
          <w:rtl/>
        </w:rPr>
      </w:pPr>
    </w:p>
    <w:p w:rsidR="003A3A6F" w:rsidRDefault="003A3A6F" w:rsidP="003402B9">
      <w:pPr>
        <w:pStyle w:val="big-header"/>
        <w:ind w:left="0" w:right="1134"/>
        <w:rPr>
          <w:rStyle w:val="default"/>
          <w:rFonts w:cs="FrankRuehl"/>
          <w:rtl/>
        </w:rPr>
      </w:pPr>
      <w:r>
        <w:rPr>
          <w:rtl/>
        </w:rPr>
        <w:br w:type="page"/>
      </w:r>
      <w:r>
        <w:rPr>
          <w:rFonts w:hint="cs"/>
          <w:rtl/>
        </w:rPr>
        <w:lastRenderedPageBreak/>
        <w:t>תקנות יישום תכנית ההתנתקות (סדרי דין בערעור לפי החוק), תשס"ה-2005</w:t>
      </w:r>
      <w:r>
        <w:rPr>
          <w:rStyle w:val="default"/>
          <w:sz w:val="22"/>
          <w:szCs w:val="22"/>
          <w:rtl/>
        </w:rPr>
        <w:footnoteReference w:customMarkFollows="1" w:id="1"/>
        <w:t>*</w:t>
      </w:r>
    </w:p>
    <w:p w:rsidR="003A3A6F" w:rsidRDefault="003A3A6F">
      <w:pPr>
        <w:pStyle w:val="P00"/>
        <w:spacing w:before="72"/>
        <w:ind w:left="0" w:right="1134"/>
        <w:rPr>
          <w:rStyle w:val="default"/>
          <w:rFonts w:cs="FrankRuehl" w:hint="cs"/>
          <w:rtl/>
        </w:rPr>
      </w:pPr>
      <w:r>
        <w:rPr>
          <w:rStyle w:val="default"/>
          <w:rFonts w:cs="FrankRuehl" w:hint="cs"/>
          <w:rtl/>
        </w:rPr>
        <w:tab/>
        <w:t xml:space="preserve">בתוקף סמכותי לפי סעיף 17(ה) לחוק יישום תכנית ההתנתקות, התשס"ה-2005 (להלן </w:t>
      </w:r>
      <w:r>
        <w:rPr>
          <w:rStyle w:val="default"/>
          <w:rFonts w:cs="FrankRuehl"/>
          <w:rtl/>
        </w:rPr>
        <w:t>–</w:t>
      </w:r>
      <w:r>
        <w:rPr>
          <w:rStyle w:val="default"/>
          <w:rFonts w:cs="FrankRuehl" w:hint="cs"/>
          <w:rtl/>
        </w:rPr>
        <w:t xml:space="preserve"> החוק), וסעיף 108 לחוק בתי המשפט [נוסח משולב], התשמ"ד-1984, אני מתקינה תקנות אלה:</w:t>
      </w:r>
    </w:p>
    <w:p w:rsidR="003A3A6F" w:rsidRDefault="003A3A6F">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7.6pt;z-index:251650560" o:allowincell="f" filled="f" stroked="f" strokecolor="lime" strokeweight=".25pt">
            <v:textbox inset="0,0,0,0">
              <w:txbxContent>
                <w:p w:rsidR="003A3A6F" w:rsidRDefault="003A3A6F">
                  <w:pPr>
                    <w:spacing w:line="160" w:lineRule="exact"/>
                    <w:jc w:val="left"/>
                    <w:rPr>
                      <w:rFonts w:cs="Miriam" w:hint="cs"/>
                      <w:noProof/>
                      <w:szCs w:val="18"/>
                      <w:rtl/>
                    </w:rPr>
                  </w:pPr>
                  <w:r>
                    <w:rPr>
                      <w:rFonts w:cs="Miriam" w:hint="cs"/>
                      <w:szCs w:val="18"/>
                      <w:rtl/>
                    </w:rPr>
                    <w:t>הגשת ערעור</w:t>
                  </w:r>
                </w:p>
              </w:txbxContent>
            </v:textbox>
            <w10:anchorlock/>
          </v:rect>
        </w:pict>
      </w:r>
      <w:r>
        <w:rPr>
          <w:rStyle w:val="big-number"/>
          <w:rtl/>
        </w:rPr>
        <w:t>1.</w:t>
      </w:r>
      <w:r>
        <w:rPr>
          <w:rStyle w:val="big-number"/>
          <w:rtl/>
        </w:rPr>
        <w:tab/>
      </w:r>
      <w:r>
        <w:rPr>
          <w:rStyle w:val="default"/>
          <w:rFonts w:cs="FrankRuehl" w:hint="cs"/>
          <w:rtl/>
        </w:rPr>
        <w:t xml:space="preserve">כתב ערעור לפי סעיף 17 לחוק (להלן </w:t>
      </w:r>
      <w:r>
        <w:rPr>
          <w:rStyle w:val="default"/>
          <w:rFonts w:cs="FrankRuehl"/>
          <w:rtl/>
        </w:rPr>
        <w:t>–</w:t>
      </w:r>
      <w:r>
        <w:rPr>
          <w:rStyle w:val="default"/>
          <w:rFonts w:cs="FrankRuehl" w:hint="cs"/>
          <w:rtl/>
        </w:rPr>
        <w:t xml:space="preserve"> ערעור) יוגש לבית משפט השלום בירושלים בעותק מודפס אחד ויהיה חתום ביד העורר או בא-כוחו; לכתב הערעור יצורף העתק צילומי של ההחלטה נושא הערעור.</w:t>
      </w:r>
    </w:p>
    <w:p w:rsidR="003A3A6F" w:rsidRDefault="003A3A6F">
      <w:pPr>
        <w:pStyle w:val="P00"/>
        <w:spacing w:before="72"/>
        <w:ind w:left="0" w:right="1134"/>
        <w:rPr>
          <w:rStyle w:val="default"/>
          <w:rFonts w:cs="FrankRuehl" w:hint="cs"/>
          <w:rtl/>
        </w:rPr>
      </w:pPr>
      <w:bookmarkStart w:id="1" w:name="Seif1"/>
      <w:bookmarkEnd w:id="1"/>
      <w:r>
        <w:rPr>
          <w:lang w:val="he-IL"/>
        </w:rPr>
        <w:pict>
          <v:rect id="_x0000_s1104" style="position:absolute;left:0;text-align:left;margin-left:464.5pt;margin-top:8.05pt;width:75.05pt;height:6.5pt;z-index:251651584" o:allowincell="f" filled="f" stroked="f" strokecolor="lime" strokeweight=".25pt">
            <v:textbox inset="0,0,0,0">
              <w:txbxContent>
                <w:p w:rsidR="003A3A6F" w:rsidRDefault="003A3A6F">
                  <w:pPr>
                    <w:spacing w:line="160" w:lineRule="exact"/>
                    <w:jc w:val="left"/>
                    <w:rPr>
                      <w:rFonts w:cs="Miriam" w:hint="cs"/>
                      <w:noProof/>
                      <w:szCs w:val="18"/>
                      <w:rtl/>
                    </w:rPr>
                  </w:pPr>
                  <w:r>
                    <w:rPr>
                      <w:rFonts w:cs="Miriam" w:hint="cs"/>
                      <w:szCs w:val="18"/>
                      <w:rtl/>
                    </w:rPr>
                    <w:t>פרטי הערעור</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אלה הפרטים שיכיל כתב ערעור:</w:t>
      </w:r>
    </w:p>
    <w:p w:rsidR="003A3A6F" w:rsidRDefault="003A3A6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שם המערער, מספר הזהות שלו, ובתאגיד </w:t>
      </w:r>
      <w:r>
        <w:rPr>
          <w:rStyle w:val="default"/>
          <w:rFonts w:cs="FrankRuehl"/>
          <w:rtl/>
        </w:rPr>
        <w:t>–</w:t>
      </w:r>
      <w:r>
        <w:rPr>
          <w:rStyle w:val="default"/>
          <w:rFonts w:cs="FrankRuehl" w:hint="cs"/>
          <w:rtl/>
        </w:rPr>
        <w:t xml:space="preserve"> מספר הרישום שלו, הטלפון שלו המען להמצאת הודעות ומסמכים, ואם הוא מיוצג </w:t>
      </w:r>
      <w:r>
        <w:rPr>
          <w:rStyle w:val="default"/>
          <w:rFonts w:cs="FrankRuehl"/>
          <w:rtl/>
        </w:rPr>
        <w:t>–</w:t>
      </w:r>
      <w:r>
        <w:rPr>
          <w:rStyle w:val="default"/>
          <w:rFonts w:cs="FrankRuehl" w:hint="cs"/>
          <w:rtl/>
        </w:rPr>
        <w:t xml:space="preserve"> שם עורך דינו ומענו; בפסקה זו, "מען" </w:t>
      </w:r>
      <w:r>
        <w:rPr>
          <w:rStyle w:val="default"/>
          <w:rFonts w:cs="FrankRuehl"/>
          <w:rtl/>
        </w:rPr>
        <w:t>–</w:t>
      </w:r>
      <w:r>
        <w:rPr>
          <w:rStyle w:val="default"/>
          <w:rFonts w:cs="FrankRuehl" w:hint="cs"/>
          <w:rtl/>
        </w:rPr>
        <w:t xml:space="preserve"> שאינו בשטח המפונה כהגדרתו בחוק;</w:t>
      </w:r>
    </w:p>
    <w:p w:rsidR="003A3A6F" w:rsidRDefault="003A3A6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התאריך שבו נשלחה ההחלטה נושא הערעור למערער;</w:t>
      </w:r>
    </w:p>
    <w:p w:rsidR="003A3A6F" w:rsidRDefault="003A3A6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פרטי הנימוקים שבעובדה ובחוק שעליהם מתבסס הערעור;</w:t>
      </w:r>
    </w:p>
    <w:p w:rsidR="003A3A6F" w:rsidRDefault="003A3A6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הסעד המבוקש.</w:t>
      </w:r>
    </w:p>
    <w:p w:rsidR="003A3A6F" w:rsidRDefault="003A3A6F">
      <w:pPr>
        <w:pStyle w:val="P00"/>
        <w:spacing w:before="72"/>
        <w:ind w:left="0" w:right="1134"/>
        <w:rPr>
          <w:rStyle w:val="default"/>
          <w:rFonts w:cs="FrankRuehl" w:hint="cs"/>
          <w:rtl/>
        </w:rPr>
      </w:pPr>
      <w:bookmarkStart w:id="2" w:name="Seif2"/>
      <w:bookmarkEnd w:id="2"/>
      <w:r>
        <w:rPr>
          <w:lang w:val="he-IL"/>
        </w:rPr>
        <w:pict>
          <v:rect id="_x0000_s1105" style="position:absolute;left:0;text-align:left;margin-left:464.5pt;margin-top:8.05pt;width:75.05pt;height:17.35pt;z-index:251652608" o:allowincell="f" filled="f" stroked="f" strokecolor="lime" strokeweight=".25pt">
            <v:textbox inset="0,0,0,0">
              <w:txbxContent>
                <w:p w:rsidR="003A3A6F" w:rsidRDefault="003A3A6F">
                  <w:pPr>
                    <w:spacing w:line="160" w:lineRule="exact"/>
                    <w:jc w:val="left"/>
                    <w:rPr>
                      <w:rFonts w:cs="Miriam" w:hint="cs"/>
                      <w:noProof/>
                      <w:szCs w:val="18"/>
                      <w:rtl/>
                    </w:rPr>
                  </w:pPr>
                  <w:r>
                    <w:rPr>
                      <w:rFonts w:cs="Miriam" w:hint="cs"/>
                      <w:szCs w:val="18"/>
                      <w:rtl/>
                    </w:rPr>
                    <w:t>הארכת מועד להגשת ערעור</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מערער המבקש להאריך מועד להגשת ערעור יגיש לבית המשפט בקשה על כך בכתב, ובית המשפט רשאי להאריכו מטעמים מיוחדים שיירשמו.</w:t>
      </w:r>
    </w:p>
    <w:p w:rsidR="003A3A6F" w:rsidRDefault="003A3A6F">
      <w:pPr>
        <w:pStyle w:val="P00"/>
        <w:spacing w:before="72"/>
        <w:ind w:left="0" w:right="1134"/>
        <w:rPr>
          <w:rStyle w:val="default"/>
          <w:rFonts w:cs="FrankRuehl" w:hint="cs"/>
          <w:rtl/>
        </w:rPr>
      </w:pPr>
      <w:bookmarkStart w:id="3" w:name="Seif3"/>
      <w:bookmarkEnd w:id="3"/>
      <w:r>
        <w:rPr>
          <w:lang w:val="he-IL"/>
        </w:rPr>
        <w:pict>
          <v:rect id="_x0000_s1106" style="position:absolute;left:0;text-align:left;margin-left:464.5pt;margin-top:8.05pt;width:75.05pt;height:9.05pt;z-index:251653632" o:allowincell="f" filled="f" stroked="f" strokecolor="lime" strokeweight=".25pt">
            <v:textbox inset="0,0,0,0">
              <w:txbxContent>
                <w:p w:rsidR="003A3A6F" w:rsidRDefault="003A3A6F">
                  <w:pPr>
                    <w:spacing w:line="160" w:lineRule="exact"/>
                    <w:jc w:val="left"/>
                    <w:rPr>
                      <w:rFonts w:cs="Miriam" w:hint="cs"/>
                      <w:noProof/>
                      <w:szCs w:val="18"/>
                      <w:rtl/>
                    </w:rPr>
                  </w:pPr>
                  <w:r>
                    <w:rPr>
                      <w:rFonts w:cs="Miriam" w:hint="cs"/>
                      <w:szCs w:val="18"/>
                      <w:rtl/>
                    </w:rPr>
                    <w:t>המצאה למשיבה</w:t>
                  </w:r>
                </w:p>
              </w:txbxContent>
            </v:textbox>
            <w10:anchorlock/>
          </v:rect>
        </w:pict>
      </w:r>
      <w:r>
        <w:rPr>
          <w:rStyle w:val="big-number"/>
          <w:rFonts w:hint="cs"/>
          <w:rtl/>
        </w:rPr>
        <w:t>4</w:t>
      </w:r>
      <w:r>
        <w:rPr>
          <w:rStyle w:val="big-number"/>
          <w:rtl/>
        </w:rPr>
        <w:t>.</w:t>
      </w:r>
      <w:r>
        <w:rPr>
          <w:rStyle w:val="big-number"/>
          <w:rtl/>
        </w:rPr>
        <w:tab/>
      </w:r>
      <w:r>
        <w:rPr>
          <w:rStyle w:val="default"/>
          <w:rFonts w:cs="FrankRuehl" w:hint="cs"/>
          <w:rtl/>
        </w:rPr>
        <w:t>הוגש ערעור לבית המשפט, ימציא המערער למשיבה עותק של כתב הערעור בצירוף ההחלטה נושא הערעור; המען להמצאה הוא משרד פרקליטות מחוז ירושלים.</w:t>
      </w:r>
    </w:p>
    <w:p w:rsidR="003A3A6F" w:rsidRDefault="003A3A6F">
      <w:pPr>
        <w:pStyle w:val="P00"/>
        <w:spacing w:before="72"/>
        <w:ind w:left="0" w:right="1134"/>
        <w:rPr>
          <w:rStyle w:val="default"/>
          <w:rFonts w:cs="FrankRuehl" w:hint="cs"/>
          <w:rtl/>
        </w:rPr>
      </w:pPr>
      <w:bookmarkStart w:id="4" w:name="Seif5"/>
      <w:bookmarkEnd w:id="4"/>
      <w:r>
        <w:rPr>
          <w:lang w:val="he-IL"/>
        </w:rPr>
        <w:pict>
          <v:rect id="_x0000_s1110" style="position:absolute;left:0;text-align:left;margin-left:464.5pt;margin-top:8.05pt;width:75.05pt;height:7.5pt;z-index:251655680" o:allowincell="f" filled="f" stroked="f" strokecolor="lime" strokeweight=".25pt">
            <v:textbox inset="0,0,0,0">
              <w:txbxContent>
                <w:p w:rsidR="003A3A6F" w:rsidRDefault="003A3A6F">
                  <w:pPr>
                    <w:spacing w:line="160" w:lineRule="exact"/>
                    <w:jc w:val="left"/>
                    <w:rPr>
                      <w:rFonts w:cs="Miriam" w:hint="cs"/>
                      <w:noProof/>
                      <w:szCs w:val="18"/>
                      <w:rtl/>
                    </w:rPr>
                  </w:pPr>
                  <w:r>
                    <w:rPr>
                      <w:rFonts w:cs="Miriam" w:hint="cs"/>
                      <w:szCs w:val="18"/>
                      <w:rtl/>
                    </w:rPr>
                    <w:t>פגם בכתב הערעור</w:t>
                  </w:r>
                </w:p>
              </w:txbxContent>
            </v:textbox>
            <w10:anchorlock/>
          </v:rect>
        </w:pict>
      </w:r>
      <w:r>
        <w:rPr>
          <w:rStyle w:val="big-number"/>
          <w:rFonts w:hint="cs"/>
          <w:rtl/>
        </w:rPr>
        <w:t>5</w:t>
      </w:r>
      <w:r>
        <w:rPr>
          <w:rStyle w:val="big-number"/>
          <w:rtl/>
        </w:rPr>
        <w:t>.</w:t>
      </w:r>
      <w:r>
        <w:rPr>
          <w:rStyle w:val="big-number"/>
          <w:rtl/>
        </w:rPr>
        <w:tab/>
      </w:r>
      <w:r>
        <w:rPr>
          <w:rStyle w:val="default"/>
          <w:rFonts w:cs="FrankRuehl" w:hint="cs"/>
          <w:rtl/>
        </w:rPr>
        <w:t>כתב ערעור שלא נתקיימה לגביו הוראה מהוראות תקנות 1 עד 2, רשאי בית המשפט, שלא לקבלו או להחזירו למערער לשם תיקונו, זולת אם יש בדבר כדי לפגום באופן מהותי בדיון; ואולם לא יפסול בית המשפט כתב ערעור מטעם זה בלבד שלא נתקיימה הוראה כאמור, אלא אם כן הדבר דרוש למניעת עיוות דין.</w:t>
      </w:r>
    </w:p>
    <w:p w:rsidR="003A3A6F" w:rsidRDefault="003A3A6F">
      <w:pPr>
        <w:pStyle w:val="P00"/>
        <w:spacing w:before="72"/>
        <w:ind w:left="0" w:right="1134"/>
        <w:rPr>
          <w:rStyle w:val="default"/>
          <w:rFonts w:cs="FrankRuehl" w:hint="cs"/>
          <w:rtl/>
        </w:rPr>
      </w:pPr>
      <w:bookmarkStart w:id="5" w:name="Seif4"/>
      <w:bookmarkEnd w:id="5"/>
      <w:r>
        <w:rPr>
          <w:lang w:val="he-IL"/>
        </w:rPr>
        <w:pict>
          <v:rect id="_x0000_s1107" style="position:absolute;left:0;text-align:left;margin-left:464.5pt;margin-top:8.05pt;width:75.05pt;height:19pt;z-index:251654656" o:allowincell="f" filled="f" stroked="f" strokecolor="lime" strokeweight=".25pt">
            <v:textbox inset="0,0,0,0">
              <w:txbxContent>
                <w:p w:rsidR="003A3A6F" w:rsidRDefault="003A3A6F">
                  <w:pPr>
                    <w:spacing w:line="160" w:lineRule="exact"/>
                    <w:jc w:val="left"/>
                    <w:rPr>
                      <w:rFonts w:cs="Miriam" w:hint="cs"/>
                      <w:noProof/>
                      <w:szCs w:val="18"/>
                      <w:rtl/>
                    </w:rPr>
                  </w:pPr>
                  <w:r>
                    <w:rPr>
                      <w:rFonts w:cs="Miriam" w:hint="cs"/>
                      <w:szCs w:val="18"/>
                      <w:rtl/>
                    </w:rPr>
                    <w:t>תגובת המשיבה לערעור</w:t>
                  </w:r>
                </w:p>
              </w:txbxContent>
            </v:textbox>
            <w10:anchorlock/>
          </v:rect>
        </w:pict>
      </w:r>
      <w:r>
        <w:rPr>
          <w:rStyle w:val="big-number"/>
          <w:rFonts w:hint="cs"/>
          <w:rtl/>
        </w:rPr>
        <w:t>6</w:t>
      </w:r>
      <w:r>
        <w:rPr>
          <w:rStyle w:val="big-number"/>
          <w:rtl/>
        </w:rPr>
        <w:t>.</w:t>
      </w:r>
      <w:r>
        <w:rPr>
          <w:rStyle w:val="big-number"/>
          <w:rtl/>
        </w:rPr>
        <w:tab/>
      </w:r>
      <w:r>
        <w:rPr>
          <w:rStyle w:val="default"/>
          <w:rFonts w:cs="FrankRuehl" w:hint="cs"/>
          <w:rtl/>
        </w:rPr>
        <w:t>(א)</w:t>
      </w:r>
      <w:r>
        <w:rPr>
          <w:rStyle w:val="default"/>
          <w:rFonts w:cs="FrankRuehl" w:hint="cs"/>
          <w:rtl/>
        </w:rPr>
        <w:tab/>
        <w:t>כתב התגובה לערעור יוגש בעותק מודפס אחד ויהיה חתום ביד בא-כוח המשיבה; בכתב התגובה יפורטו הנימוקים שבעובדה ושבחוק שעליהם מתבססת התגובה וכן עמדת המשיבה לענין הסעד המבוקש בערעור.</w:t>
      </w:r>
    </w:p>
    <w:p w:rsidR="003A3A6F" w:rsidRDefault="003A3A6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המשיבה תמציא למערער עותק מכתב התגובה.</w:t>
      </w:r>
    </w:p>
    <w:p w:rsidR="003A3A6F" w:rsidRDefault="003A3A6F">
      <w:pPr>
        <w:pStyle w:val="P00"/>
        <w:spacing w:before="72"/>
        <w:ind w:left="0" w:right="1134"/>
        <w:rPr>
          <w:rStyle w:val="default"/>
          <w:rFonts w:cs="FrankRuehl" w:hint="cs"/>
          <w:rtl/>
        </w:rPr>
      </w:pPr>
      <w:bookmarkStart w:id="6" w:name="Seif6"/>
      <w:bookmarkEnd w:id="6"/>
      <w:r>
        <w:rPr>
          <w:lang w:val="he-IL"/>
        </w:rPr>
        <w:pict>
          <v:rect id="_x0000_s1111" style="position:absolute;left:0;text-align:left;margin-left:464.5pt;margin-top:8.05pt;width:75.05pt;height:9.3pt;z-index:251656704" o:allowincell="f" filled="f" stroked="f" strokecolor="lime" strokeweight=".25pt">
            <v:textbox inset="0,0,0,0">
              <w:txbxContent>
                <w:p w:rsidR="003A3A6F" w:rsidRDefault="003A3A6F">
                  <w:pPr>
                    <w:spacing w:line="160" w:lineRule="exact"/>
                    <w:jc w:val="left"/>
                    <w:rPr>
                      <w:rFonts w:cs="Miriam" w:hint="cs"/>
                      <w:noProof/>
                      <w:szCs w:val="18"/>
                      <w:rtl/>
                    </w:rPr>
                  </w:pPr>
                  <w:r>
                    <w:rPr>
                      <w:rFonts w:cs="Miriam" w:hint="cs"/>
                      <w:szCs w:val="18"/>
                      <w:rtl/>
                    </w:rPr>
                    <w:t>קדם דיון</w:t>
                  </w:r>
                </w:p>
              </w:txbxContent>
            </v:textbox>
            <w10:anchorlock/>
          </v:rect>
        </w:pict>
      </w:r>
      <w:r>
        <w:rPr>
          <w:rStyle w:val="big-number"/>
          <w:rFonts w:hint="cs"/>
          <w:rtl/>
        </w:rPr>
        <w:t>7</w:t>
      </w:r>
      <w:r>
        <w:rPr>
          <w:rStyle w:val="big-number"/>
          <w:rtl/>
        </w:rPr>
        <w:t>.</w:t>
      </w:r>
      <w:r>
        <w:rPr>
          <w:rStyle w:val="big-number"/>
          <w:rtl/>
        </w:rPr>
        <w:tab/>
      </w:r>
      <w:r>
        <w:rPr>
          <w:rStyle w:val="default"/>
          <w:rFonts w:cs="FrankRuehl" w:hint="cs"/>
          <w:rtl/>
        </w:rPr>
        <w:t>בית המשפט רשאי לקיים דיון מקדמי בערעור לאחר חלוף המועד להגשת כתב התגובה, לצורך הכנת הדיון בערעור ובמגמה לייעלו וכדי לברר אם יש מקום לפשרה בין בעלי הדין, ולשם כך הוא רשאי לתת כל החלטה הנדרשת לענין זה; החליט בית המשפט לקיים דיון מקדמי כאמור, תומצא לבעלי הדין הודעה על קיום הדיון המקדמי ועל מועדו שבעה ימים לפחות מראש.</w:t>
      </w:r>
    </w:p>
    <w:p w:rsidR="003A3A6F" w:rsidRDefault="003A3A6F">
      <w:pPr>
        <w:pStyle w:val="P00"/>
        <w:spacing w:before="72"/>
        <w:ind w:left="0" w:right="1134"/>
        <w:rPr>
          <w:rStyle w:val="default"/>
          <w:rFonts w:cs="FrankRuehl" w:hint="cs"/>
          <w:rtl/>
        </w:rPr>
      </w:pPr>
      <w:bookmarkStart w:id="7" w:name="Seif7"/>
      <w:bookmarkEnd w:id="7"/>
      <w:r>
        <w:rPr>
          <w:lang w:val="he-IL"/>
        </w:rPr>
        <w:pict>
          <v:rect id="_x0000_s1112" style="position:absolute;left:0;text-align:left;margin-left:464.5pt;margin-top:8.05pt;width:75.05pt;height:11.95pt;z-index:251657728" o:allowincell="f" filled="f" stroked="f" strokecolor="lime" strokeweight=".25pt">
            <v:textbox inset="0,0,0,0">
              <w:txbxContent>
                <w:p w:rsidR="003A3A6F" w:rsidRDefault="003A3A6F">
                  <w:pPr>
                    <w:spacing w:line="160" w:lineRule="exact"/>
                    <w:jc w:val="left"/>
                    <w:rPr>
                      <w:rFonts w:cs="Miriam" w:hint="cs"/>
                      <w:noProof/>
                      <w:szCs w:val="18"/>
                      <w:rtl/>
                    </w:rPr>
                  </w:pPr>
                  <w:r>
                    <w:rPr>
                      <w:rFonts w:cs="Miriam" w:hint="cs"/>
                      <w:szCs w:val="18"/>
                      <w:rtl/>
                    </w:rPr>
                    <w:t>סדר הטיעון</w:t>
                  </w:r>
                </w:p>
              </w:txbxContent>
            </v:textbox>
            <w10:anchorlock/>
          </v:rect>
        </w:pict>
      </w:r>
      <w:r>
        <w:rPr>
          <w:rStyle w:val="big-number"/>
          <w:rFonts w:hint="cs"/>
          <w:rtl/>
        </w:rPr>
        <w:t>8</w:t>
      </w:r>
      <w:r>
        <w:rPr>
          <w:rStyle w:val="big-number"/>
          <w:rtl/>
        </w:rPr>
        <w:t>.</w:t>
      </w:r>
      <w:r>
        <w:rPr>
          <w:rStyle w:val="big-number"/>
          <w:rtl/>
        </w:rPr>
        <w:tab/>
      </w:r>
      <w:r>
        <w:rPr>
          <w:rStyle w:val="default"/>
          <w:rFonts w:cs="FrankRuehl" w:hint="cs"/>
          <w:rtl/>
        </w:rPr>
        <w:t>המערער יטען תחילה והמשיבה תטען אחריו, זולת אם קבע בית המשפט סדר טיעון אחר.</w:t>
      </w:r>
    </w:p>
    <w:p w:rsidR="003A3A6F" w:rsidRDefault="003A3A6F">
      <w:pPr>
        <w:pStyle w:val="P00"/>
        <w:spacing w:before="72"/>
        <w:ind w:left="0" w:right="1134"/>
        <w:rPr>
          <w:rStyle w:val="default"/>
          <w:rFonts w:cs="FrankRuehl" w:hint="cs"/>
          <w:rtl/>
        </w:rPr>
      </w:pPr>
      <w:bookmarkStart w:id="8" w:name="Seif8"/>
      <w:bookmarkEnd w:id="8"/>
      <w:r>
        <w:rPr>
          <w:lang w:val="he-IL"/>
        </w:rPr>
        <w:pict>
          <v:rect id="_x0000_s1113" style="position:absolute;left:0;text-align:left;margin-left:464.5pt;margin-top:8.05pt;width:75.05pt;height:8.85pt;z-index:251658752" o:allowincell="f" filled="f" stroked="f" strokecolor="lime" strokeweight=".25pt">
            <v:textbox inset="0,0,0,0">
              <w:txbxContent>
                <w:p w:rsidR="003A3A6F" w:rsidRDefault="003A3A6F">
                  <w:pPr>
                    <w:spacing w:line="160" w:lineRule="exact"/>
                    <w:jc w:val="left"/>
                    <w:rPr>
                      <w:rFonts w:cs="Miriam" w:hint="cs"/>
                      <w:noProof/>
                      <w:szCs w:val="18"/>
                      <w:rtl/>
                    </w:rPr>
                  </w:pPr>
                  <w:r>
                    <w:rPr>
                      <w:rFonts w:cs="Miriam" w:hint="cs"/>
                      <w:szCs w:val="18"/>
                      <w:rtl/>
                    </w:rPr>
                    <w:t>פסק דין</w:t>
                  </w:r>
                </w:p>
              </w:txbxContent>
            </v:textbox>
            <w10:anchorlock/>
          </v:rect>
        </w:pict>
      </w:r>
      <w:r>
        <w:rPr>
          <w:rStyle w:val="big-number"/>
          <w:rFonts w:hint="cs"/>
          <w:rtl/>
        </w:rPr>
        <w:t>9</w:t>
      </w:r>
      <w:r>
        <w:rPr>
          <w:rStyle w:val="big-number"/>
          <w:rtl/>
        </w:rPr>
        <w:t>.</w:t>
      </w:r>
      <w:r>
        <w:rPr>
          <w:rStyle w:val="big-number"/>
          <w:rtl/>
        </w:rPr>
        <w:tab/>
      </w:r>
      <w:r>
        <w:rPr>
          <w:rStyle w:val="default"/>
          <w:rFonts w:cs="FrankRuehl" w:hint="cs"/>
          <w:rtl/>
        </w:rPr>
        <w:t>(א)</w:t>
      </w:r>
      <w:r>
        <w:rPr>
          <w:rStyle w:val="default"/>
          <w:rFonts w:cs="FrankRuehl" w:hint="cs"/>
          <w:rtl/>
        </w:rPr>
        <w:tab/>
        <w:t xml:space="preserve">בתום הדיון או סמוך לאחריו, ככל האפשר בנסיבות הענין, ייתן בית המשפט פסק דין בערעור; בפסק הדין מוסמך בית המשפט לדחות את הערעור או לקבלו </w:t>
      </w:r>
      <w:r>
        <w:rPr>
          <w:rStyle w:val="default"/>
          <w:rFonts w:cs="FrankRuehl"/>
          <w:rtl/>
        </w:rPr>
        <w:t>–</w:t>
      </w:r>
      <w:r>
        <w:rPr>
          <w:rStyle w:val="default"/>
          <w:rFonts w:cs="FrankRuehl" w:hint="cs"/>
          <w:rtl/>
        </w:rPr>
        <w:t xml:space="preserve"> כולו, מקצתו או בשינויים </w:t>
      </w:r>
      <w:r>
        <w:rPr>
          <w:rStyle w:val="default"/>
          <w:rFonts w:cs="FrankRuehl"/>
          <w:rtl/>
        </w:rPr>
        <w:t>–</w:t>
      </w:r>
      <w:r>
        <w:rPr>
          <w:rStyle w:val="default"/>
          <w:rFonts w:cs="FrankRuehl" w:hint="cs"/>
          <w:rtl/>
        </w:rPr>
        <w:t xml:space="preserve"> או להחזיר את הענין לוועדת הזכאות.</w:t>
      </w:r>
    </w:p>
    <w:p w:rsidR="003A3A6F" w:rsidRDefault="003A3A6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בית המשפט רשאי לפסוק בערעור אף אם וועדת הזכאות הסתמכה בהחלטתה על נימוק שונה מהנימוק שעליו מסתמך בית המשפט שלערעור.</w:t>
      </w:r>
    </w:p>
    <w:p w:rsidR="003A3A6F" w:rsidRDefault="003A3A6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בית המשפט ימציא את פסק הדין לבעלי הדין במועד סמוך, ככל האפשר, למתן ההחלטה.</w:t>
      </w:r>
    </w:p>
    <w:p w:rsidR="003A3A6F" w:rsidRDefault="003A3A6F">
      <w:pPr>
        <w:pStyle w:val="P00"/>
        <w:spacing w:before="72"/>
        <w:ind w:left="0" w:right="1134"/>
        <w:rPr>
          <w:rStyle w:val="default"/>
          <w:rFonts w:cs="FrankRuehl" w:hint="cs"/>
          <w:rtl/>
        </w:rPr>
      </w:pPr>
      <w:bookmarkStart w:id="9" w:name="Seif9"/>
      <w:bookmarkEnd w:id="9"/>
      <w:r>
        <w:rPr>
          <w:lang w:val="he-IL"/>
        </w:rPr>
        <w:pict>
          <v:rect id="_x0000_s1114" style="position:absolute;left:0;text-align:left;margin-left:464.5pt;margin-top:8.05pt;width:75.05pt;height:9.6pt;z-index:251659776" o:allowincell="f" filled="f" stroked="f" strokecolor="lime" strokeweight=".25pt">
            <v:textbox inset="0,0,0,0">
              <w:txbxContent>
                <w:p w:rsidR="003A3A6F" w:rsidRDefault="003A3A6F">
                  <w:pPr>
                    <w:spacing w:line="160" w:lineRule="exact"/>
                    <w:jc w:val="left"/>
                    <w:rPr>
                      <w:rFonts w:cs="Miriam" w:hint="cs"/>
                      <w:noProof/>
                      <w:szCs w:val="18"/>
                      <w:rtl/>
                    </w:rPr>
                  </w:pPr>
                  <w:r>
                    <w:rPr>
                      <w:rFonts w:cs="Miriam" w:hint="cs"/>
                      <w:szCs w:val="18"/>
                      <w:rtl/>
                    </w:rPr>
                    <w:t>אי התייצבות</w:t>
                  </w:r>
                </w:p>
              </w:txbxContent>
            </v:textbox>
            <w10:anchorlock/>
          </v:rect>
        </w:pict>
      </w:r>
      <w:r>
        <w:rPr>
          <w:rStyle w:val="big-number"/>
          <w:rFonts w:hint="cs"/>
          <w:rtl/>
        </w:rPr>
        <w:t>10</w:t>
      </w:r>
      <w:r>
        <w:rPr>
          <w:rStyle w:val="big-number"/>
          <w:rtl/>
        </w:rPr>
        <w:t>.</w:t>
      </w:r>
      <w:r>
        <w:rPr>
          <w:rStyle w:val="big-number"/>
          <w:rtl/>
        </w:rPr>
        <w:tab/>
      </w:r>
      <w:r>
        <w:rPr>
          <w:rStyle w:val="default"/>
          <w:rFonts w:cs="FrankRuehl" w:hint="cs"/>
          <w:rtl/>
        </w:rPr>
        <w:t>(א)</w:t>
      </w:r>
      <w:r>
        <w:rPr>
          <w:rStyle w:val="default"/>
          <w:rFonts w:cs="FrankRuehl" w:hint="cs"/>
          <w:rtl/>
        </w:rPr>
        <w:tab/>
        <w:t xml:space="preserve">נמסרה הודעה בדבר דיון, לרבות דיון מוקדם, רשאי בית המשפט </w:t>
      </w:r>
      <w:r>
        <w:rPr>
          <w:rStyle w:val="default"/>
          <w:rFonts w:cs="FrankRuehl"/>
          <w:rtl/>
        </w:rPr>
        <w:t>–</w:t>
      </w:r>
    </w:p>
    <w:p w:rsidR="003A3A6F" w:rsidRDefault="003A3A6F">
      <w:pPr>
        <w:pStyle w:val="P00"/>
        <w:spacing w:before="72"/>
        <w:ind w:left="1021" w:right="1134"/>
        <w:rPr>
          <w:rStyle w:val="default"/>
          <w:rFonts w:cs="FrankRuehl" w:hint="cs"/>
          <w:rtl/>
        </w:rPr>
      </w:pPr>
      <w:r>
        <w:rPr>
          <w:rStyle w:val="default"/>
          <w:rFonts w:cs="FrankRuehl" w:hint="cs"/>
          <w:rtl/>
        </w:rPr>
        <w:lastRenderedPageBreak/>
        <w:t>(1)</w:t>
      </w:r>
      <w:r>
        <w:rPr>
          <w:rStyle w:val="default"/>
          <w:rFonts w:cs="FrankRuehl" w:hint="cs"/>
          <w:rtl/>
        </w:rPr>
        <w:tab/>
        <w:t xml:space="preserve">אם לא התייצב איש מבעלי הדין </w:t>
      </w:r>
      <w:r>
        <w:rPr>
          <w:rStyle w:val="default"/>
          <w:rFonts w:cs="FrankRuehl"/>
          <w:rtl/>
        </w:rPr>
        <w:t>–</w:t>
      </w:r>
      <w:r>
        <w:rPr>
          <w:rStyle w:val="default"/>
          <w:rFonts w:cs="FrankRuehl" w:hint="cs"/>
          <w:rtl/>
        </w:rPr>
        <w:t xml:space="preserve"> למחוק או לדחות את הערעור או לדחות את הדיון למועד אחר;</w:t>
      </w:r>
    </w:p>
    <w:p w:rsidR="003A3A6F" w:rsidRDefault="003A3A6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התייצב המערער והמשיבה לא התייצבה </w:t>
      </w:r>
      <w:r>
        <w:rPr>
          <w:rStyle w:val="default"/>
          <w:rFonts w:cs="FrankRuehl"/>
          <w:rtl/>
        </w:rPr>
        <w:t>–</w:t>
      </w:r>
      <w:r>
        <w:rPr>
          <w:rStyle w:val="default"/>
          <w:rFonts w:cs="FrankRuehl" w:hint="cs"/>
          <w:rtl/>
        </w:rPr>
        <w:t xml:space="preserve"> לקיים דיון בערעור בהעדר המשיבה או לדחות את הדיון למועד אחר;</w:t>
      </w:r>
    </w:p>
    <w:p w:rsidR="003A3A6F" w:rsidRDefault="003A3A6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אם התייצבה המשיבה והמערער לא התייצב </w:t>
      </w:r>
      <w:r>
        <w:rPr>
          <w:rStyle w:val="default"/>
          <w:rFonts w:cs="FrankRuehl"/>
          <w:rtl/>
        </w:rPr>
        <w:t>–</w:t>
      </w:r>
      <w:r>
        <w:rPr>
          <w:rStyle w:val="default"/>
          <w:rFonts w:cs="FrankRuehl" w:hint="cs"/>
          <w:rtl/>
        </w:rPr>
        <w:t xml:space="preserve"> למחוק או לדחות את הערעור או לדחות את הדיון למועד אחר.</w:t>
      </w:r>
    </w:p>
    <w:p w:rsidR="003A3A6F" w:rsidRDefault="003A3A6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ניתנה החלטה לפי תקנה זו, רשאים המערער או המשיבה, לפי הענין, לבקש את ביטולה או שינויה בתוך שבעה ימים מיום המצאתה, ורשאי בית המשפט לבטלה או לשנותה בתנאים שייראו לו, ובין השאר לענין הוצאות.</w:t>
      </w:r>
    </w:p>
    <w:p w:rsidR="003A3A6F" w:rsidRDefault="003A3A6F">
      <w:pPr>
        <w:pStyle w:val="P00"/>
        <w:spacing w:before="72"/>
        <w:ind w:left="0" w:right="1134"/>
        <w:rPr>
          <w:rStyle w:val="default"/>
          <w:rFonts w:cs="FrankRuehl" w:hint="cs"/>
          <w:rtl/>
        </w:rPr>
      </w:pPr>
      <w:bookmarkStart w:id="10" w:name="Seif10"/>
      <w:bookmarkEnd w:id="10"/>
      <w:r>
        <w:rPr>
          <w:lang w:val="he-IL"/>
        </w:rPr>
        <w:pict>
          <v:rect id="_x0000_s1115" style="position:absolute;left:0;text-align:left;margin-left:464.5pt;margin-top:8.05pt;width:75.05pt;height:9.5pt;z-index:251660800" o:allowincell="f" filled="f" stroked="f" strokecolor="lime" strokeweight=".25pt">
            <v:textbox inset="0,0,0,0">
              <w:txbxContent>
                <w:p w:rsidR="003A3A6F" w:rsidRDefault="003A3A6F">
                  <w:pPr>
                    <w:spacing w:line="160" w:lineRule="exact"/>
                    <w:jc w:val="left"/>
                    <w:rPr>
                      <w:rFonts w:cs="Miriam" w:hint="cs"/>
                      <w:noProof/>
                      <w:szCs w:val="18"/>
                      <w:rtl/>
                    </w:rPr>
                  </w:pPr>
                  <w:r>
                    <w:rPr>
                      <w:rFonts w:cs="Miriam" w:hint="cs"/>
                      <w:szCs w:val="18"/>
                      <w:rtl/>
                    </w:rPr>
                    <w:t>דיון דחוף</w:t>
                  </w:r>
                </w:p>
              </w:txbxContent>
            </v:textbox>
            <w10:anchorlock/>
          </v:rect>
        </w:pict>
      </w:r>
      <w:r>
        <w:rPr>
          <w:rStyle w:val="big-number"/>
          <w:rFonts w:hint="cs"/>
          <w:rtl/>
        </w:rPr>
        <w:t>11</w:t>
      </w:r>
      <w:r>
        <w:rPr>
          <w:rStyle w:val="big-number"/>
          <w:rtl/>
        </w:rPr>
        <w:t>.</w:t>
      </w:r>
      <w:r>
        <w:rPr>
          <w:rStyle w:val="big-number"/>
          <w:rtl/>
        </w:rPr>
        <w:tab/>
      </w:r>
      <w:r>
        <w:rPr>
          <w:rStyle w:val="default"/>
          <w:rFonts w:cs="FrankRuehl" w:hint="cs"/>
          <w:rtl/>
        </w:rPr>
        <w:t>ראה בית המשפט כי נסיבות הענין מחייבות שלא להשהות את הדיון בערעור שלפניו, רשאי הוא לדון בה בדחיפות בסטיה מהוראות תקנות אלה, ככל הנדרש.</w:t>
      </w:r>
    </w:p>
    <w:p w:rsidR="003A3A6F" w:rsidRDefault="003A3A6F">
      <w:pPr>
        <w:pStyle w:val="P00"/>
        <w:spacing w:before="72"/>
        <w:ind w:left="0" w:right="1134"/>
        <w:rPr>
          <w:rStyle w:val="default"/>
          <w:rFonts w:cs="FrankRuehl" w:hint="cs"/>
          <w:rtl/>
        </w:rPr>
      </w:pPr>
      <w:bookmarkStart w:id="11" w:name="Seif11"/>
      <w:bookmarkEnd w:id="11"/>
      <w:r>
        <w:rPr>
          <w:lang w:val="he-IL"/>
        </w:rPr>
        <w:pict>
          <v:rect id="_x0000_s1116" style="position:absolute;left:0;text-align:left;margin-left:464.5pt;margin-top:8.05pt;width:75.05pt;height:10.15pt;z-index:251661824" o:allowincell="f" filled="f" stroked="f" strokecolor="lime" strokeweight=".25pt">
            <v:textbox inset="0,0,0,0">
              <w:txbxContent>
                <w:p w:rsidR="003A3A6F" w:rsidRDefault="003A3A6F">
                  <w:pPr>
                    <w:spacing w:line="160" w:lineRule="exact"/>
                    <w:jc w:val="left"/>
                    <w:rPr>
                      <w:rFonts w:cs="Miriam" w:hint="cs"/>
                      <w:noProof/>
                      <w:szCs w:val="18"/>
                      <w:rtl/>
                    </w:rPr>
                  </w:pPr>
                  <w:r>
                    <w:rPr>
                      <w:rFonts w:cs="Miriam" w:hint="cs"/>
                      <w:szCs w:val="18"/>
                      <w:rtl/>
                    </w:rPr>
                    <w:t>תקופת פגרה</w:t>
                  </w:r>
                </w:p>
              </w:txbxContent>
            </v:textbox>
            <w10:anchorlock/>
          </v:rect>
        </w:pict>
      </w:r>
      <w:r>
        <w:rPr>
          <w:rStyle w:val="big-number"/>
          <w:rFonts w:hint="cs"/>
          <w:rtl/>
        </w:rPr>
        <w:t>12</w:t>
      </w:r>
      <w:r>
        <w:rPr>
          <w:rStyle w:val="big-number"/>
          <w:rtl/>
        </w:rPr>
        <w:t>.</w:t>
      </w:r>
      <w:r>
        <w:rPr>
          <w:rStyle w:val="big-number"/>
          <w:rtl/>
        </w:rPr>
        <w:tab/>
      </w:r>
      <w:r>
        <w:rPr>
          <w:rStyle w:val="default"/>
          <w:rFonts w:cs="FrankRuehl" w:hint="cs"/>
          <w:rtl/>
        </w:rPr>
        <w:t>תקופת פגרה של בתי המשפט תבוא במניין הימים שנקבעו בתקנות אלה או שקבע בית המשפט, זולת אם הורה בית המשפט אחרת.</w:t>
      </w:r>
    </w:p>
    <w:p w:rsidR="003A3A6F" w:rsidRDefault="003A3A6F">
      <w:pPr>
        <w:pStyle w:val="P00"/>
        <w:spacing w:before="72"/>
        <w:ind w:left="0" w:right="1134"/>
        <w:rPr>
          <w:rStyle w:val="default"/>
          <w:rFonts w:cs="FrankRuehl" w:hint="cs"/>
          <w:rtl/>
        </w:rPr>
      </w:pPr>
      <w:bookmarkStart w:id="12" w:name="Seif12"/>
      <w:bookmarkEnd w:id="12"/>
      <w:r>
        <w:rPr>
          <w:lang w:val="he-IL"/>
        </w:rPr>
        <w:pict>
          <v:rect id="_x0000_s1117" style="position:absolute;left:0;text-align:left;margin-left:464.5pt;margin-top:8.05pt;width:75.05pt;height:10.85pt;z-index:251662848" o:allowincell="f" filled="f" stroked="f" strokecolor="lime" strokeweight=".25pt">
            <v:textbox inset="0,0,0,0">
              <w:txbxContent>
                <w:p w:rsidR="003A3A6F" w:rsidRDefault="003A3A6F">
                  <w:pPr>
                    <w:spacing w:line="160" w:lineRule="exact"/>
                    <w:jc w:val="left"/>
                    <w:rPr>
                      <w:rFonts w:cs="Miriam" w:hint="cs"/>
                      <w:noProof/>
                      <w:szCs w:val="18"/>
                      <w:rtl/>
                    </w:rPr>
                  </w:pPr>
                  <w:r>
                    <w:rPr>
                      <w:rFonts w:cs="Miriam" w:hint="cs"/>
                      <w:szCs w:val="18"/>
                      <w:rtl/>
                    </w:rPr>
                    <w:t>המצאת כתבי בי-דין</w:t>
                  </w:r>
                </w:p>
              </w:txbxContent>
            </v:textbox>
            <w10:anchorlock/>
          </v:rect>
        </w:pict>
      </w:r>
      <w:r>
        <w:rPr>
          <w:rStyle w:val="big-number"/>
          <w:rFonts w:hint="cs"/>
          <w:rtl/>
        </w:rPr>
        <w:t>13</w:t>
      </w:r>
      <w:r>
        <w:rPr>
          <w:rStyle w:val="big-number"/>
          <w:rtl/>
        </w:rPr>
        <w:t>.</w:t>
      </w:r>
      <w:r>
        <w:rPr>
          <w:rStyle w:val="big-number"/>
          <w:rtl/>
        </w:rPr>
        <w:tab/>
      </w:r>
      <w:r>
        <w:rPr>
          <w:rStyle w:val="default"/>
          <w:rFonts w:cs="FrankRuehl" w:hint="cs"/>
          <w:rtl/>
        </w:rPr>
        <w:t>(א)</w:t>
      </w:r>
      <w:r>
        <w:rPr>
          <w:rStyle w:val="default"/>
          <w:rFonts w:cs="FrankRuehl" w:hint="cs"/>
          <w:rtl/>
        </w:rPr>
        <w:tab/>
        <w:t>כתב בי-דין המוגש במסגרת ערעור לבית המשפט יומצא במישרין לשאר בעלי הדין, בהקדם האפשרי ולא יאוחר מתום שלושה ימים מיום הגשתו לבית המשפט.</w:t>
      </w:r>
    </w:p>
    <w:p w:rsidR="003A3A6F" w:rsidRDefault="003A3A6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המצאת כתבי בי-דין במסגרת ערעור תיעשה במסירה אישית או בדואר כאמור בפרק ל"ב בתקנות סדר הדין האזרחי, התשמ"ד-1984 (להלן </w:t>
      </w:r>
      <w:r>
        <w:rPr>
          <w:rStyle w:val="default"/>
          <w:rFonts w:cs="FrankRuehl"/>
          <w:rtl/>
        </w:rPr>
        <w:t>–</w:t>
      </w:r>
      <w:r>
        <w:rPr>
          <w:rStyle w:val="default"/>
          <w:rFonts w:cs="FrankRuehl" w:hint="cs"/>
          <w:rtl/>
        </w:rPr>
        <w:t xml:space="preserve"> תקנות סדר הדין האזרחי).</w:t>
      </w:r>
    </w:p>
    <w:p w:rsidR="003A3A6F" w:rsidRDefault="003A3A6F">
      <w:pPr>
        <w:pStyle w:val="P00"/>
        <w:spacing w:before="72"/>
        <w:ind w:left="0" w:right="1134"/>
        <w:rPr>
          <w:rStyle w:val="default"/>
          <w:rFonts w:cs="FrankRuehl" w:hint="cs"/>
          <w:rtl/>
        </w:rPr>
      </w:pPr>
      <w:bookmarkStart w:id="13" w:name="Seif13"/>
      <w:bookmarkEnd w:id="13"/>
      <w:r>
        <w:rPr>
          <w:lang w:val="he-IL"/>
        </w:rPr>
        <w:pict>
          <v:rect id="_x0000_s1118" style="position:absolute;left:0;text-align:left;margin-left:464.5pt;margin-top:8.05pt;width:75.05pt;height:26.7pt;z-index:251663872" o:allowincell="f" filled="f" stroked="f" strokecolor="lime" strokeweight=".25pt">
            <v:textbox inset="0,0,0,0">
              <w:txbxContent>
                <w:p w:rsidR="003A3A6F" w:rsidRDefault="003A3A6F">
                  <w:pPr>
                    <w:spacing w:line="160" w:lineRule="exact"/>
                    <w:jc w:val="left"/>
                    <w:rPr>
                      <w:rFonts w:cs="Miriam" w:hint="cs"/>
                      <w:noProof/>
                      <w:szCs w:val="18"/>
                      <w:rtl/>
                    </w:rPr>
                  </w:pPr>
                  <w:r>
                    <w:rPr>
                      <w:rFonts w:cs="Miriam" w:hint="cs"/>
                      <w:szCs w:val="18"/>
                      <w:rtl/>
                    </w:rPr>
                    <w:t>ביטול החלטה שניתנה על פי צד אחד</w:t>
                  </w:r>
                </w:p>
              </w:txbxContent>
            </v:textbox>
            <w10:anchorlock/>
          </v:rect>
        </w:pict>
      </w:r>
      <w:r>
        <w:rPr>
          <w:rStyle w:val="big-number"/>
          <w:rFonts w:hint="cs"/>
          <w:rtl/>
        </w:rPr>
        <w:t>14</w:t>
      </w:r>
      <w:r>
        <w:rPr>
          <w:rStyle w:val="big-number"/>
          <w:rtl/>
        </w:rPr>
        <w:t>.</w:t>
      </w:r>
      <w:r>
        <w:rPr>
          <w:rStyle w:val="big-number"/>
          <w:rtl/>
        </w:rPr>
        <w:tab/>
      </w:r>
      <w:r>
        <w:rPr>
          <w:rStyle w:val="default"/>
          <w:rFonts w:cs="FrankRuehl" w:hint="cs"/>
          <w:rtl/>
        </w:rPr>
        <w:t>נתן בית המשפט החלטה על פי צד אחד, רשאי בעל הדין שנגדו ניתנה ההחלטה לבקש את ביטולה או שינויה בתוך שבעה ימים מיום המצאתה, ורשאי בית המשפט לבטלה או לשנותה, בתנאים שייראו לו, ובין השאר לענין הוצאות.</w:t>
      </w:r>
    </w:p>
    <w:p w:rsidR="003A3A6F" w:rsidRDefault="003A3A6F">
      <w:pPr>
        <w:pStyle w:val="P00"/>
        <w:spacing w:before="72"/>
        <w:ind w:left="0" w:right="1134"/>
        <w:rPr>
          <w:rStyle w:val="default"/>
          <w:rFonts w:cs="FrankRuehl" w:hint="cs"/>
          <w:rtl/>
        </w:rPr>
      </w:pPr>
      <w:bookmarkStart w:id="14" w:name="Seif14"/>
      <w:bookmarkEnd w:id="14"/>
      <w:r>
        <w:rPr>
          <w:lang w:val="he-IL"/>
        </w:rPr>
        <w:pict>
          <v:rect id="_x0000_s1119" style="position:absolute;left:0;text-align:left;margin-left:464.5pt;margin-top:8.05pt;width:75.05pt;height:17.35pt;z-index:251664896" o:allowincell="f" filled="f" stroked="f" strokecolor="lime" strokeweight=".25pt">
            <v:textbox inset="0,0,0,0">
              <w:txbxContent>
                <w:p w:rsidR="003A3A6F" w:rsidRDefault="003A3A6F">
                  <w:pPr>
                    <w:spacing w:line="160" w:lineRule="exact"/>
                    <w:jc w:val="left"/>
                    <w:rPr>
                      <w:rFonts w:cs="Miriam" w:hint="cs"/>
                      <w:noProof/>
                      <w:szCs w:val="18"/>
                      <w:rtl/>
                    </w:rPr>
                  </w:pPr>
                  <w:r>
                    <w:rPr>
                      <w:rFonts w:cs="Miriam" w:hint="cs"/>
                      <w:szCs w:val="18"/>
                      <w:rtl/>
                    </w:rPr>
                    <w:t>תחולת תקנות סדר הדין האזרחי</w:t>
                  </w:r>
                </w:p>
              </w:txbxContent>
            </v:textbox>
            <w10:anchorlock/>
          </v:rect>
        </w:pict>
      </w:r>
      <w:r>
        <w:rPr>
          <w:rStyle w:val="big-number"/>
          <w:rFonts w:hint="cs"/>
          <w:rtl/>
        </w:rPr>
        <w:t>15</w:t>
      </w:r>
      <w:r>
        <w:rPr>
          <w:rStyle w:val="big-number"/>
          <w:rtl/>
        </w:rPr>
        <w:t>.</w:t>
      </w:r>
      <w:r>
        <w:rPr>
          <w:rStyle w:val="big-number"/>
          <w:rtl/>
        </w:rPr>
        <w:tab/>
      </w:r>
      <w:r>
        <w:rPr>
          <w:rStyle w:val="default"/>
          <w:rFonts w:cs="FrankRuehl" w:hint="cs"/>
          <w:rtl/>
        </w:rPr>
        <w:t>(א)</w:t>
      </w:r>
      <w:r>
        <w:rPr>
          <w:rStyle w:val="default"/>
          <w:rFonts w:cs="FrankRuehl" w:hint="cs"/>
          <w:rtl/>
        </w:rPr>
        <w:tab/>
        <w:t>על ערעור יחולו הוראות תקנות סדר הדין האזרחי, בשינויים המחויבים, למעט סימן ג' בפרק ז', פרק ט', חלק ג', סימן ד' בפרק ל' ותקנה 446, והכל אם אין בחוק ובתקנות אלה הוראה אחרת לענין הנדון, ואם אין בענין הנדון או בהקשרו דבר שאינו מתיישב עם הוראות החוק ותקנות אלה.</w:t>
      </w:r>
    </w:p>
    <w:p w:rsidR="003A3A6F" w:rsidRDefault="003A3A6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ערעור לפי סעיף 18 לחוק יחולו תקנות סדר הדין האזרחי בשינויים המחויבים, אם אין בחוק ובתקנות אלה הוראה אחרת לענין הנדון, ואם אין בענין הנדון או בהקשרו דבר שאינו מתיישב עם הוראות החוק.</w:t>
      </w:r>
    </w:p>
    <w:p w:rsidR="003A3A6F" w:rsidRDefault="003A3A6F">
      <w:pPr>
        <w:pStyle w:val="P00"/>
        <w:spacing w:before="72"/>
        <w:ind w:left="0" w:right="1134"/>
        <w:rPr>
          <w:rFonts w:hint="cs"/>
          <w:rtl/>
        </w:rPr>
      </w:pPr>
    </w:p>
    <w:p w:rsidR="003A3A6F" w:rsidRDefault="003A3A6F">
      <w:pPr>
        <w:pStyle w:val="P00"/>
        <w:spacing w:before="72"/>
        <w:ind w:left="0" w:right="1134"/>
        <w:rPr>
          <w:rFonts w:hint="cs"/>
          <w:rtl/>
        </w:rPr>
      </w:pPr>
    </w:p>
    <w:p w:rsidR="003A3A6F" w:rsidRDefault="003A3A6F">
      <w:pPr>
        <w:pStyle w:val="P00"/>
        <w:spacing w:before="72"/>
        <w:ind w:left="0" w:right="1134"/>
        <w:rPr>
          <w:rFonts w:hint="cs"/>
          <w:rtl/>
        </w:rPr>
      </w:pPr>
      <w:r>
        <w:rPr>
          <w:rFonts w:hint="cs"/>
          <w:rtl/>
        </w:rPr>
        <w:t>כ"ג בסיון התשס"ה (30 ביוני 2005)</w:t>
      </w:r>
    </w:p>
    <w:p w:rsidR="003A3A6F" w:rsidRDefault="003A3A6F">
      <w:pPr>
        <w:pStyle w:val="sig-0"/>
        <w:tabs>
          <w:tab w:val="clear" w:pos="4820"/>
          <w:tab w:val="center" w:pos="5670"/>
        </w:tabs>
        <w:ind w:left="0" w:right="1134"/>
        <w:rPr>
          <w:rtl/>
        </w:rPr>
      </w:pPr>
      <w:r>
        <w:rPr>
          <w:rFonts w:hint="cs"/>
          <w:rtl/>
        </w:rPr>
        <w:tab/>
        <w:t>ציפי לבני</w:t>
      </w:r>
    </w:p>
    <w:p w:rsidR="003A3A6F" w:rsidRDefault="003A3A6F">
      <w:pPr>
        <w:pStyle w:val="sig-1"/>
        <w:widowControl/>
        <w:tabs>
          <w:tab w:val="clear" w:pos="851"/>
          <w:tab w:val="clear" w:pos="2835"/>
          <w:tab w:val="clear" w:pos="4820"/>
          <w:tab w:val="center" w:pos="5670"/>
        </w:tabs>
        <w:ind w:left="0" w:right="1134"/>
        <w:rPr>
          <w:rtl/>
        </w:rPr>
      </w:pPr>
      <w:r>
        <w:rPr>
          <w:rFonts w:hint="cs"/>
          <w:rtl/>
        </w:rPr>
        <w:tab/>
        <w:t>שרת המשפטים</w:t>
      </w:r>
    </w:p>
    <w:p w:rsidR="003A3A6F" w:rsidRDefault="003A3A6F">
      <w:pPr>
        <w:pStyle w:val="sig-1"/>
        <w:widowControl/>
        <w:ind w:left="0" w:right="1134"/>
        <w:rPr>
          <w:rtl/>
        </w:rPr>
      </w:pPr>
    </w:p>
    <w:sectPr w:rsidR="003A3A6F">
      <w:headerReference w:type="even" r:id="rId6"/>
      <w:headerReference w:type="default" r:id="rId7"/>
      <w:footerReference w:type="even" r:id="rId8"/>
      <w:footerReference w:type="default" r:id="rId9"/>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6445" w:rsidRDefault="00F86445">
      <w:r>
        <w:separator/>
      </w:r>
    </w:p>
  </w:endnote>
  <w:endnote w:type="continuationSeparator" w:id="0">
    <w:p w:rsidR="00F86445" w:rsidRDefault="00F86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3A6F" w:rsidRDefault="003A3A6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3A3A6F" w:rsidRDefault="003A3A6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A3A6F" w:rsidRDefault="003A3A6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M:\-000000-law\0-yael\05-07-19\999_448.doc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3A6F" w:rsidRDefault="003A3A6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3402B9">
      <w:rPr>
        <w:rFonts w:hAnsi="FrankRuehl"/>
        <w:noProof/>
        <w:sz w:val="24"/>
        <w:szCs w:val="24"/>
        <w:rtl/>
      </w:rPr>
      <w:t>2</w:t>
    </w:r>
    <w:r>
      <w:rPr>
        <w:rFonts w:hAnsi="FrankRuehl"/>
        <w:sz w:val="24"/>
        <w:szCs w:val="24"/>
        <w:rtl/>
      </w:rPr>
      <w:fldChar w:fldCharType="end"/>
    </w:r>
  </w:p>
  <w:p w:rsidR="003A3A6F" w:rsidRDefault="003A3A6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A3A6F" w:rsidRDefault="003A3A6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M:\-000000-law\0-yael\05-07-19\999_448.doc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6445" w:rsidRDefault="00F86445">
      <w:r>
        <w:separator/>
      </w:r>
    </w:p>
  </w:footnote>
  <w:footnote w:type="continuationSeparator" w:id="0">
    <w:p w:rsidR="00F86445" w:rsidRDefault="00F86445">
      <w:r>
        <w:continuationSeparator/>
      </w:r>
    </w:p>
  </w:footnote>
  <w:footnote w:id="1">
    <w:p w:rsidR="003A3A6F" w:rsidRDefault="003A3A6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פורסמו </w:t>
      </w:r>
      <w:hyperlink r:id="rId1" w:history="1">
        <w:r>
          <w:rPr>
            <w:rStyle w:val="Hyperlink"/>
            <w:rFonts w:hint="cs"/>
            <w:sz w:val="20"/>
            <w:rtl/>
          </w:rPr>
          <w:t>ק"ת תשס"ה מס' 6396</w:t>
        </w:r>
      </w:hyperlink>
      <w:r>
        <w:rPr>
          <w:rFonts w:hint="cs"/>
          <w:sz w:val="20"/>
          <w:rtl/>
        </w:rPr>
        <w:t xml:space="preserve"> מיום 7.7.2005 עמ' 772.</w:t>
      </w:r>
    </w:p>
    <w:p w:rsidR="003A3A6F" w:rsidRDefault="003A3A6F">
      <w:pPr>
        <w:pStyle w:val="footnote"/>
        <w:tabs>
          <w:tab w:val="left" w:pos="624"/>
          <w:tab w:val="left" w:pos="1021"/>
          <w:tab w:val="left" w:pos="1474"/>
          <w:tab w:val="left" w:pos="1928"/>
          <w:tab w:val="left" w:pos="2381"/>
          <w:tab w:val="left" w:pos="2835"/>
          <w:tab w:val="right" w:leader="dot" w:pos="6259"/>
        </w:tabs>
        <w:bidi w:val="0"/>
        <w:spacing w:before="72"/>
        <w:ind w:left="0" w:right="1134"/>
        <w:rPr>
          <w:sz w:val="20"/>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3A6F" w:rsidRDefault="003A3A6F">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3A3A6F" w:rsidRDefault="003A3A6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3A3A6F" w:rsidRDefault="003A3A6F">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3A6F" w:rsidRDefault="003A3A6F">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יישום תכנית ההתנתקות (סדרי דין בערעור לפי החוק)</w:t>
    </w:r>
    <w:r>
      <w:rPr>
        <w:rFonts w:hAnsi="FrankRuehl"/>
        <w:color w:val="000000"/>
        <w:sz w:val="28"/>
        <w:szCs w:val="28"/>
        <w:rtl/>
      </w:rPr>
      <w:t>, תשס"</w:t>
    </w:r>
    <w:r>
      <w:rPr>
        <w:rFonts w:hAnsi="FrankRuehl" w:hint="cs"/>
        <w:color w:val="000000"/>
        <w:sz w:val="28"/>
        <w:szCs w:val="28"/>
        <w:rtl/>
      </w:rPr>
      <w:t>ה</w:t>
    </w:r>
    <w:r>
      <w:rPr>
        <w:rFonts w:hAnsi="FrankRuehl"/>
        <w:color w:val="000000"/>
        <w:sz w:val="28"/>
        <w:szCs w:val="28"/>
        <w:rtl/>
      </w:rPr>
      <w:t>-200</w:t>
    </w:r>
    <w:r>
      <w:rPr>
        <w:rFonts w:hAnsi="FrankRuehl" w:hint="cs"/>
        <w:color w:val="000000"/>
        <w:sz w:val="28"/>
        <w:szCs w:val="28"/>
        <w:rtl/>
      </w:rPr>
      <w:t>5</w:t>
    </w:r>
  </w:p>
  <w:p w:rsidR="003A3A6F" w:rsidRDefault="003A3A6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3A3A6F" w:rsidRDefault="003A3A6F">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3A6F"/>
    <w:rsid w:val="002468C4"/>
    <w:rsid w:val="003402B9"/>
    <w:rsid w:val="003A3A6F"/>
    <w:rsid w:val="00AB2A8C"/>
    <w:rsid w:val="00D75603"/>
    <w:rsid w:val="00F8644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7C3120F-E6D5-49BD-BDB4-CA9D1CF8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39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5685</CharactersWithSpaces>
  <SharedDoc>false</SharedDoc>
  <HLinks>
    <vt:vector size="96" baseType="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Seif4</vt:lpwstr>
      </vt:variant>
      <vt:variant>
        <vt:i4>196634</vt:i4>
      </vt:variant>
      <vt:variant>
        <vt:i4>27</vt:i4>
      </vt:variant>
      <vt:variant>
        <vt:i4>0</vt:i4>
      </vt:variant>
      <vt:variant>
        <vt:i4>5</vt:i4>
      </vt:variant>
      <vt:variant>
        <vt:lpwstr/>
      </vt:variant>
      <vt:variant>
        <vt:lpwstr>Seif5</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7733261</vt:i4>
      </vt:variant>
      <vt:variant>
        <vt:i4>0</vt:i4>
      </vt:variant>
      <vt:variant>
        <vt:i4>0</vt:i4>
      </vt:variant>
      <vt:variant>
        <vt:i4>5</vt:i4>
      </vt:variant>
      <vt:variant>
        <vt:lpwstr>http://www.nevo.co.il/Law_word/law06/tak-6396.pdf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ביטחון</vt:lpwstr>
  </property>
  <property fmtid="{D5CDD505-2E9C-101B-9397-08002B2CF9AE}" pid="4" name="LAWNAME">
    <vt:lpwstr>תקנות יישום תכנית ההתנתקות (סדרי דין בערעור לפי החוק), תשס"ה-2005</vt:lpwstr>
  </property>
  <property fmtid="{D5CDD505-2E9C-101B-9397-08002B2CF9AE}" pid="5" name="LAWNUMBER">
    <vt:lpwstr>0448</vt:lpwstr>
  </property>
  <property fmtid="{D5CDD505-2E9C-101B-9397-08002B2CF9AE}" pid="6" name="TYPE">
    <vt:lpwstr>01</vt:lpwstr>
  </property>
  <property fmtid="{D5CDD505-2E9C-101B-9397-08002B2CF9AE}" pid="7" name="LINKK1">
    <vt:lpwstr>http://www.nevo.co.il/Law_word/law06/tak-6396.pdf;רשומות – תקנות כלליות#פורסמו ק"ת תשס"ה מס' 6396#מיום 7.7.2005#עמ' 772</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יישום תכנית ההתנתקות</vt:lpwstr>
  </property>
  <property fmtid="{D5CDD505-2E9C-101B-9397-08002B2CF9AE}" pid="23" name="MEKOR_SAIF1">
    <vt:lpwstr>17XהX</vt:lpwstr>
  </property>
  <property fmtid="{D5CDD505-2E9C-101B-9397-08002B2CF9AE}" pid="24" name="MEKOR_NAME2">
    <vt:lpwstr>חוק בתי המשפט [נוסח משולב]</vt:lpwstr>
  </property>
  <property fmtid="{D5CDD505-2E9C-101B-9397-08002B2CF9AE}" pid="25" name="MEKOR_SAIF2">
    <vt:lpwstr>108X</vt:lpwstr>
  </property>
  <property fmtid="{D5CDD505-2E9C-101B-9397-08002B2CF9AE}" pid="26" name="NOSE11">
    <vt:lpwstr>בטחון</vt:lpwstr>
  </property>
  <property fmtid="{D5CDD505-2E9C-101B-9397-08002B2CF9AE}" pid="27" name="NOSE21">
    <vt:lpwstr>תכנית ההתנתקות</vt:lpwstr>
  </property>
  <property fmtid="{D5CDD505-2E9C-101B-9397-08002B2CF9AE}" pid="28" name="NOSE31">
    <vt:lpwstr/>
  </property>
  <property fmtid="{D5CDD505-2E9C-101B-9397-08002B2CF9AE}" pid="29" name="NOSE41">
    <vt:lpwstr/>
  </property>
  <property fmtid="{D5CDD505-2E9C-101B-9397-08002B2CF9AE}" pid="30" name="NOSE12">
    <vt:lpwstr>בתי משפט וסדרי דין</vt:lpwstr>
  </property>
  <property fmtid="{D5CDD505-2E9C-101B-9397-08002B2CF9AE}" pid="31" name="NOSE22">
    <vt:lpwstr>סדר דין אזרחי</vt:lpwstr>
  </property>
  <property fmtid="{D5CDD505-2E9C-101B-9397-08002B2CF9AE}" pid="32" name="NOSE32">
    <vt:lpwstr>ערעור על החלטות</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