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4032" w:rsidRDefault="00AA4032" w:rsidP="00AA4032">
      <w:pPr>
        <w:pStyle w:val="big-header"/>
        <w:ind w:left="0" w:right="1134"/>
        <w:rPr>
          <w:rFonts w:hint="cs"/>
          <w:rtl/>
        </w:rPr>
      </w:pPr>
      <w:r>
        <w:rPr>
          <w:rFonts w:cs="FrankRuehl" w:hint="cs"/>
          <w:sz w:val="32"/>
          <w:rtl/>
        </w:rPr>
        <w:t>תקנות כביש אגרה (כביש ארצי לישראל) (כללים בדבר פיקוח ובקרה, הגשת צילומים, ראיות ומסמכים נוספים), תשס"ד-2003</w:t>
      </w:r>
    </w:p>
    <w:p w:rsidR="00AA4032" w:rsidRDefault="00AA4032" w:rsidP="00AA4032">
      <w:pPr>
        <w:spacing w:line="320" w:lineRule="auto"/>
        <w:rPr>
          <w:rtl/>
        </w:rPr>
      </w:pPr>
    </w:p>
    <w:p w:rsidR="00AA4032" w:rsidRDefault="00AA4032" w:rsidP="00AA4032">
      <w:pPr>
        <w:spacing w:line="320" w:lineRule="auto"/>
        <w:rPr>
          <w:rFonts w:cs="Miriam"/>
          <w:szCs w:val="22"/>
          <w:rtl/>
        </w:rPr>
      </w:pPr>
      <w:r w:rsidRPr="00AA4032">
        <w:rPr>
          <w:rFonts w:cs="Miriam"/>
          <w:szCs w:val="22"/>
          <w:rtl/>
        </w:rPr>
        <w:t>רשויות ומשפט מנהלי</w:t>
      </w:r>
      <w:r w:rsidRPr="00AA4032">
        <w:rPr>
          <w:rFonts w:cs="FrankRuehl"/>
          <w:szCs w:val="26"/>
          <w:rtl/>
        </w:rPr>
        <w:t xml:space="preserve"> – תשתיות – דרכים – כביש אגרה</w:t>
      </w:r>
    </w:p>
    <w:p w:rsidR="00AA4032" w:rsidRPr="00AA4032" w:rsidRDefault="00AA4032" w:rsidP="00AA4032">
      <w:pPr>
        <w:spacing w:line="320" w:lineRule="auto"/>
        <w:rPr>
          <w:rFonts w:cs="Miriam" w:hint="cs"/>
          <w:szCs w:val="22"/>
          <w:rtl/>
        </w:rPr>
      </w:pPr>
      <w:r w:rsidRPr="00AA4032">
        <w:rPr>
          <w:rFonts w:cs="Miriam"/>
          <w:szCs w:val="22"/>
          <w:rtl/>
        </w:rPr>
        <w:t>בתי משפט וסדרי דין</w:t>
      </w:r>
      <w:r w:rsidRPr="00AA4032">
        <w:rPr>
          <w:rFonts w:cs="FrankRuehl"/>
          <w:szCs w:val="26"/>
          <w:rtl/>
        </w:rPr>
        <w:t xml:space="preserve"> – ראיות</w:t>
      </w:r>
    </w:p>
    <w:p w:rsidR="00AA4032" w:rsidRPr="00AA4032" w:rsidRDefault="00AA4032" w:rsidP="00AA4032">
      <w:pPr>
        <w:pStyle w:val="big-header"/>
        <w:ind w:left="0" w:right="1134"/>
        <w:rPr>
          <w:rFonts w:cs="FrankRuehl"/>
          <w:rtl/>
        </w:rPr>
      </w:pPr>
      <w:r w:rsidRPr="00AA4032">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052D" w:rsidRPr="00C2052D" w:rsidTr="00C2052D">
        <w:tblPrEx>
          <w:tblCellMar>
            <w:top w:w="0" w:type="dxa"/>
            <w:bottom w:w="0" w:type="dxa"/>
          </w:tblCellMar>
        </w:tblPrEx>
        <w:tc>
          <w:tcPr>
            <w:tcW w:w="1247" w:type="dxa"/>
          </w:tcPr>
          <w:p w:rsidR="00C2052D" w:rsidRPr="00C2052D" w:rsidRDefault="00C2052D" w:rsidP="00C2052D">
            <w:pPr>
              <w:rPr>
                <w:rFonts w:cs="Frankruhel" w:hint="cs"/>
                <w:rtl/>
              </w:rPr>
            </w:pPr>
            <w:r>
              <w:rPr>
                <w:rtl/>
              </w:rPr>
              <w:t xml:space="preserve">סעיף 1 </w:t>
            </w:r>
          </w:p>
        </w:tc>
        <w:tc>
          <w:tcPr>
            <w:tcW w:w="5669" w:type="dxa"/>
          </w:tcPr>
          <w:p w:rsidR="00C2052D" w:rsidRPr="00C2052D" w:rsidRDefault="00C2052D" w:rsidP="00C2052D">
            <w:pPr>
              <w:rPr>
                <w:rFonts w:cs="Frankruhel" w:hint="cs"/>
                <w:rtl/>
              </w:rPr>
            </w:pPr>
            <w:r>
              <w:rPr>
                <w:rtl/>
              </w:rPr>
              <w:t>הגדרות</w:t>
            </w:r>
          </w:p>
        </w:tc>
        <w:tc>
          <w:tcPr>
            <w:tcW w:w="567" w:type="dxa"/>
          </w:tcPr>
          <w:p w:rsidR="00C2052D" w:rsidRPr="00C2052D" w:rsidRDefault="00C2052D" w:rsidP="00C2052D">
            <w:pPr>
              <w:rPr>
                <w:rStyle w:val="Hyperlink"/>
                <w:rFonts w:hint="cs"/>
                <w:rtl/>
              </w:rPr>
            </w:pPr>
            <w:hyperlink w:anchor="Seif1" w:tooltip="הגדרות" w:history="1">
              <w:r w:rsidRPr="00C2052D">
                <w:rPr>
                  <w:rStyle w:val="Hyperlink"/>
                </w:rPr>
                <w:t>Go</w:t>
              </w:r>
            </w:hyperlink>
          </w:p>
        </w:tc>
        <w:tc>
          <w:tcPr>
            <w:tcW w:w="850" w:type="dxa"/>
          </w:tcPr>
          <w:p w:rsidR="00C2052D" w:rsidRPr="00C2052D" w:rsidRDefault="00C2052D" w:rsidP="00C2052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2052D" w:rsidRPr="00C2052D" w:rsidTr="00C2052D">
        <w:tblPrEx>
          <w:tblCellMar>
            <w:top w:w="0" w:type="dxa"/>
            <w:bottom w:w="0" w:type="dxa"/>
          </w:tblCellMar>
        </w:tblPrEx>
        <w:tc>
          <w:tcPr>
            <w:tcW w:w="1247" w:type="dxa"/>
          </w:tcPr>
          <w:p w:rsidR="00C2052D" w:rsidRPr="00C2052D" w:rsidRDefault="00C2052D" w:rsidP="00C2052D">
            <w:pPr>
              <w:rPr>
                <w:rFonts w:cs="Frankruhel" w:hint="cs"/>
                <w:rtl/>
              </w:rPr>
            </w:pPr>
            <w:r>
              <w:rPr>
                <w:rtl/>
              </w:rPr>
              <w:t xml:space="preserve">סעיף 2 </w:t>
            </w:r>
          </w:p>
        </w:tc>
        <w:tc>
          <w:tcPr>
            <w:tcW w:w="5669" w:type="dxa"/>
          </w:tcPr>
          <w:p w:rsidR="00C2052D" w:rsidRPr="00C2052D" w:rsidRDefault="00C2052D" w:rsidP="00C2052D">
            <w:pPr>
              <w:rPr>
                <w:rFonts w:cs="Frankruhel" w:hint="cs"/>
                <w:rtl/>
              </w:rPr>
            </w:pPr>
            <w:r>
              <w:rPr>
                <w:rtl/>
              </w:rPr>
              <w:t>סימול שער אגרה</w:t>
            </w:r>
          </w:p>
        </w:tc>
        <w:tc>
          <w:tcPr>
            <w:tcW w:w="567" w:type="dxa"/>
          </w:tcPr>
          <w:p w:rsidR="00C2052D" w:rsidRPr="00C2052D" w:rsidRDefault="00C2052D" w:rsidP="00C2052D">
            <w:pPr>
              <w:rPr>
                <w:rStyle w:val="Hyperlink"/>
                <w:rFonts w:hint="cs"/>
                <w:rtl/>
              </w:rPr>
            </w:pPr>
            <w:hyperlink w:anchor="Seif2" w:tooltip="סימול שער אגרה" w:history="1">
              <w:r w:rsidRPr="00C2052D">
                <w:rPr>
                  <w:rStyle w:val="Hyperlink"/>
                </w:rPr>
                <w:t>Go</w:t>
              </w:r>
            </w:hyperlink>
          </w:p>
        </w:tc>
        <w:tc>
          <w:tcPr>
            <w:tcW w:w="850" w:type="dxa"/>
          </w:tcPr>
          <w:p w:rsidR="00C2052D" w:rsidRPr="00C2052D" w:rsidRDefault="00C2052D" w:rsidP="00C2052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2052D" w:rsidRPr="00C2052D" w:rsidTr="00C2052D">
        <w:tblPrEx>
          <w:tblCellMar>
            <w:top w:w="0" w:type="dxa"/>
            <w:bottom w:w="0" w:type="dxa"/>
          </w:tblCellMar>
        </w:tblPrEx>
        <w:tc>
          <w:tcPr>
            <w:tcW w:w="1247" w:type="dxa"/>
          </w:tcPr>
          <w:p w:rsidR="00C2052D" w:rsidRPr="00C2052D" w:rsidRDefault="00C2052D" w:rsidP="00C2052D">
            <w:pPr>
              <w:rPr>
                <w:rFonts w:cs="Frankruhel" w:hint="cs"/>
                <w:rtl/>
              </w:rPr>
            </w:pPr>
            <w:r>
              <w:rPr>
                <w:rtl/>
              </w:rPr>
              <w:t xml:space="preserve">סעיף 3 </w:t>
            </w:r>
          </w:p>
        </w:tc>
        <w:tc>
          <w:tcPr>
            <w:tcW w:w="5669" w:type="dxa"/>
          </w:tcPr>
          <w:p w:rsidR="00C2052D" w:rsidRPr="00C2052D" w:rsidRDefault="00C2052D" w:rsidP="00C2052D">
            <w:pPr>
              <w:rPr>
                <w:rFonts w:cs="Frankruhel" w:hint="cs"/>
                <w:rtl/>
              </w:rPr>
            </w:pPr>
            <w:r>
              <w:rPr>
                <w:rtl/>
              </w:rPr>
              <w:t>בדיקת תקינות</w:t>
            </w:r>
          </w:p>
        </w:tc>
        <w:tc>
          <w:tcPr>
            <w:tcW w:w="567" w:type="dxa"/>
          </w:tcPr>
          <w:p w:rsidR="00C2052D" w:rsidRPr="00C2052D" w:rsidRDefault="00C2052D" w:rsidP="00C2052D">
            <w:pPr>
              <w:rPr>
                <w:rStyle w:val="Hyperlink"/>
                <w:rFonts w:hint="cs"/>
                <w:rtl/>
              </w:rPr>
            </w:pPr>
            <w:hyperlink w:anchor="Seif3" w:tooltip="בדיקת תקינות" w:history="1">
              <w:r w:rsidRPr="00C2052D">
                <w:rPr>
                  <w:rStyle w:val="Hyperlink"/>
                </w:rPr>
                <w:t>Go</w:t>
              </w:r>
            </w:hyperlink>
          </w:p>
        </w:tc>
        <w:tc>
          <w:tcPr>
            <w:tcW w:w="850" w:type="dxa"/>
          </w:tcPr>
          <w:p w:rsidR="00C2052D" w:rsidRPr="00C2052D" w:rsidRDefault="00C2052D" w:rsidP="00C2052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2052D" w:rsidRPr="00C2052D" w:rsidTr="00C2052D">
        <w:tblPrEx>
          <w:tblCellMar>
            <w:top w:w="0" w:type="dxa"/>
            <w:bottom w:w="0" w:type="dxa"/>
          </w:tblCellMar>
        </w:tblPrEx>
        <w:tc>
          <w:tcPr>
            <w:tcW w:w="1247" w:type="dxa"/>
          </w:tcPr>
          <w:p w:rsidR="00C2052D" w:rsidRPr="00C2052D" w:rsidRDefault="00C2052D" w:rsidP="00C2052D">
            <w:pPr>
              <w:rPr>
                <w:rFonts w:cs="Frankruhel" w:hint="cs"/>
                <w:rtl/>
              </w:rPr>
            </w:pPr>
            <w:r>
              <w:rPr>
                <w:rtl/>
              </w:rPr>
              <w:t xml:space="preserve">סעיף 4 </w:t>
            </w:r>
          </w:p>
        </w:tc>
        <w:tc>
          <w:tcPr>
            <w:tcW w:w="5669" w:type="dxa"/>
          </w:tcPr>
          <w:p w:rsidR="00C2052D" w:rsidRPr="00C2052D" w:rsidRDefault="00C2052D" w:rsidP="00C2052D">
            <w:pPr>
              <w:rPr>
                <w:rFonts w:cs="Frankruhel" w:hint="cs"/>
                <w:rtl/>
              </w:rPr>
            </w:pPr>
            <w:r>
              <w:rPr>
                <w:rtl/>
              </w:rPr>
              <w:t>שמירת קובץ רישום</w:t>
            </w:r>
          </w:p>
        </w:tc>
        <w:tc>
          <w:tcPr>
            <w:tcW w:w="567" w:type="dxa"/>
          </w:tcPr>
          <w:p w:rsidR="00C2052D" w:rsidRPr="00C2052D" w:rsidRDefault="00C2052D" w:rsidP="00C2052D">
            <w:pPr>
              <w:rPr>
                <w:rStyle w:val="Hyperlink"/>
                <w:rFonts w:hint="cs"/>
                <w:rtl/>
              </w:rPr>
            </w:pPr>
            <w:hyperlink w:anchor="Seif4" w:tooltip="שמירת קובץ רישום" w:history="1">
              <w:r w:rsidRPr="00C2052D">
                <w:rPr>
                  <w:rStyle w:val="Hyperlink"/>
                </w:rPr>
                <w:t>Go</w:t>
              </w:r>
            </w:hyperlink>
          </w:p>
        </w:tc>
        <w:tc>
          <w:tcPr>
            <w:tcW w:w="850" w:type="dxa"/>
          </w:tcPr>
          <w:p w:rsidR="00C2052D" w:rsidRPr="00C2052D" w:rsidRDefault="00C2052D" w:rsidP="00C2052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2052D" w:rsidRPr="00C2052D" w:rsidTr="00C2052D">
        <w:tblPrEx>
          <w:tblCellMar>
            <w:top w:w="0" w:type="dxa"/>
            <w:bottom w:w="0" w:type="dxa"/>
          </w:tblCellMar>
        </w:tblPrEx>
        <w:tc>
          <w:tcPr>
            <w:tcW w:w="1247" w:type="dxa"/>
          </w:tcPr>
          <w:p w:rsidR="00C2052D" w:rsidRPr="00C2052D" w:rsidRDefault="00C2052D" w:rsidP="00C2052D">
            <w:pPr>
              <w:rPr>
                <w:rFonts w:cs="Frankruhel" w:hint="cs"/>
                <w:rtl/>
              </w:rPr>
            </w:pPr>
            <w:r>
              <w:rPr>
                <w:rtl/>
              </w:rPr>
              <w:t xml:space="preserve">סעיף 5 </w:t>
            </w:r>
          </w:p>
        </w:tc>
        <w:tc>
          <w:tcPr>
            <w:tcW w:w="5669" w:type="dxa"/>
          </w:tcPr>
          <w:p w:rsidR="00C2052D" w:rsidRPr="00C2052D" w:rsidRDefault="00C2052D" w:rsidP="00C2052D">
            <w:pPr>
              <w:rPr>
                <w:rFonts w:cs="Frankruhel" w:hint="cs"/>
                <w:rtl/>
              </w:rPr>
            </w:pPr>
            <w:r>
              <w:rPr>
                <w:rtl/>
              </w:rPr>
              <w:t>פעולה של מפעיל</w:t>
            </w:r>
          </w:p>
        </w:tc>
        <w:tc>
          <w:tcPr>
            <w:tcW w:w="567" w:type="dxa"/>
          </w:tcPr>
          <w:p w:rsidR="00C2052D" w:rsidRPr="00C2052D" w:rsidRDefault="00C2052D" w:rsidP="00C2052D">
            <w:pPr>
              <w:rPr>
                <w:rStyle w:val="Hyperlink"/>
                <w:rFonts w:hint="cs"/>
                <w:rtl/>
              </w:rPr>
            </w:pPr>
            <w:hyperlink w:anchor="Seif5" w:tooltip="פעולה של מפעיל" w:history="1">
              <w:r w:rsidRPr="00C2052D">
                <w:rPr>
                  <w:rStyle w:val="Hyperlink"/>
                </w:rPr>
                <w:t>Go</w:t>
              </w:r>
            </w:hyperlink>
          </w:p>
        </w:tc>
        <w:tc>
          <w:tcPr>
            <w:tcW w:w="850" w:type="dxa"/>
          </w:tcPr>
          <w:p w:rsidR="00C2052D" w:rsidRPr="00C2052D" w:rsidRDefault="00C2052D" w:rsidP="00C2052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C2052D" w:rsidRPr="00C2052D" w:rsidTr="00C2052D">
        <w:tblPrEx>
          <w:tblCellMar>
            <w:top w:w="0" w:type="dxa"/>
            <w:bottom w:w="0" w:type="dxa"/>
          </w:tblCellMar>
        </w:tblPrEx>
        <w:tc>
          <w:tcPr>
            <w:tcW w:w="1247" w:type="dxa"/>
          </w:tcPr>
          <w:p w:rsidR="00C2052D" w:rsidRPr="00C2052D" w:rsidRDefault="00C2052D" w:rsidP="00C2052D">
            <w:pPr>
              <w:rPr>
                <w:rFonts w:cs="Frankruhel" w:hint="cs"/>
                <w:rtl/>
              </w:rPr>
            </w:pPr>
            <w:r>
              <w:rPr>
                <w:rtl/>
              </w:rPr>
              <w:t xml:space="preserve">סעיף 6 </w:t>
            </w:r>
          </w:p>
        </w:tc>
        <w:tc>
          <w:tcPr>
            <w:tcW w:w="5669" w:type="dxa"/>
          </w:tcPr>
          <w:p w:rsidR="00C2052D" w:rsidRPr="00C2052D" w:rsidRDefault="00C2052D" w:rsidP="00C2052D">
            <w:pPr>
              <w:rPr>
                <w:rFonts w:cs="Frankruhel" w:hint="cs"/>
                <w:rtl/>
              </w:rPr>
            </w:pPr>
            <w:r>
              <w:rPr>
                <w:rtl/>
              </w:rPr>
              <w:t>הגשת צילום</w:t>
            </w:r>
          </w:p>
        </w:tc>
        <w:tc>
          <w:tcPr>
            <w:tcW w:w="567" w:type="dxa"/>
          </w:tcPr>
          <w:p w:rsidR="00C2052D" w:rsidRPr="00C2052D" w:rsidRDefault="00C2052D" w:rsidP="00C2052D">
            <w:pPr>
              <w:rPr>
                <w:rStyle w:val="Hyperlink"/>
                <w:rFonts w:hint="cs"/>
                <w:rtl/>
              </w:rPr>
            </w:pPr>
            <w:hyperlink w:anchor="Seif6" w:tooltip="הגשת צילום" w:history="1">
              <w:r w:rsidRPr="00C2052D">
                <w:rPr>
                  <w:rStyle w:val="Hyperlink"/>
                </w:rPr>
                <w:t>Go</w:t>
              </w:r>
            </w:hyperlink>
          </w:p>
        </w:tc>
        <w:tc>
          <w:tcPr>
            <w:tcW w:w="850" w:type="dxa"/>
          </w:tcPr>
          <w:p w:rsidR="00C2052D" w:rsidRPr="00C2052D" w:rsidRDefault="00C2052D" w:rsidP="00C2052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C2052D" w:rsidRPr="00C2052D" w:rsidTr="00C2052D">
        <w:tblPrEx>
          <w:tblCellMar>
            <w:top w:w="0" w:type="dxa"/>
            <w:bottom w:w="0" w:type="dxa"/>
          </w:tblCellMar>
        </w:tblPrEx>
        <w:tc>
          <w:tcPr>
            <w:tcW w:w="1247" w:type="dxa"/>
          </w:tcPr>
          <w:p w:rsidR="00C2052D" w:rsidRPr="00C2052D" w:rsidRDefault="00C2052D" w:rsidP="00C2052D">
            <w:pPr>
              <w:rPr>
                <w:rFonts w:cs="Frankruhel" w:hint="cs"/>
                <w:rtl/>
              </w:rPr>
            </w:pPr>
            <w:r>
              <w:rPr>
                <w:rtl/>
              </w:rPr>
              <w:t xml:space="preserve">סעיף 7 </w:t>
            </w:r>
          </w:p>
        </w:tc>
        <w:tc>
          <w:tcPr>
            <w:tcW w:w="5669" w:type="dxa"/>
          </w:tcPr>
          <w:p w:rsidR="00C2052D" w:rsidRPr="00C2052D" w:rsidRDefault="00C2052D" w:rsidP="00C2052D">
            <w:pPr>
              <w:rPr>
                <w:rFonts w:cs="Frankruhel" w:hint="cs"/>
                <w:rtl/>
              </w:rPr>
            </w:pPr>
            <w:r>
              <w:rPr>
                <w:rtl/>
              </w:rPr>
              <w:t>הגשת ראיות לענין אי תשלום אגרה</w:t>
            </w:r>
          </w:p>
        </w:tc>
        <w:tc>
          <w:tcPr>
            <w:tcW w:w="567" w:type="dxa"/>
          </w:tcPr>
          <w:p w:rsidR="00C2052D" w:rsidRPr="00C2052D" w:rsidRDefault="00C2052D" w:rsidP="00C2052D">
            <w:pPr>
              <w:rPr>
                <w:rStyle w:val="Hyperlink"/>
                <w:rFonts w:hint="cs"/>
                <w:rtl/>
              </w:rPr>
            </w:pPr>
            <w:hyperlink w:anchor="Seif7" w:tooltip="הגשת ראיות לענין אי תשלום אגרה" w:history="1">
              <w:r w:rsidRPr="00C2052D">
                <w:rPr>
                  <w:rStyle w:val="Hyperlink"/>
                </w:rPr>
                <w:t>Go</w:t>
              </w:r>
            </w:hyperlink>
          </w:p>
        </w:tc>
        <w:tc>
          <w:tcPr>
            <w:tcW w:w="850" w:type="dxa"/>
          </w:tcPr>
          <w:p w:rsidR="00C2052D" w:rsidRPr="00C2052D" w:rsidRDefault="00C2052D" w:rsidP="00C2052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C2052D" w:rsidRPr="00C2052D" w:rsidTr="00C2052D">
        <w:tblPrEx>
          <w:tblCellMar>
            <w:top w:w="0" w:type="dxa"/>
            <w:bottom w:w="0" w:type="dxa"/>
          </w:tblCellMar>
        </w:tblPrEx>
        <w:tc>
          <w:tcPr>
            <w:tcW w:w="1247" w:type="dxa"/>
          </w:tcPr>
          <w:p w:rsidR="00C2052D" w:rsidRPr="00C2052D" w:rsidRDefault="00C2052D" w:rsidP="00C2052D">
            <w:pPr>
              <w:rPr>
                <w:rFonts w:cs="Frankruhel" w:hint="cs"/>
                <w:rtl/>
              </w:rPr>
            </w:pPr>
            <w:r>
              <w:rPr>
                <w:rtl/>
              </w:rPr>
              <w:t xml:space="preserve">סעיף 8 </w:t>
            </w:r>
          </w:p>
        </w:tc>
        <w:tc>
          <w:tcPr>
            <w:tcW w:w="5669" w:type="dxa"/>
          </w:tcPr>
          <w:p w:rsidR="00C2052D" w:rsidRPr="00C2052D" w:rsidRDefault="00C2052D" w:rsidP="00C2052D">
            <w:pPr>
              <w:rPr>
                <w:rFonts w:cs="Frankruhel" w:hint="cs"/>
                <w:rtl/>
              </w:rPr>
            </w:pPr>
            <w:r>
              <w:rPr>
                <w:rtl/>
              </w:rPr>
              <w:t>הגשת מסמך לענין תג חיוב</w:t>
            </w:r>
          </w:p>
        </w:tc>
        <w:tc>
          <w:tcPr>
            <w:tcW w:w="567" w:type="dxa"/>
          </w:tcPr>
          <w:p w:rsidR="00C2052D" w:rsidRPr="00C2052D" w:rsidRDefault="00C2052D" w:rsidP="00C2052D">
            <w:pPr>
              <w:rPr>
                <w:rStyle w:val="Hyperlink"/>
                <w:rFonts w:hint="cs"/>
                <w:rtl/>
              </w:rPr>
            </w:pPr>
            <w:hyperlink w:anchor="Seif8" w:tooltip="הגשת מסמך לענין תג חיוב" w:history="1">
              <w:r w:rsidRPr="00C2052D">
                <w:rPr>
                  <w:rStyle w:val="Hyperlink"/>
                </w:rPr>
                <w:t>Go</w:t>
              </w:r>
            </w:hyperlink>
          </w:p>
        </w:tc>
        <w:tc>
          <w:tcPr>
            <w:tcW w:w="850" w:type="dxa"/>
          </w:tcPr>
          <w:p w:rsidR="00C2052D" w:rsidRPr="00C2052D" w:rsidRDefault="00C2052D" w:rsidP="00C2052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C2052D" w:rsidRPr="00C2052D" w:rsidTr="00C2052D">
        <w:tblPrEx>
          <w:tblCellMar>
            <w:top w:w="0" w:type="dxa"/>
            <w:bottom w:w="0" w:type="dxa"/>
          </w:tblCellMar>
        </w:tblPrEx>
        <w:tc>
          <w:tcPr>
            <w:tcW w:w="1247" w:type="dxa"/>
          </w:tcPr>
          <w:p w:rsidR="00C2052D" w:rsidRPr="00C2052D" w:rsidRDefault="00C2052D" w:rsidP="00C2052D">
            <w:pPr>
              <w:rPr>
                <w:rFonts w:cs="Frankruhel" w:hint="cs"/>
                <w:rtl/>
              </w:rPr>
            </w:pPr>
            <w:r>
              <w:rPr>
                <w:rtl/>
              </w:rPr>
              <w:t xml:space="preserve">סעיף 9 </w:t>
            </w:r>
          </w:p>
        </w:tc>
        <w:tc>
          <w:tcPr>
            <w:tcW w:w="5669" w:type="dxa"/>
          </w:tcPr>
          <w:p w:rsidR="00C2052D" w:rsidRPr="00C2052D" w:rsidRDefault="00C2052D" w:rsidP="00C2052D">
            <w:pPr>
              <w:rPr>
                <w:rFonts w:cs="Frankruhel" w:hint="cs"/>
                <w:rtl/>
              </w:rPr>
            </w:pPr>
            <w:r>
              <w:rPr>
                <w:rtl/>
              </w:rPr>
              <w:t>שמירת דינים</w:t>
            </w:r>
          </w:p>
        </w:tc>
        <w:tc>
          <w:tcPr>
            <w:tcW w:w="567" w:type="dxa"/>
          </w:tcPr>
          <w:p w:rsidR="00C2052D" w:rsidRPr="00C2052D" w:rsidRDefault="00C2052D" w:rsidP="00C2052D">
            <w:pPr>
              <w:rPr>
                <w:rStyle w:val="Hyperlink"/>
                <w:rFonts w:hint="cs"/>
                <w:rtl/>
              </w:rPr>
            </w:pPr>
            <w:hyperlink w:anchor="Seif9" w:tooltip="שמירת דינים" w:history="1">
              <w:r w:rsidRPr="00C2052D">
                <w:rPr>
                  <w:rStyle w:val="Hyperlink"/>
                </w:rPr>
                <w:t>Go</w:t>
              </w:r>
            </w:hyperlink>
          </w:p>
        </w:tc>
        <w:tc>
          <w:tcPr>
            <w:tcW w:w="850" w:type="dxa"/>
          </w:tcPr>
          <w:p w:rsidR="00C2052D" w:rsidRPr="00C2052D" w:rsidRDefault="00C2052D" w:rsidP="00C2052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rsidR="00AA4032" w:rsidRDefault="00AA4032">
      <w:pPr>
        <w:pStyle w:val="big-header"/>
        <w:ind w:left="0" w:right="1134"/>
        <w:rPr>
          <w:rFonts w:cs="FrankRuehl" w:hint="cs"/>
          <w:sz w:val="32"/>
          <w:rtl/>
        </w:rPr>
      </w:pPr>
    </w:p>
    <w:p w:rsidR="00AA4032" w:rsidRDefault="00AA4032" w:rsidP="00AA4032">
      <w:pPr>
        <w:pStyle w:val="big-header"/>
        <w:ind w:left="0" w:right="1134"/>
        <w:rPr>
          <w:rFonts w:cs="FrankRuehl" w:hint="cs"/>
          <w:sz w:val="32"/>
          <w:rtl/>
        </w:rPr>
      </w:pPr>
      <w:r>
        <w:rPr>
          <w:rFonts w:cs="FrankRuehl"/>
          <w:sz w:val="32"/>
          <w:rtl/>
        </w:rPr>
        <w:br w:type="page"/>
      </w:r>
      <w:r>
        <w:rPr>
          <w:rFonts w:cs="FrankRuehl" w:hint="cs"/>
          <w:sz w:val="32"/>
          <w:rtl/>
        </w:rPr>
        <w:lastRenderedPageBreak/>
        <w:t>תקנות כביש אגרה (כביש ארצי לישראל) (כללים בדבר פיקוח ובקרה, הגשת צילומים, ראיות ומסמכים נוספים), תשס"ד-2003</w:t>
      </w:r>
      <w:r>
        <w:rPr>
          <w:rStyle w:val="default"/>
          <w:sz w:val="22"/>
          <w:szCs w:val="22"/>
          <w:rtl/>
        </w:rPr>
        <w:footnoteReference w:customMarkFollows="1" w:id="1"/>
        <w:t>*</w:t>
      </w:r>
    </w:p>
    <w:p w:rsidR="009E5542" w:rsidRDefault="009E5542">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w:t>
      </w:r>
      <w:r>
        <w:rPr>
          <w:rStyle w:val="default"/>
          <w:rFonts w:cs="FrankRuehl" w:hint="cs"/>
          <w:rtl/>
        </w:rPr>
        <w:t xml:space="preserve">סעיף 12א לחוק כביש אגרה (כביש ארצי לישראל), התשנ"ה-1995 (להלן </w:t>
      </w:r>
      <w:r>
        <w:rPr>
          <w:rStyle w:val="default"/>
          <w:rFonts w:cs="FrankRuehl"/>
          <w:rtl/>
        </w:rPr>
        <w:t>–</w:t>
      </w:r>
      <w:r>
        <w:rPr>
          <w:rStyle w:val="default"/>
          <w:rFonts w:cs="FrankRuehl" w:hint="cs"/>
          <w:rtl/>
        </w:rPr>
        <w:t xml:space="preserve"> החוק)</w:t>
      </w:r>
      <w:r>
        <w:rPr>
          <w:rStyle w:val="default"/>
          <w:rFonts w:cs="FrankRuehl"/>
          <w:rtl/>
        </w:rPr>
        <w:t>,</w:t>
      </w:r>
      <w:r>
        <w:rPr>
          <w:rStyle w:val="default"/>
          <w:rFonts w:cs="FrankRuehl" w:hint="cs"/>
          <w:rtl/>
        </w:rPr>
        <w:t xml:space="preserve"> </w:t>
      </w:r>
      <w:r>
        <w:rPr>
          <w:rStyle w:val="default"/>
          <w:rFonts w:cs="FrankRuehl"/>
          <w:rtl/>
        </w:rPr>
        <w:t xml:space="preserve">אני </w:t>
      </w:r>
      <w:r>
        <w:rPr>
          <w:rStyle w:val="default"/>
          <w:rFonts w:cs="FrankRuehl" w:hint="cs"/>
          <w:rtl/>
        </w:rPr>
        <w:t>מתקין תקנות אלה</w:t>
      </w:r>
      <w:r>
        <w:rPr>
          <w:rStyle w:val="default"/>
          <w:rFonts w:cs="FrankRuehl"/>
          <w:rtl/>
        </w:rPr>
        <w:t>:</w:t>
      </w:r>
    </w:p>
    <w:p w:rsidR="009E5542" w:rsidRDefault="009E5542">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9.5pt;z-index:251653632" o:allowincell="f" filled="f" stroked="f" strokecolor="lime" strokeweight=".25pt">
            <v:textbox inset="0,0,0,0">
              <w:txbxContent>
                <w:p w:rsidR="009E5542" w:rsidRDefault="009E554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9E5542" w:rsidRDefault="009E5542">
      <w:pPr>
        <w:pStyle w:val="P00"/>
        <w:spacing w:before="72"/>
        <w:ind w:left="0" w:right="1134"/>
        <w:rPr>
          <w:rStyle w:val="default"/>
          <w:rFonts w:cs="FrankRuehl" w:hint="cs"/>
          <w:rtl/>
        </w:rPr>
      </w:pPr>
      <w:r>
        <w:rPr>
          <w:rStyle w:val="default"/>
          <w:rFonts w:cs="FrankRuehl" w:hint="cs"/>
          <w:rtl/>
        </w:rPr>
        <w:tab/>
        <w:t xml:space="preserve">"ארכיון" </w:t>
      </w:r>
      <w:r>
        <w:rPr>
          <w:rStyle w:val="default"/>
          <w:rFonts w:cs="FrankRuehl"/>
          <w:rtl/>
        </w:rPr>
        <w:t>–</w:t>
      </w:r>
      <w:r>
        <w:rPr>
          <w:rStyle w:val="default"/>
          <w:rFonts w:cs="FrankRuehl" w:hint="cs"/>
          <w:rtl/>
        </w:rPr>
        <w:t xml:space="preserve"> מקום לאחסון צילומים או קובצי רישום, בין במערכת ובין מחוצה לה;</w:t>
      </w:r>
    </w:p>
    <w:p w:rsidR="009E5542" w:rsidRDefault="009E5542">
      <w:pPr>
        <w:pStyle w:val="P00"/>
        <w:spacing w:before="72"/>
        <w:ind w:left="0" w:right="1134"/>
        <w:rPr>
          <w:rStyle w:val="default"/>
          <w:rFonts w:cs="FrankRuehl" w:hint="cs"/>
          <w:rtl/>
        </w:rPr>
      </w:pPr>
      <w:r>
        <w:rPr>
          <w:rStyle w:val="default"/>
          <w:rFonts w:cs="FrankRuehl" w:hint="cs"/>
          <w:rtl/>
        </w:rPr>
        <w:tab/>
        <w:t xml:space="preserve">"המערכת" </w:t>
      </w:r>
      <w:r>
        <w:rPr>
          <w:rStyle w:val="default"/>
          <w:rFonts w:cs="FrankRuehl"/>
          <w:rtl/>
        </w:rPr>
        <w:t>–</w:t>
      </w:r>
      <w:r>
        <w:rPr>
          <w:rStyle w:val="default"/>
          <w:rFonts w:cs="FrankRuehl" w:hint="cs"/>
          <w:rtl/>
        </w:rPr>
        <w:t xml:space="preserve"> אמצעי לקליטת נתונים הקשורים לנסיעות בכביש אגרה ואגירתם בקובצי רישום, לרבות מערכת גביית האגרה כמשמעותה בסעיף 4(7) לחוק;</w:t>
      </w:r>
    </w:p>
    <w:p w:rsidR="009E5542" w:rsidRDefault="009E5542">
      <w:pPr>
        <w:pStyle w:val="P00"/>
        <w:spacing w:before="72"/>
        <w:ind w:left="0" w:right="1134"/>
        <w:rPr>
          <w:rStyle w:val="default"/>
          <w:rFonts w:cs="FrankRuehl" w:hint="cs"/>
          <w:rtl/>
        </w:rPr>
      </w:pPr>
      <w:r>
        <w:rPr>
          <w:rStyle w:val="default"/>
          <w:rFonts w:cs="FrankRuehl" w:hint="cs"/>
          <w:rtl/>
        </w:rPr>
        <w:tab/>
        <w:t xml:space="preserve">"זמן" </w:t>
      </w:r>
      <w:r>
        <w:rPr>
          <w:rStyle w:val="default"/>
          <w:rFonts w:cs="FrankRuehl"/>
          <w:rtl/>
        </w:rPr>
        <w:t>–</w:t>
      </w:r>
      <w:r>
        <w:rPr>
          <w:rStyle w:val="default"/>
          <w:rFonts w:cs="FrankRuehl" w:hint="cs"/>
          <w:rtl/>
        </w:rPr>
        <w:t xml:space="preserve"> תאריך ושעה;</w:t>
      </w:r>
    </w:p>
    <w:p w:rsidR="009E5542" w:rsidRDefault="009E5542">
      <w:pPr>
        <w:pStyle w:val="P00"/>
        <w:spacing w:before="72"/>
        <w:ind w:left="0" w:right="1134"/>
        <w:rPr>
          <w:rStyle w:val="default"/>
          <w:rFonts w:cs="FrankRuehl" w:hint="cs"/>
          <w:rtl/>
        </w:rPr>
      </w:pPr>
      <w:r>
        <w:rPr>
          <w:rStyle w:val="default"/>
          <w:rFonts w:cs="FrankRuehl" w:hint="cs"/>
          <w:rtl/>
        </w:rPr>
        <w:tab/>
        <w:t xml:space="preserve">"מפעיל" </w:t>
      </w:r>
      <w:r>
        <w:rPr>
          <w:rStyle w:val="default"/>
          <w:rFonts w:cs="FrankRuehl"/>
          <w:rtl/>
        </w:rPr>
        <w:t>–</w:t>
      </w:r>
      <w:r>
        <w:rPr>
          <w:rStyle w:val="default"/>
          <w:rFonts w:cs="FrankRuehl" w:hint="cs"/>
          <w:rtl/>
        </w:rPr>
        <w:t xml:space="preserve"> מי שהמדינה מינתה או הסמיכה להפעיל את המערכת בכביש האגרה, או בעל הזיכיון, לפי הענין;</w:t>
      </w:r>
    </w:p>
    <w:p w:rsidR="009E5542" w:rsidRDefault="009E5542">
      <w:pPr>
        <w:pStyle w:val="P00"/>
        <w:spacing w:before="72"/>
        <w:ind w:left="0" w:right="1134"/>
        <w:rPr>
          <w:rStyle w:val="default"/>
          <w:rFonts w:cs="FrankRuehl" w:hint="cs"/>
          <w:rtl/>
        </w:rPr>
      </w:pPr>
      <w:r>
        <w:rPr>
          <w:rStyle w:val="default"/>
          <w:rFonts w:cs="FrankRuehl" w:hint="cs"/>
          <w:rtl/>
        </w:rPr>
        <w:tab/>
        <w:t xml:space="preserve">"נתון" </w:t>
      </w:r>
      <w:r>
        <w:rPr>
          <w:rStyle w:val="default"/>
          <w:rFonts w:cs="FrankRuehl"/>
          <w:rtl/>
        </w:rPr>
        <w:t>–</w:t>
      </w:r>
      <w:r>
        <w:rPr>
          <w:rStyle w:val="default"/>
          <w:rFonts w:cs="FrankRuehl" w:hint="cs"/>
          <w:rtl/>
        </w:rPr>
        <w:t xml:space="preserve"> לרבות כל אחד מאלה, לגבי כלי רכב שצולם:</w:t>
      </w:r>
    </w:p>
    <w:p w:rsidR="009E5542" w:rsidRDefault="009E55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הרישום וצילומו;</w:t>
      </w:r>
    </w:p>
    <w:p w:rsidR="009E5542" w:rsidRDefault="009E55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סימול שער האגרה שבו בוצע הצילום;</w:t>
      </w:r>
    </w:p>
    <w:p w:rsidR="009E5542" w:rsidRDefault="009E554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זמן הצילום;</w:t>
      </w:r>
    </w:p>
    <w:p w:rsidR="009E5542" w:rsidRDefault="009E5542">
      <w:pPr>
        <w:pStyle w:val="P00"/>
        <w:spacing w:before="72"/>
        <w:ind w:left="0" w:right="1134"/>
        <w:rPr>
          <w:rStyle w:val="default"/>
          <w:rFonts w:cs="FrankRuehl" w:hint="cs"/>
          <w:rtl/>
        </w:rPr>
      </w:pPr>
      <w:r>
        <w:rPr>
          <w:rStyle w:val="default"/>
          <w:rFonts w:cs="FrankRuehl" w:hint="cs"/>
          <w:rtl/>
        </w:rPr>
        <w:tab/>
        <w:t xml:space="preserve">"קובץ רישום" </w:t>
      </w:r>
      <w:r>
        <w:rPr>
          <w:rStyle w:val="default"/>
          <w:rFonts w:cs="FrankRuehl"/>
          <w:rtl/>
        </w:rPr>
        <w:t>–</w:t>
      </w:r>
      <w:r>
        <w:rPr>
          <w:rStyle w:val="default"/>
          <w:rFonts w:cs="FrankRuehl" w:hint="cs"/>
          <w:rtl/>
        </w:rPr>
        <w:t xml:space="preserve"> אמצעי לאגירת מידע ובכלל זה הנתונים במערכת, לרבות קלטות, דיסקטים, תקליטורים, פלט מחשב, מסמך וכל אמצעי אחר לאגירת מידע ונתונים הנקלט או המופק מן המערכת;</w:t>
      </w:r>
    </w:p>
    <w:p w:rsidR="009E5542" w:rsidRDefault="009E5542">
      <w:pPr>
        <w:pStyle w:val="P00"/>
        <w:spacing w:before="72"/>
        <w:ind w:left="0" w:right="1134"/>
        <w:rPr>
          <w:rStyle w:val="default"/>
          <w:rFonts w:cs="FrankRuehl" w:hint="cs"/>
          <w:rtl/>
        </w:rPr>
      </w:pPr>
      <w:r>
        <w:rPr>
          <w:rStyle w:val="default"/>
          <w:rFonts w:cs="FrankRuehl" w:hint="cs"/>
          <w:rtl/>
        </w:rPr>
        <w:tab/>
        <w:t xml:space="preserve">"שער אגרה" </w:t>
      </w:r>
      <w:r>
        <w:rPr>
          <w:rStyle w:val="default"/>
          <w:rFonts w:cs="FrankRuehl"/>
          <w:rtl/>
        </w:rPr>
        <w:t>–</w:t>
      </w:r>
      <w:r>
        <w:rPr>
          <w:rStyle w:val="default"/>
          <w:rFonts w:cs="FrankRuehl" w:hint="cs"/>
          <w:rtl/>
        </w:rPr>
        <w:t xml:space="preserve"> מקום שהותקן בו החלק של המערכת שבו מתבצע צילום כלי רכב או זיהוי תג החיוב, לפי הענין;</w:t>
      </w:r>
    </w:p>
    <w:p w:rsidR="009E5542" w:rsidRDefault="009E5542">
      <w:pPr>
        <w:pStyle w:val="P00"/>
        <w:spacing w:before="72"/>
        <w:ind w:left="0" w:right="1134"/>
        <w:rPr>
          <w:rStyle w:val="default"/>
          <w:rFonts w:cs="FrankRuehl" w:hint="cs"/>
          <w:rtl/>
        </w:rPr>
      </w:pPr>
      <w:r>
        <w:rPr>
          <w:rStyle w:val="default"/>
          <w:rFonts w:cs="FrankRuehl" w:hint="cs"/>
          <w:rtl/>
        </w:rPr>
        <w:tab/>
        <w:t xml:space="preserve">"תצהיר" </w:t>
      </w:r>
      <w:r>
        <w:rPr>
          <w:rStyle w:val="default"/>
          <w:rFonts w:cs="FrankRuehl"/>
          <w:rtl/>
        </w:rPr>
        <w:t>–</w:t>
      </w:r>
      <w:r>
        <w:rPr>
          <w:rStyle w:val="default"/>
          <w:rFonts w:cs="FrankRuehl" w:hint="cs"/>
          <w:rtl/>
        </w:rPr>
        <w:t xml:space="preserve"> כמשמעותו בסעיף 15 לפקודת הראיות [נוסח חדש], התשל"א-1971.</w:t>
      </w:r>
    </w:p>
    <w:p w:rsidR="009E5542" w:rsidRDefault="009E5542">
      <w:pPr>
        <w:pStyle w:val="P00"/>
        <w:spacing w:before="72"/>
        <w:ind w:left="0" w:right="1134"/>
        <w:rPr>
          <w:rStyle w:val="default"/>
          <w:rFonts w:cs="FrankRuehl" w:hint="cs"/>
          <w:rtl/>
        </w:rPr>
      </w:pPr>
      <w:bookmarkStart w:id="1" w:name="Seif2"/>
      <w:bookmarkEnd w:id="1"/>
      <w:r>
        <w:rPr>
          <w:rFonts w:cs="Miriam"/>
          <w:lang w:val="he-IL"/>
        </w:rPr>
        <w:pict>
          <v:rect id="_x0000_s1027" style="position:absolute;left:0;text-align:left;margin-left:464.5pt;margin-top:8.05pt;width:75.05pt;height:13.1pt;z-index:251654656" o:allowincell="f" filled="f" stroked="f" strokecolor="lime" strokeweight=".25pt">
            <v:textbox style="mso-next-textbox:#_x0000_s1027" inset="0,0,0,0">
              <w:txbxContent>
                <w:p w:rsidR="009E5542" w:rsidRDefault="009E5542">
                  <w:pPr>
                    <w:pStyle w:val="a7"/>
                    <w:rPr>
                      <w:rFonts w:hint="cs"/>
                      <w:noProof/>
                      <w:rtl/>
                    </w:rPr>
                  </w:pPr>
                  <w:r>
                    <w:rPr>
                      <w:rFonts w:hint="cs"/>
                      <w:rtl/>
                    </w:rPr>
                    <w:t>סימול שער אגרה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בכביש האגרה יותקנו שערי אגרה.</w:t>
      </w:r>
    </w:p>
    <w:p w:rsidR="009E5542" w:rsidRDefault="009E55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המפעיל ייתן סימול ייחודי לכל שער אגרה שיותקן בכביש האגרה.</w:t>
      </w:r>
    </w:p>
    <w:p w:rsidR="009E5542" w:rsidRDefault="009E5542">
      <w:pPr>
        <w:pStyle w:val="P00"/>
        <w:spacing w:before="72"/>
        <w:ind w:left="0" w:right="1134"/>
        <w:rPr>
          <w:rStyle w:val="default"/>
          <w:rFonts w:cs="FrankRuehl" w:hint="cs"/>
          <w:rtl/>
        </w:rPr>
      </w:pPr>
      <w:bookmarkStart w:id="2" w:name="Seif3"/>
      <w:bookmarkEnd w:id="2"/>
      <w:r>
        <w:rPr>
          <w:rFonts w:cs="Miriam"/>
          <w:lang w:val="he-IL"/>
        </w:rPr>
        <w:pict>
          <v:rect id="_x0000_s1028" style="position:absolute;left:0;text-align:left;margin-left:464.5pt;margin-top:8.05pt;width:75.05pt;height:13.1pt;z-index:251655680" o:allowincell="f" filled="f" stroked="f" strokecolor="lime" strokeweight=".25pt">
            <v:textbox style="mso-next-textbox:#_x0000_s1028" inset="0,0,0,0">
              <w:txbxContent>
                <w:p w:rsidR="009E5542" w:rsidRDefault="009E5542">
                  <w:pPr>
                    <w:pStyle w:val="a7"/>
                    <w:rPr>
                      <w:rFonts w:hint="cs"/>
                      <w:noProof/>
                      <w:rtl/>
                    </w:rPr>
                  </w:pPr>
                  <w:r>
                    <w:rPr>
                      <w:rFonts w:hint="cs"/>
                      <w:rtl/>
                    </w:rPr>
                    <w:t>בדיקת תקינות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במערכת המופעלת בכביש האגרה תפעל בדיקת תקינות עצמית, שתתריע על תקלה בפעולת השעון המרכזי של המערכת או ברישום סימול שער האגרה על גבי קובץ הרישום המתאים.</w:t>
      </w:r>
    </w:p>
    <w:p w:rsidR="009E5542" w:rsidRDefault="009E5542">
      <w:pPr>
        <w:pStyle w:val="P00"/>
        <w:spacing w:before="72"/>
        <w:ind w:left="0" w:right="1134"/>
        <w:rPr>
          <w:rStyle w:val="default"/>
          <w:rFonts w:cs="FrankRuehl" w:hint="cs"/>
          <w:rtl/>
        </w:rPr>
      </w:pPr>
      <w:bookmarkStart w:id="3" w:name="Seif4"/>
      <w:bookmarkEnd w:id="3"/>
      <w:r>
        <w:rPr>
          <w:rFonts w:cs="Miriam"/>
          <w:lang w:val="he-IL"/>
        </w:rPr>
        <w:pict>
          <v:rect id="_x0000_s1029" style="position:absolute;left:0;text-align:left;margin-left:464.5pt;margin-top:8.05pt;width:75.05pt;height:13.1pt;z-index:251656704" o:allowincell="f" filled="f" stroked="f" strokecolor="lime" strokeweight=".25pt">
            <v:textbox style="mso-next-textbox:#_x0000_s1029" inset="0,0,0,0">
              <w:txbxContent>
                <w:p w:rsidR="009E5542" w:rsidRDefault="009E5542">
                  <w:pPr>
                    <w:pStyle w:val="a7"/>
                    <w:rPr>
                      <w:rFonts w:hint="cs"/>
                      <w:noProof/>
                      <w:rtl/>
                    </w:rPr>
                  </w:pPr>
                  <w:r>
                    <w:rPr>
                      <w:rFonts w:hint="cs"/>
                      <w:rtl/>
                    </w:rPr>
                    <w:t>שמירת קובץ רישום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קובץ רישום יישמר בארכיון.</w:t>
      </w:r>
    </w:p>
    <w:p w:rsidR="009E5542" w:rsidRDefault="009E55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המערכת תכלול אמצעים לאבטחת המידע שבארכיון ולמניעת שינויים בהם, לרבות אחסונם בקובץ קריאה בלבד וקודי הרשאות גישה למערכת.</w:t>
      </w:r>
    </w:p>
    <w:p w:rsidR="009E5542" w:rsidRDefault="009E5542">
      <w:pPr>
        <w:pStyle w:val="P00"/>
        <w:spacing w:before="72"/>
        <w:ind w:left="0" w:right="1134"/>
        <w:rPr>
          <w:rStyle w:val="default"/>
          <w:rFonts w:cs="FrankRuehl" w:hint="cs"/>
          <w:rtl/>
        </w:rPr>
      </w:pPr>
      <w:bookmarkStart w:id="4" w:name="Seif5"/>
      <w:bookmarkEnd w:id="4"/>
      <w:r>
        <w:rPr>
          <w:rFonts w:cs="Miriam"/>
          <w:lang w:val="he-IL"/>
        </w:rPr>
        <w:pict>
          <v:rect id="_x0000_s1030" style="position:absolute;left:0;text-align:left;margin-left:464.5pt;margin-top:8.05pt;width:75.05pt;height:13.1pt;z-index:251657728" o:allowincell="f" filled="f" stroked="f" strokecolor="lime" strokeweight=".25pt">
            <v:textbox style="mso-next-textbox:#_x0000_s1030" inset="0,0,0,0">
              <w:txbxContent>
                <w:p w:rsidR="009E5542" w:rsidRDefault="009E5542">
                  <w:pPr>
                    <w:pStyle w:val="a7"/>
                    <w:rPr>
                      <w:rFonts w:hint="cs"/>
                      <w:noProof/>
                      <w:rtl/>
                    </w:rPr>
                  </w:pPr>
                  <w:r>
                    <w:rPr>
                      <w:rFonts w:hint="cs"/>
                      <w:rtl/>
                    </w:rPr>
                    <w:t>פעולה של מפעיל</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אלה הפעולות שייעשו בידי המפעיל, או מי שהוא הסמיך לענין זה:</w:t>
      </w:r>
    </w:p>
    <w:p w:rsidR="009E5542" w:rsidRDefault="009E55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הפקת קובץ רישום;</w:t>
      </w:r>
    </w:p>
    <w:p w:rsidR="009E5542" w:rsidRDefault="009E55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קריאת התרעה על תקלה במערכת כאמור בתקנה 3 ומועדה;</w:t>
      </w:r>
    </w:p>
    <w:p w:rsidR="009E5542" w:rsidRDefault="009E554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תיקון תקלה כאמור ומועדו.</w:t>
      </w:r>
    </w:p>
    <w:p w:rsidR="009E5542" w:rsidRDefault="009E55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שעשה פעולה מהפעולות המפורטות בתקנת משנה (א), יאשר בכתב את ביצועה ואת מועד הביצוע; לענין זה, "אישור בכתב" </w:t>
      </w:r>
      <w:r>
        <w:rPr>
          <w:rStyle w:val="default"/>
          <w:rFonts w:cs="FrankRuehl"/>
          <w:rtl/>
        </w:rPr>
        <w:t>–</w:t>
      </w:r>
      <w:r>
        <w:rPr>
          <w:rStyle w:val="default"/>
          <w:rFonts w:cs="FrankRuehl" w:hint="cs"/>
          <w:rtl/>
        </w:rPr>
        <w:t xml:space="preserve"> לרבות רישום במערכת.</w:t>
      </w:r>
    </w:p>
    <w:p w:rsidR="009E5542" w:rsidRDefault="009E5542">
      <w:pPr>
        <w:pStyle w:val="P00"/>
        <w:spacing w:before="72"/>
        <w:ind w:left="0" w:right="1134"/>
        <w:rPr>
          <w:rStyle w:val="default"/>
          <w:rFonts w:cs="FrankRuehl" w:hint="cs"/>
          <w:rtl/>
        </w:rPr>
      </w:pPr>
      <w:bookmarkStart w:id="5" w:name="Seif6"/>
      <w:bookmarkEnd w:id="5"/>
      <w:r>
        <w:rPr>
          <w:rFonts w:cs="Miriam"/>
          <w:lang w:val="he-IL"/>
        </w:rPr>
        <w:pict>
          <v:rect id="_x0000_s1031" style="position:absolute;left:0;text-align:left;margin-left:464.5pt;margin-top:8.05pt;width:75.05pt;height:13.1pt;z-index:251658752" o:allowincell="f" filled="f" stroked="f" strokecolor="lime" strokeweight=".25pt">
            <v:textbox style="mso-next-textbox:#_x0000_s1031" inset="0,0,0,0">
              <w:txbxContent>
                <w:p w:rsidR="009E5542" w:rsidRDefault="009E5542">
                  <w:pPr>
                    <w:pStyle w:val="a7"/>
                    <w:rPr>
                      <w:rFonts w:hint="cs"/>
                      <w:noProof/>
                      <w:rtl/>
                    </w:rPr>
                  </w:pPr>
                  <w:r>
                    <w:rPr>
                      <w:rFonts w:hint="cs"/>
                      <w:rtl/>
                    </w:rPr>
                    <w:t>הגשת צילום</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צילום לפי סעיף 12א(ב) לחוק יוגש בהליך משפטי או בהליך לפי החוק, בהתייחס לנסיעת כלי רכב בכביש האגרה, בקובץ רישום בצירוף תצהיר.</w:t>
      </w:r>
    </w:p>
    <w:p w:rsidR="009E5542" w:rsidRDefault="009E55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קובץ רישום כאמור בתקנת משנה (א) בהתייחס לכלי רכב שצולם, יכלול פרטים אלה:</w:t>
      </w:r>
    </w:p>
    <w:p w:rsidR="009E5542" w:rsidRDefault="009E5542">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צילום מספר הרישום של כלי הרכב;</w:t>
      </w:r>
    </w:p>
    <w:p w:rsidR="009E5542" w:rsidRDefault="009E55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סימול שער האגרה שבו צולם;</w:t>
      </w:r>
    </w:p>
    <w:p w:rsidR="009E5542" w:rsidRDefault="009E554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זמן הצילום.</w:t>
      </w:r>
    </w:p>
    <w:p w:rsidR="009E5542" w:rsidRDefault="009E55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הופק קובץ רישום שחסר בו אחד מהנתונים המפורטים בתקנת משנה (ב)(2) ו-(3), כתוצאה מתקלה טכנית בפעולת המערכת, ניתן להגישו לפי סעיף 12א לחוק, ואולם הצילום המוגש באמצעותו יהיה ראיה קבילה רק לענין הנתונים המפורטים בקובץ הרישום.</w:t>
      </w:r>
    </w:p>
    <w:p w:rsidR="009E5542" w:rsidRDefault="009E554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בתצהיר כאמור בתקנת משנה (א) יאשר המפעיל או מי שביצע מטעמו פעולה כאמור בתקנה 5, לענין קובץ הרישום:</w:t>
      </w:r>
    </w:p>
    <w:p w:rsidR="009E5542" w:rsidRDefault="009E55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כי לא נתקבלה התרעה על תקלה במערכת ברישום סימול שער האגרה, לגבי צילומים שבוצעו באותו שער אגרה ובאותו הזמן;</w:t>
      </w:r>
    </w:p>
    <w:p w:rsidR="009E5542" w:rsidRDefault="009E55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מיקום שער האגרה שלגביו נרשם סימול שער האגרה;</w:t>
      </w:r>
    </w:p>
    <w:p w:rsidR="009E5542" w:rsidRDefault="009E554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כי לגבי זמן הצילום לא נתקבלה התרעה על תקלה בפעולת השעון המרכזי של המערכת;</w:t>
      </w:r>
    </w:p>
    <w:p w:rsidR="009E5542" w:rsidRDefault="009E554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כי הפקת הצילום נעשתה מתוך המערכת.</w:t>
      </w:r>
    </w:p>
    <w:p w:rsidR="009E5542" w:rsidRDefault="009E554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בהוראות תקנות משנה (א) ו-(ד) כדי לגרוע מהאפשרות, במקום תצהיר, להביא לעדות את מי שעשה פעולה כאמור בתקנה 5.</w:t>
      </w:r>
    </w:p>
    <w:p w:rsidR="009E5542" w:rsidRDefault="009E554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בנסיעה שבה עבר כלי רכב בשער אגרה אחד, יוגש קובץ הרישום כאמור התייחס לאותו שער אגרה, ובנסיעה שבה עבר כלי הרכב במספר שערי אגרה, יוגשו קובצי הרישום כאמור בהתייחס לשערי האגרה הראשון והאחרון שבהם עבר כלי הרכב.</w:t>
      </w:r>
    </w:p>
    <w:p w:rsidR="009E5542" w:rsidRDefault="009E5542">
      <w:pPr>
        <w:pStyle w:val="P00"/>
        <w:spacing w:before="72"/>
        <w:ind w:left="0" w:right="1134"/>
        <w:rPr>
          <w:rStyle w:val="default"/>
          <w:rFonts w:cs="FrankRuehl" w:hint="cs"/>
          <w:rtl/>
        </w:rPr>
      </w:pPr>
      <w:bookmarkStart w:id="6" w:name="Seif7"/>
      <w:bookmarkEnd w:id="6"/>
      <w:r>
        <w:rPr>
          <w:rFonts w:cs="Miriam"/>
          <w:lang w:val="he-IL"/>
        </w:rPr>
        <w:pict>
          <v:rect id="_x0000_s1032" style="position:absolute;left:0;text-align:left;margin-left:464.5pt;margin-top:8.05pt;width:75.05pt;height:22pt;z-index:251659776" o:allowincell="f" filled="f" stroked="f" strokecolor="lime" strokeweight=".25pt">
            <v:textbox style="mso-next-textbox:#_x0000_s1032" inset="0,0,0,0">
              <w:txbxContent>
                <w:p w:rsidR="009E5542" w:rsidRDefault="009E5542">
                  <w:pPr>
                    <w:pStyle w:val="a7"/>
                    <w:rPr>
                      <w:rFonts w:hint="cs"/>
                      <w:noProof/>
                      <w:rtl/>
                    </w:rPr>
                  </w:pPr>
                  <w:r>
                    <w:rPr>
                      <w:rFonts w:hint="cs"/>
                      <w:rtl/>
                    </w:rPr>
                    <w:t>הגשת ראיות לענין אי-תשלום אגרה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לענין אי-תשלום אגרה בעת המעבר בכביש האגרה יוגשו בהליך משפטי ובהליך לפי החוק </w:t>
      </w:r>
      <w:r>
        <w:rPr>
          <w:rStyle w:val="default"/>
          <w:rFonts w:cs="FrankRuehl"/>
          <w:rtl/>
        </w:rPr>
        <w:t>–</w:t>
      </w:r>
    </w:p>
    <w:p w:rsidR="009E5542" w:rsidRDefault="009E554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צילומים באופן האמור בתקנה 6;</w:t>
      </w:r>
    </w:p>
    <w:p w:rsidR="009E5542" w:rsidRDefault="009E554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אישור המפעיל בתצהיר כי לא שולמה אגרה בשל אותה נסיעה.</w:t>
      </w:r>
    </w:p>
    <w:p w:rsidR="009E5542" w:rsidRDefault="009E5542">
      <w:pPr>
        <w:pStyle w:val="P00"/>
        <w:spacing w:before="72"/>
        <w:ind w:left="0" w:right="1134"/>
        <w:rPr>
          <w:rStyle w:val="default"/>
          <w:rFonts w:cs="FrankRuehl" w:hint="cs"/>
          <w:rtl/>
        </w:rPr>
      </w:pPr>
      <w:bookmarkStart w:id="7" w:name="Seif8"/>
      <w:bookmarkEnd w:id="7"/>
      <w:r>
        <w:rPr>
          <w:rFonts w:cs="Miriam"/>
          <w:lang w:val="he-IL"/>
        </w:rPr>
        <w:pict>
          <v:rect id="_x0000_s1033" style="position:absolute;left:0;text-align:left;margin-left:464.5pt;margin-top:8.05pt;width:75.05pt;height:23.35pt;z-index:251660800" o:allowincell="f" filled="f" stroked="f" strokecolor="lime" strokeweight=".25pt">
            <v:textbox style="mso-next-textbox:#_x0000_s1033" inset="0,0,0,0">
              <w:txbxContent>
                <w:p w:rsidR="009E5542" w:rsidRDefault="009E5542">
                  <w:pPr>
                    <w:pStyle w:val="a7"/>
                    <w:rPr>
                      <w:rFonts w:hint="cs"/>
                      <w:noProof/>
                      <w:rtl/>
                    </w:rPr>
                  </w:pPr>
                  <w:r>
                    <w:rPr>
                      <w:rFonts w:hint="cs"/>
                      <w:rtl/>
                    </w:rPr>
                    <w:t>הגשת מסמך לענין תג-חיוב</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קובץ רישום שיופק מן המערכת בהתייחס לכלי רכב אשר זוהה באמצעות תג חיוב אשר יוגש כראיה לפי החוק לענין חוב בשל אי-תשלום אגרה, יכלול פרטים אלה:</w:t>
      </w:r>
    </w:p>
    <w:p w:rsidR="009E5542" w:rsidRDefault="009E55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הרישום של כלי הרכב וסימול תג החיוב;</w:t>
      </w:r>
    </w:p>
    <w:p w:rsidR="009E5542" w:rsidRDefault="009E55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סימול שער האגרה שבו בוצע זיהוי תג החיוב;</w:t>
      </w:r>
    </w:p>
    <w:p w:rsidR="009E5542" w:rsidRDefault="009E554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זמן זיהוי תג החיוב.</w:t>
      </w:r>
    </w:p>
    <w:p w:rsidR="009E5542" w:rsidRDefault="009E55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קובץ רישום כאמור בתקנת משנה (א) יוגש בהתאם לאמור בתקנה 6, בשינויים המחויבים, ואולם התצהיר המפורט בתקנה 6(ד) יכלול גם הצהרה, כי לא היתה תקלה במערכת בהתייחס לזיהוי תג החיוב.</w:t>
      </w:r>
    </w:p>
    <w:p w:rsidR="009E5542" w:rsidRDefault="009E5542">
      <w:pPr>
        <w:pStyle w:val="P00"/>
        <w:spacing w:before="72"/>
        <w:ind w:left="0" w:right="1134"/>
        <w:rPr>
          <w:rStyle w:val="default"/>
          <w:rFonts w:cs="FrankRuehl" w:hint="cs"/>
          <w:rtl/>
        </w:rPr>
      </w:pPr>
      <w:bookmarkStart w:id="8" w:name="Seif9"/>
      <w:bookmarkEnd w:id="8"/>
      <w:r>
        <w:rPr>
          <w:rFonts w:cs="Miriam"/>
          <w:lang w:val="he-IL"/>
        </w:rPr>
        <w:pict>
          <v:rect id="_x0000_s1034" style="position:absolute;left:0;text-align:left;margin-left:464.5pt;margin-top:8.05pt;width:75.05pt;height:13.1pt;z-index:251661824" o:allowincell="f" filled="f" stroked="f" strokecolor="lime" strokeweight=".25pt">
            <v:textbox style="mso-next-textbox:#_x0000_s1034" inset="0,0,0,0">
              <w:txbxContent>
                <w:p w:rsidR="009E5542" w:rsidRDefault="009E5542">
                  <w:pPr>
                    <w:pStyle w:val="a7"/>
                    <w:rPr>
                      <w:rFonts w:hint="cs"/>
                      <w:noProof/>
                      <w:rtl/>
                    </w:rPr>
                  </w:pPr>
                  <w:r>
                    <w:rPr>
                      <w:rFonts w:hint="cs"/>
                      <w:rtl/>
                    </w:rPr>
                    <w:t>שמירת דינים</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אין בתקנות אלה כדי למנוע את הגשת הראיות בדרך אחרת, לפי הוראות כל דין, לרבות ההלכה הפסוקה.</w:t>
      </w:r>
    </w:p>
    <w:p w:rsidR="009E5542" w:rsidRDefault="009E5542">
      <w:pPr>
        <w:pStyle w:val="P00"/>
        <w:spacing w:before="72"/>
        <w:ind w:left="0" w:right="1134"/>
        <w:rPr>
          <w:rStyle w:val="default"/>
          <w:rFonts w:cs="FrankRuehl" w:hint="cs"/>
          <w:rtl/>
        </w:rPr>
      </w:pPr>
    </w:p>
    <w:p w:rsidR="009E5542" w:rsidRDefault="009E5542">
      <w:pPr>
        <w:pStyle w:val="page"/>
        <w:widowControl/>
        <w:ind w:right="1134"/>
        <w:rPr>
          <w:rStyle w:val="default"/>
          <w:rFonts w:cs="FrankRuehl"/>
          <w:position w:val="0"/>
          <w:rtl/>
        </w:rPr>
      </w:pPr>
    </w:p>
    <w:p w:rsidR="009E5542" w:rsidRDefault="009E5542">
      <w:pPr>
        <w:pStyle w:val="sig-0"/>
        <w:ind w:left="0" w:right="1134"/>
        <w:rPr>
          <w:rFonts w:cs="FrankRuehl" w:hint="cs"/>
          <w:sz w:val="26"/>
          <w:rtl/>
        </w:rPr>
      </w:pPr>
      <w:r>
        <w:rPr>
          <w:rFonts w:cs="FrankRuehl" w:hint="cs"/>
          <w:sz w:val="26"/>
          <w:rtl/>
        </w:rPr>
        <w:t>י"ג בתשרי התשס"ד (9 באוקטובר 2003)</w:t>
      </w:r>
      <w:r>
        <w:rPr>
          <w:rFonts w:cs="FrankRuehl"/>
          <w:sz w:val="26"/>
          <w:rtl/>
        </w:rPr>
        <w:tab/>
      </w:r>
      <w:r>
        <w:rPr>
          <w:rFonts w:cs="FrankRuehl" w:hint="cs"/>
          <w:sz w:val="26"/>
          <w:rtl/>
        </w:rPr>
        <w:t>יוסף (טומי) לפיד</w:t>
      </w:r>
    </w:p>
    <w:p w:rsidR="009E5542" w:rsidRDefault="009E5542">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Pr>
          <w:rFonts w:cs="FrankRuehl" w:hint="cs"/>
          <w:sz w:val="22"/>
          <w:rtl/>
        </w:rPr>
        <w:t>שר המשפטים</w:t>
      </w:r>
    </w:p>
    <w:p w:rsidR="009E5542" w:rsidRDefault="009E5542">
      <w:pPr>
        <w:pStyle w:val="sig-1"/>
        <w:widowControl/>
        <w:ind w:left="0" w:right="1134"/>
        <w:rPr>
          <w:rFonts w:cs="FrankRuehl"/>
          <w:sz w:val="22"/>
          <w:rtl/>
        </w:rPr>
      </w:pPr>
    </w:p>
    <w:p w:rsidR="00C2052D" w:rsidRDefault="00C2052D">
      <w:pPr>
        <w:pStyle w:val="sig-1"/>
        <w:widowControl/>
        <w:ind w:left="0" w:right="1134"/>
        <w:rPr>
          <w:rFonts w:cs="FrankRuehl"/>
          <w:sz w:val="22"/>
          <w:rtl/>
        </w:rPr>
      </w:pPr>
    </w:p>
    <w:p w:rsidR="00C2052D" w:rsidRDefault="00C2052D">
      <w:pPr>
        <w:pStyle w:val="sig-1"/>
        <w:widowControl/>
        <w:ind w:left="0" w:right="1134"/>
        <w:rPr>
          <w:rFonts w:cs="FrankRuehl"/>
          <w:sz w:val="22"/>
          <w:rtl/>
        </w:rPr>
      </w:pPr>
    </w:p>
    <w:p w:rsidR="00C2052D" w:rsidRDefault="00C2052D" w:rsidP="00C2052D">
      <w:pPr>
        <w:pStyle w:val="sig-1"/>
        <w:widowControl/>
        <w:ind w:left="0" w:right="1134"/>
        <w:jc w:val="center"/>
        <w:rPr>
          <w:rFonts w:cs="David"/>
          <w:color w:val="0000FF"/>
          <w:sz w:val="22"/>
          <w:szCs w:val="24"/>
          <w:u w:val="single"/>
          <w:rtl/>
        </w:rPr>
      </w:pPr>
      <w:hyperlink r:id="rId7" w:history="1">
        <w:r>
          <w:rPr>
            <w:rFonts w:cs="David"/>
            <w:color w:val="0000FF"/>
            <w:sz w:val="22"/>
            <w:szCs w:val="24"/>
            <w:u w:val="single"/>
            <w:rtl/>
          </w:rPr>
          <w:t>הודעה למנויים על עריכה ושינויים במסמכי פסיקה, חקיקה ועוד באתר נבו - הקש כאן</w:t>
        </w:r>
      </w:hyperlink>
    </w:p>
    <w:p w:rsidR="009E5542" w:rsidRPr="00C2052D" w:rsidRDefault="009E5542" w:rsidP="00C2052D">
      <w:pPr>
        <w:pStyle w:val="sig-1"/>
        <w:widowControl/>
        <w:ind w:left="0" w:right="1134"/>
        <w:jc w:val="center"/>
        <w:rPr>
          <w:rFonts w:cs="David"/>
          <w:color w:val="0000FF"/>
          <w:sz w:val="22"/>
          <w:szCs w:val="24"/>
          <w:u w:val="single"/>
          <w:rtl/>
        </w:rPr>
      </w:pPr>
    </w:p>
    <w:sectPr w:rsidR="009E5542" w:rsidRPr="00C2052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07C6" w:rsidRDefault="001207C6">
      <w:r>
        <w:separator/>
      </w:r>
    </w:p>
  </w:endnote>
  <w:endnote w:type="continuationSeparator" w:id="0">
    <w:p w:rsidR="001207C6" w:rsidRDefault="0012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542" w:rsidRDefault="009E554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E5542" w:rsidRDefault="009E554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E5542" w:rsidRDefault="009E554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1095">
      <w:rPr>
        <w:rFonts w:cs="TopType Jerushalmi"/>
        <w:noProof/>
        <w:color w:val="000000"/>
        <w:sz w:val="14"/>
        <w:szCs w:val="14"/>
      </w:rPr>
      <w:t>http://www.nevo.co.il/law_word/law01/999_211.doc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542" w:rsidRDefault="009E554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052D">
      <w:rPr>
        <w:rFonts w:hAnsi="FrankRuehl" w:cs="FrankRuehl"/>
        <w:noProof/>
        <w:sz w:val="24"/>
        <w:szCs w:val="24"/>
        <w:rtl/>
      </w:rPr>
      <w:t>3</w:t>
    </w:r>
    <w:r>
      <w:rPr>
        <w:rFonts w:hAnsi="FrankRuehl" w:cs="FrankRuehl"/>
        <w:sz w:val="24"/>
        <w:szCs w:val="24"/>
        <w:rtl/>
      </w:rPr>
      <w:fldChar w:fldCharType="end"/>
    </w:r>
  </w:p>
  <w:p w:rsidR="009E5542" w:rsidRDefault="009E554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E5542" w:rsidRDefault="009E554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1095">
      <w:rPr>
        <w:rFonts w:cs="TopType Jerushalmi"/>
        <w:noProof/>
        <w:color w:val="000000"/>
        <w:sz w:val="14"/>
        <w:szCs w:val="14"/>
      </w:rPr>
      <w:t>http://www.nevo.co.il/law_word/law01/999_211.doc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07C6" w:rsidRDefault="001207C6">
      <w:r>
        <w:separator/>
      </w:r>
    </w:p>
  </w:footnote>
  <w:footnote w:type="continuationSeparator" w:id="0">
    <w:p w:rsidR="001207C6" w:rsidRDefault="001207C6">
      <w:r>
        <w:continuationSeparator/>
      </w:r>
    </w:p>
  </w:footnote>
  <w:footnote w:id="1">
    <w:p w:rsidR="00AA4032" w:rsidRDefault="00AA4032" w:rsidP="00AA403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AA4032">
          <w:rPr>
            <w:rStyle w:val="Hyperlink"/>
            <w:rFonts w:cs="FrankRuehl" w:hint="cs"/>
            <w:rtl/>
          </w:rPr>
          <w:t>ק"ת תשס"ד מס' 6270</w:t>
        </w:r>
      </w:hyperlink>
      <w:r>
        <w:rPr>
          <w:rFonts w:cs="FrankRuehl" w:hint="cs"/>
          <w:rtl/>
        </w:rPr>
        <w:t xml:space="preserve"> מיום 27.10.2003 עמ' 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542" w:rsidRDefault="009E554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E5542" w:rsidRDefault="009E554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E5542" w:rsidRDefault="009E554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542" w:rsidRDefault="009E5542" w:rsidP="006D324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כביש אגרה (כביש ארצי לישראל) (כללים בדבר פיקוח ובקרה, הגשת צילומים, ראיות ומסמ</w:t>
    </w:r>
    <w:r w:rsidR="006D324E">
      <w:rPr>
        <w:rFonts w:hAnsi="FrankRuehl" w:cs="FrankRuehl" w:hint="cs"/>
        <w:color w:val="000000"/>
        <w:sz w:val="28"/>
        <w:szCs w:val="28"/>
        <w:rtl/>
      </w:rPr>
      <w:t>כ</w:t>
    </w:r>
    <w:r>
      <w:rPr>
        <w:rFonts w:hAnsi="FrankRuehl" w:cs="FrankRuehl" w:hint="cs"/>
        <w:color w:val="000000"/>
        <w:sz w:val="28"/>
        <w:szCs w:val="28"/>
        <w:rtl/>
      </w:rPr>
      <w:t>ים נוספים), תשס"ד-2003</w:t>
    </w:r>
  </w:p>
  <w:p w:rsidR="009E5542" w:rsidRDefault="009E554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E5542" w:rsidRDefault="009E554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0346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4032"/>
    <w:rsid w:val="001207C6"/>
    <w:rsid w:val="006D324E"/>
    <w:rsid w:val="009E5542"/>
    <w:rsid w:val="00A20375"/>
    <w:rsid w:val="00AA4032"/>
    <w:rsid w:val="00AD49D4"/>
    <w:rsid w:val="00C2052D"/>
    <w:rsid w:val="00C721A7"/>
    <w:rsid w:val="00D85B8F"/>
    <w:rsid w:val="00FC10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485B18A2-0EE9-4DBF-960F-A6FA7A6E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sid w:val="00AA403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4929</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7864330</vt:i4>
      </vt:variant>
      <vt:variant>
        <vt:i4>0</vt:i4>
      </vt:variant>
      <vt:variant>
        <vt:i4>0</vt:i4>
      </vt:variant>
      <vt:variant>
        <vt:i4>5</vt:i4>
      </vt:variant>
      <vt:variant>
        <vt:lpwstr>http://www.nevo.co.il/Law_word/law06/TAK-6270.pdf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2011-10-27T06:44:00Z</cp:lastPrinted>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כביש אגרה (כביש ארצי לישראל) (כללים בדבר פיקוח ובקרה, הגשת צילומים, ראיות ומסמכים נוספים), תשס"ד-2003</vt:lpwstr>
  </property>
  <property fmtid="{D5CDD505-2E9C-101B-9397-08002B2CF9AE}" pid="4" name="LAWNUMBER">
    <vt:lpwstr>0211</vt:lpwstr>
  </property>
  <property fmtid="{D5CDD505-2E9C-101B-9397-08002B2CF9AE}" pid="5" name="TYPE">
    <vt:lpwstr>01</vt:lpwstr>
  </property>
  <property fmtid="{D5CDD505-2E9C-101B-9397-08002B2CF9AE}" pid="6" name="CHNAME">
    <vt:lpwstr>תשתיות</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דרכים</vt:lpwstr>
  </property>
  <property fmtid="{D5CDD505-2E9C-101B-9397-08002B2CF9AE}" pid="10" name="NOSE41">
    <vt:lpwstr>כביש אגרה</vt:lpwstr>
  </property>
  <property fmtid="{D5CDD505-2E9C-101B-9397-08002B2CF9AE}" pid="11" name="NOSE12">
    <vt:lpwstr>בתי משפט וסדרי דין</vt:lpwstr>
  </property>
  <property fmtid="{D5CDD505-2E9C-101B-9397-08002B2CF9AE}" pid="12" name="NOSE22">
    <vt:lpwstr>ראיות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כביש אגרה (כביש ארצי לישראל)</vt:lpwstr>
  </property>
  <property fmtid="{D5CDD505-2E9C-101B-9397-08002B2CF9AE}" pid="48" name="MEKOR_SAIF1">
    <vt:lpwstr>12אX</vt:lpwstr>
  </property>
</Properties>
</file>