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9AD3" w14:textId="77777777" w:rsidR="00715B8F" w:rsidRDefault="00715B8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כביש אגרה (כביש ארצי לישראל) (סכומי דמי הגביה), תשנ"ט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6BDE44A6" w14:textId="77777777" w:rsidR="00FB4415" w:rsidRPr="00FB4415" w:rsidRDefault="00FB4415" w:rsidP="00FB4415">
      <w:pPr>
        <w:spacing w:line="320" w:lineRule="auto"/>
        <w:jc w:val="left"/>
        <w:rPr>
          <w:rFonts w:cs="FrankRuehl"/>
          <w:szCs w:val="26"/>
          <w:rtl/>
        </w:rPr>
      </w:pPr>
    </w:p>
    <w:p w14:paraId="48FC96C1" w14:textId="77777777" w:rsidR="00FB4415" w:rsidRDefault="00FB4415" w:rsidP="00FB4415">
      <w:pPr>
        <w:spacing w:line="320" w:lineRule="auto"/>
        <w:jc w:val="left"/>
        <w:rPr>
          <w:rtl/>
        </w:rPr>
      </w:pPr>
    </w:p>
    <w:p w14:paraId="1D304D19" w14:textId="77777777" w:rsidR="00FB4415" w:rsidRDefault="00FB4415" w:rsidP="00FB4415">
      <w:pPr>
        <w:spacing w:line="320" w:lineRule="auto"/>
        <w:jc w:val="left"/>
        <w:rPr>
          <w:rFonts w:cs="FrankRuehl"/>
          <w:szCs w:val="26"/>
          <w:rtl/>
        </w:rPr>
      </w:pPr>
      <w:r w:rsidRPr="00FB4415">
        <w:rPr>
          <w:rFonts w:cs="Miriam"/>
          <w:szCs w:val="22"/>
          <w:rtl/>
        </w:rPr>
        <w:t>מסים</w:t>
      </w:r>
      <w:r w:rsidRPr="00FB4415">
        <w:rPr>
          <w:rFonts w:cs="FrankRuehl"/>
          <w:szCs w:val="26"/>
          <w:rtl/>
        </w:rPr>
        <w:t xml:space="preserve"> – אגרות – כביש אגרה</w:t>
      </w:r>
    </w:p>
    <w:p w14:paraId="610A6988" w14:textId="77777777" w:rsidR="00EF1F50" w:rsidRPr="00FB4415" w:rsidRDefault="00FB4415" w:rsidP="00FB4415">
      <w:pPr>
        <w:spacing w:line="320" w:lineRule="auto"/>
        <w:jc w:val="left"/>
        <w:rPr>
          <w:rFonts w:cs="Miriam"/>
          <w:szCs w:val="22"/>
          <w:rtl/>
        </w:rPr>
      </w:pPr>
      <w:r w:rsidRPr="00FB4415">
        <w:rPr>
          <w:rFonts w:cs="Miriam"/>
          <w:szCs w:val="22"/>
          <w:rtl/>
        </w:rPr>
        <w:t>רשויות ומשפט מנהלי</w:t>
      </w:r>
      <w:r w:rsidRPr="00FB4415">
        <w:rPr>
          <w:rFonts w:cs="FrankRuehl"/>
          <w:szCs w:val="26"/>
          <w:rtl/>
        </w:rPr>
        <w:t xml:space="preserve"> – תשתיות – דרכים – כביש אגרה</w:t>
      </w:r>
    </w:p>
    <w:p w14:paraId="677F821C" w14:textId="77777777" w:rsidR="00715B8F" w:rsidRDefault="00715B8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54D9" w:rsidRPr="00A254D9" w14:paraId="7756751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AF681B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3997EB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985F07A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677DEB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4D9" w:rsidRPr="00A254D9" w14:paraId="6C4D9B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D7C415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8A3EDB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סכומי דמי הגביה</w:t>
            </w:r>
          </w:p>
        </w:tc>
        <w:tc>
          <w:tcPr>
            <w:tcW w:w="567" w:type="dxa"/>
          </w:tcPr>
          <w:p w14:paraId="1C9A409C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כומי דמי הגביה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AD6D79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4D9" w:rsidRPr="00A254D9" w14:paraId="47D58E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5D7BC0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56174F4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עדכון דמי הגביה</w:t>
            </w:r>
          </w:p>
        </w:tc>
        <w:tc>
          <w:tcPr>
            <w:tcW w:w="567" w:type="dxa"/>
          </w:tcPr>
          <w:p w14:paraId="76D08662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דכון דמי הגביה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C06453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4D9" w:rsidRPr="00A254D9" w14:paraId="4BB364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C505D8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F7E160C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חייב בתשלום שמסר פרטים מזהים שגויים</w:t>
            </w:r>
          </w:p>
        </w:tc>
        <w:tc>
          <w:tcPr>
            <w:tcW w:w="567" w:type="dxa"/>
          </w:tcPr>
          <w:p w14:paraId="13209764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חייב בתשלום שמסר פרטים מזהים שגויים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5C8050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4D9" w:rsidRPr="00A254D9" w14:paraId="1F50E0B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27B5EC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A7B053C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C84BB38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0F26D0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4D9" w:rsidRPr="00A254D9" w14:paraId="52D255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CA9111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  <w:tc>
          <w:tcPr>
            <w:tcW w:w="5669" w:type="dxa"/>
          </w:tcPr>
          <w:p w14:paraId="022C3449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14:paraId="74DE98C7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סייג לתחולה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97F658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54D9" w:rsidRPr="00A254D9" w14:paraId="3B6E94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2DA12A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38CC7DC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7ADC2992" w14:textId="77777777" w:rsidR="00A254D9" w:rsidRPr="00A254D9" w:rsidRDefault="00A254D9" w:rsidP="00A254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וראת שעה" w:history="1">
              <w:r w:rsidRPr="00A254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33C08B" w14:textId="77777777" w:rsidR="00A254D9" w:rsidRPr="00A254D9" w:rsidRDefault="00A254D9" w:rsidP="00A254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C3469D0" w14:textId="77777777" w:rsidR="00715B8F" w:rsidRDefault="00715B8F">
      <w:pPr>
        <w:pStyle w:val="big-header"/>
        <w:ind w:left="0" w:right="1134"/>
        <w:rPr>
          <w:rFonts w:cs="FrankRuehl"/>
          <w:sz w:val="32"/>
          <w:rtl/>
        </w:rPr>
      </w:pPr>
    </w:p>
    <w:p w14:paraId="21CC052A" w14:textId="77777777" w:rsidR="00715B8F" w:rsidRDefault="00715B8F" w:rsidP="00EF1F5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כביש אגרה (כביש ארצי לישראל) (סכומי דמי הגביה), תשנ"ט-</w:t>
      </w:r>
      <w:r>
        <w:rPr>
          <w:rFonts w:cs="FrankRuehl"/>
          <w:sz w:val="32"/>
          <w:rtl/>
        </w:rPr>
        <w:t>1999</w:t>
      </w:r>
      <w:r w:rsidR="006A579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AEEE35E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12(ב)(1) ו-16 לחוק כביש אגרה (כביש ארצי לישראל), תשנ"ה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1995 (</w:t>
      </w:r>
      <w:r>
        <w:rPr>
          <w:rStyle w:val="default"/>
          <w:rFonts w:cs="FrankRuehl" w:hint="cs"/>
          <w:rtl/>
        </w:rPr>
        <w:t xml:space="preserve">להלן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בהסכמת שר האוצר ושר התחבורה ובאישור ועדת הכלכלה של הכנסת, אני מתקין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אלה:</w:t>
      </w:r>
    </w:p>
    <w:p w14:paraId="29954F16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BA86D85">
          <v:rect id="_x0000_s1026" style="position:absolute;left:0;text-align:left;margin-left:464.5pt;margin-top:8.05pt;width:75.05pt;height:12.85pt;z-index:251654656" o:allowincell="f" filled="f" stroked="f" strokecolor="lime" strokeweight=".25pt">
            <v:textbox inset="0,0,0,0">
              <w:txbxContent>
                <w:p w14:paraId="2F5BB6CA" w14:textId="77777777" w:rsidR="00715B8F" w:rsidRDefault="00715B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E86751">
        <w:rPr>
          <w:rStyle w:val="default"/>
          <w:rFonts w:cs="FrankRuehl"/>
          <w:rtl/>
        </w:rPr>
        <w:t>–</w:t>
      </w:r>
    </w:p>
    <w:p w14:paraId="6007D2D6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 הזיכיון"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3 לחוק, לרבות מי שמפעיל מטעמו את כביש האגרה;</w:t>
      </w:r>
    </w:p>
    <w:p w14:paraId="27303F66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חייב בתשלום"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6א לחוק, החייב בדמי גביה;</w:t>
      </w:r>
    </w:p>
    <w:p w14:paraId="00FCF5DD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ייב חד-פעמי"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חייב בתשלום שאינו חייב רשום, אשר מסר לבעל הזיכיון פרטים מזהים לצורך חיובו </w:t>
      </w:r>
      <w:r>
        <w:rPr>
          <w:rStyle w:val="default"/>
          <w:rFonts w:cs="FrankRuehl"/>
          <w:rtl/>
        </w:rPr>
        <w:t>בג</w:t>
      </w:r>
      <w:r>
        <w:rPr>
          <w:rStyle w:val="default"/>
          <w:rFonts w:cs="FrankRuehl" w:hint="cs"/>
          <w:rtl/>
        </w:rPr>
        <w:t>ין נסיעה מסוימת לפני מועד אותה נסיעה או בתוך 12 שעות לאחריה;</w:t>
      </w:r>
    </w:p>
    <w:p w14:paraId="0370CF8B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ייב רגיל"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חייב בתשלום שאינו חייב רשום ושאינו חייב חד-פעמי;</w:t>
      </w:r>
    </w:p>
    <w:p w14:paraId="19D6BA14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ייב רשום"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חייב בתשלום אשר לפני מועד משלוח החשבון בעבור נסיעת רכבו בכביש האגרה, התקשר בהסכם בכתב עם בעל הזיכיון שעל פיו רשאי 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הזיכיון לחייבו באמצעות כרטיס אשראי או הוראת קבע, או באמצעות פיקדון שהפקיד אצל בעל הזיכיון, ובלבד שהסכום בפיקדון מספיק לכיסוי החיוב;</w:t>
      </w:r>
    </w:p>
    <w:p w14:paraId="5DAD412D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רטים מזהים"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שם פרטי ושם משפחה, מספר זהות של בעל הרכב, סוג הרכב ומספרו, ומען בעל הרכב להמצאת חשבונות.</w:t>
      </w:r>
    </w:p>
    <w:p w14:paraId="5AAA46DA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77E8D71">
          <v:rect id="_x0000_s1027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0DD38FBA" w14:textId="77777777" w:rsidR="00715B8F" w:rsidRDefault="00715B8F" w:rsidP="006A57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ומי דמי</w:t>
                  </w:r>
                  <w:r w:rsidR="006A579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הג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ה שישלם חייב בתשלום יהיו הסכומים כמפורט להלן:</w:t>
      </w:r>
    </w:p>
    <w:p w14:paraId="516CEDA4" w14:textId="77777777" w:rsidR="00715B8F" w:rsidRDefault="00715B8F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>
        <w:rPr>
          <w:rFonts w:cs="FrankRuehl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בש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14:paraId="5AE57B40" w14:textId="77777777" w:rsidR="00715B8F" w:rsidRDefault="00715B8F">
      <w:pPr>
        <w:pStyle w:val="P22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ייב רגיל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4</w:t>
      </w:r>
    </w:p>
    <w:p w14:paraId="30B63BD0" w14:textId="77777777" w:rsidR="00715B8F" w:rsidRDefault="00715B8F">
      <w:pPr>
        <w:pStyle w:val="P22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ייב חד-פעמי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</w:t>
      </w:r>
    </w:p>
    <w:p w14:paraId="5A21742D" w14:textId="77777777" w:rsidR="00715B8F" w:rsidRDefault="00715B8F">
      <w:pPr>
        <w:pStyle w:val="P22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ייב רשום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</w:t>
      </w:r>
    </w:p>
    <w:p w14:paraId="5072C57A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סכומי דמי הגביה המפורטים בתקנת מ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ה (א) ייווסף מס ערך מוסף, לפי חוק מס ערך מוסף, תשל"ו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1975. </w:t>
      </w:r>
    </w:p>
    <w:p w14:paraId="5E0EBF12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1D04E0EC"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3EAAA53C" w14:textId="77777777" w:rsidR="00715B8F" w:rsidRDefault="00715B8F" w:rsidP="006A57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כון דמי</w:t>
                  </w:r>
                  <w:r w:rsidR="006A579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כומי דמי הגביה ישתנו ב-1 באפריל וב-1 באוקטובר של כל שנה (להלן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העדכון), לפי שיעור השינוי של המדד החדש לעומת המדד היסודי.</w:t>
      </w:r>
    </w:p>
    <w:p w14:paraId="76C50900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E86751">
        <w:rPr>
          <w:rStyle w:val="default"/>
          <w:rFonts w:cs="FrankRuehl"/>
          <w:rtl/>
        </w:rPr>
        <w:t>–</w:t>
      </w:r>
    </w:p>
    <w:p w14:paraId="7FF741AD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כזית לסטטיסטיקה;</w:t>
      </w:r>
    </w:p>
    <w:p w14:paraId="4B9F93A4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העדכון;</w:t>
      </w:r>
    </w:p>
    <w:p w14:paraId="43EFD5EA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העדכון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קודם.</w:t>
      </w:r>
    </w:p>
    <w:p w14:paraId="62EE5BF4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5F359267">
          <v:rect id="_x0000_s1029" style="position:absolute;left:0;text-align:left;margin-left:464.5pt;margin-top:8.05pt;width:75.05pt;height:19.55pt;z-index:251657728" o:allowincell="f" filled="f" stroked="f" strokecolor="lime" strokeweight=".25pt">
            <v:textbox inset="0,0,0,0">
              <w:txbxContent>
                <w:p w14:paraId="796C36A9" w14:textId="77777777" w:rsidR="00715B8F" w:rsidRDefault="00715B8F" w:rsidP="006A57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 בתשלום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סר פרטים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הים שגויים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יב בתשלום שמסר פרטים מזהים לצורך חיובו כחייב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ד-פעמי, ונתברר כי פרט מהפרטים שמסר אינו נכון, שלם או מדויק 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יראו אותו כ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יב רגיל.</w:t>
      </w:r>
    </w:p>
    <w:p w14:paraId="6D4A99B2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253E5D00">
          <v:rect id="_x0000_s1030" style="position:absolute;left:0;text-align:left;margin-left:464.5pt;margin-top:8.05pt;width:75.05pt;height:12.65pt;z-index:251658752" o:allowincell="f" filled="f" stroked="f" strokecolor="lime" strokeweight=".25pt">
            <v:textbox inset="0,0,0,0">
              <w:txbxContent>
                <w:p w14:paraId="2CC0461F" w14:textId="77777777" w:rsidR="00715B8F" w:rsidRDefault="00715B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14:paraId="61F73DBE" w14:textId="77777777" w:rsidR="00732A39" w:rsidRDefault="00732A39" w:rsidP="00732A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7"/>
      <w:bookmarkEnd w:id="5"/>
      <w:r>
        <w:rPr>
          <w:lang w:val="he-IL"/>
        </w:rPr>
        <w:pict w14:anchorId="64828BD6">
          <v:rect id="_x0000_s1032" style="position:absolute;left:0;text-align:left;margin-left:464.5pt;margin-top:8.05pt;width:75.05pt;height:17pt;z-index:251660800" o:allowincell="f" filled="f" stroked="f" strokecolor="lime" strokeweight=".25pt">
            <v:textbox inset="0,0,0,0">
              <w:txbxContent>
                <w:p w14:paraId="3F785E87" w14:textId="77777777" w:rsidR="00732A39" w:rsidRDefault="00732A39" w:rsidP="00732A3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  <w:p w14:paraId="07CF3A83" w14:textId="77777777" w:rsidR="00732A39" w:rsidRDefault="00732A39" w:rsidP="00732A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 w:hint="cs"/>
          <w:rtl/>
        </w:rPr>
        <w:t>א</w:t>
      </w:r>
      <w:r w:rsidRPr="00732A39">
        <w:rPr>
          <w:rStyle w:val="default"/>
          <w:rFonts w:cs="FrankRuehl"/>
          <w:rtl/>
        </w:rPr>
        <w:t>.</w:t>
      </w:r>
      <w:r w:rsidRPr="00732A3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לא יחולו על כביש אגרה יקנעם סומך כהגדרתו בתקנות כביש אגרה (כביש ארצי לישראל) (סכומי דמי הגבייה) (יקנעם סומך), התשע"ג-2013.</w:t>
      </w:r>
    </w:p>
    <w:p w14:paraId="65089A6E" w14:textId="77777777" w:rsidR="00732A39" w:rsidRPr="00732A39" w:rsidRDefault="00732A39" w:rsidP="00732A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8"/>
      <w:r w:rsidRPr="00732A3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14.2.2013</w:t>
      </w:r>
    </w:p>
    <w:p w14:paraId="16196A32" w14:textId="77777777" w:rsidR="00732A39" w:rsidRPr="00732A39" w:rsidRDefault="00732A39" w:rsidP="00732A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32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14:paraId="680BB9C8" w14:textId="77777777" w:rsidR="00732A39" w:rsidRPr="00732A39" w:rsidRDefault="00732A39" w:rsidP="00732A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732A3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7223</w:t>
        </w:r>
      </w:hyperlink>
      <w:r w:rsidRPr="00732A3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14.2.2013 עמ' 776</w:t>
      </w:r>
    </w:p>
    <w:p w14:paraId="24E321A6" w14:textId="77777777" w:rsidR="00732A39" w:rsidRPr="00732A39" w:rsidRDefault="00732A39" w:rsidP="00732A3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32A3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5א</w:t>
      </w:r>
      <w:bookmarkEnd w:id="6"/>
    </w:p>
    <w:p w14:paraId="388E97AD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7F3B6B7A">
          <v:rect id="_x0000_s1031" style="position:absolute;left:0;text-align:left;margin-left:464.5pt;margin-top:8.05pt;width:75.05pt;height:15.15pt;z-index:251659776" o:allowincell="f" filled="f" stroked="f" strokecolor="lime" strokeweight=".25pt">
            <v:textbox inset="0,0,0,0">
              <w:txbxContent>
                <w:p w14:paraId="59FEEF36" w14:textId="77777777" w:rsidR="00715B8F" w:rsidRDefault="00715B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נין יום העדכון הראשון שלאחר תחילתן של תקנות אלה יהיה המדד היסודי, המדד שפורסם בחודש מאי 1996. </w:t>
      </w:r>
    </w:p>
    <w:p w14:paraId="515D8E6E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2DEFD9" w14:textId="77777777" w:rsidR="00E86751" w:rsidRDefault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572229" w14:textId="77777777" w:rsidR="00715B8F" w:rsidRDefault="00715B8F" w:rsidP="00E86751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 xml:space="preserve">י' </w:t>
      </w:r>
      <w:r>
        <w:rPr>
          <w:rStyle w:val="default"/>
          <w:rFonts w:cs="FrankRuehl" w:hint="cs"/>
          <w:rtl/>
        </w:rPr>
        <w:t>בסיון תשנ"ט (25 במאי 1999)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אר</w:t>
      </w:r>
      <w:r>
        <w:rPr>
          <w:rStyle w:val="default"/>
          <w:rFonts w:cs="FrankRuehl" w:hint="cs"/>
          <w:rtl/>
        </w:rPr>
        <w:t>יאל שרון</w:t>
      </w:r>
    </w:p>
    <w:p w14:paraId="47C65FED" w14:textId="77777777" w:rsidR="00715B8F" w:rsidRDefault="00715B8F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התשתיות הלאומיות</w:t>
      </w:r>
    </w:p>
    <w:p w14:paraId="205AE98E" w14:textId="77777777" w:rsidR="00715B8F" w:rsidRDefault="00715B8F">
      <w:pPr>
        <w:pStyle w:val="sig-1"/>
        <w:widowControl/>
        <w:tabs>
          <w:tab w:val="clear" w:pos="851"/>
          <w:tab w:val="clear" w:pos="2835"/>
          <w:tab w:val="center" w:pos="1134"/>
          <w:tab w:val="center" w:pos="3827"/>
        </w:tabs>
        <w:ind w:left="0" w:right="1134"/>
        <w:rPr>
          <w:rFonts w:cs="FrankRuehl"/>
          <w:sz w:val="22"/>
          <w:rtl/>
        </w:rPr>
      </w:pPr>
    </w:p>
    <w:p w14:paraId="5ABEB9FC" w14:textId="77777777" w:rsidR="00715B8F" w:rsidRPr="00E86751" w:rsidRDefault="00715B8F" w:rsidP="00E8675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2268"/>
          <w:tab w:val="center" w:pos="396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 w:rsidRPr="00E86751">
        <w:rPr>
          <w:rFonts w:cs="FrankRuehl"/>
          <w:sz w:val="26"/>
          <w:szCs w:val="26"/>
          <w:rtl/>
        </w:rPr>
        <w:tab/>
      </w:r>
      <w:r w:rsidRPr="00E86751">
        <w:rPr>
          <w:rStyle w:val="default"/>
          <w:rFonts w:cs="FrankRuehl"/>
          <w:rtl/>
        </w:rPr>
        <w:t>אנ</w:t>
      </w:r>
      <w:r w:rsidRPr="00E86751">
        <w:rPr>
          <w:rStyle w:val="default"/>
          <w:rFonts w:cs="FrankRuehl" w:hint="cs"/>
          <w:rtl/>
        </w:rPr>
        <w:t>י מסכים.</w:t>
      </w:r>
      <w:r w:rsidRPr="00E86751">
        <w:rPr>
          <w:rStyle w:val="default"/>
          <w:rFonts w:cs="FrankRuehl"/>
          <w:rtl/>
        </w:rPr>
        <w:tab/>
      </w:r>
      <w:r w:rsidRPr="00E86751">
        <w:rPr>
          <w:rStyle w:val="default"/>
          <w:rFonts w:cs="FrankRuehl" w:hint="cs"/>
          <w:rtl/>
        </w:rPr>
        <w:tab/>
      </w:r>
      <w:r w:rsidRPr="00E86751">
        <w:rPr>
          <w:rStyle w:val="default"/>
          <w:rFonts w:cs="FrankRuehl"/>
          <w:rtl/>
        </w:rPr>
        <w:t>א</w:t>
      </w:r>
      <w:r w:rsidRPr="00E86751">
        <w:rPr>
          <w:rStyle w:val="default"/>
          <w:rFonts w:cs="FrankRuehl" w:hint="cs"/>
          <w:rtl/>
        </w:rPr>
        <w:t>ני מסכים.</w:t>
      </w:r>
    </w:p>
    <w:p w14:paraId="61F1EABC" w14:textId="77777777" w:rsidR="00715B8F" w:rsidRDefault="00715B8F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2268"/>
          <w:tab w:val="center" w:pos="3969"/>
          <w:tab w:val="center" w:pos="5103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  <w:t>מ</w:t>
      </w:r>
      <w:r>
        <w:rPr>
          <w:rFonts w:cs="FrankRuehl"/>
          <w:sz w:val="26"/>
          <w:szCs w:val="26"/>
          <w:rtl/>
        </w:rPr>
        <w:t>א</w:t>
      </w:r>
      <w:r>
        <w:rPr>
          <w:rFonts w:cs="FrankRuehl" w:hint="cs"/>
          <w:sz w:val="26"/>
          <w:szCs w:val="26"/>
          <w:rtl/>
        </w:rPr>
        <w:t>יר</w:t>
      </w:r>
      <w:r>
        <w:rPr>
          <w:rFonts w:cs="FrankRuehl"/>
          <w:sz w:val="26"/>
          <w:szCs w:val="26"/>
          <w:rtl/>
        </w:rPr>
        <w:t xml:space="preserve"> ש</w:t>
      </w:r>
      <w:r>
        <w:rPr>
          <w:rFonts w:cs="FrankRuehl" w:hint="cs"/>
          <w:sz w:val="26"/>
          <w:szCs w:val="26"/>
          <w:rtl/>
        </w:rPr>
        <w:t>טרית</w:t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>שא</w:t>
      </w:r>
      <w:r>
        <w:rPr>
          <w:rFonts w:cs="FrankRuehl" w:hint="cs"/>
          <w:sz w:val="26"/>
          <w:szCs w:val="26"/>
          <w:rtl/>
        </w:rPr>
        <w:t>ול יהלום</w:t>
      </w:r>
    </w:p>
    <w:p w14:paraId="18C7279C" w14:textId="77777777" w:rsidR="00715B8F" w:rsidRDefault="00715B8F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2268"/>
          <w:tab w:val="center" w:pos="3969"/>
          <w:tab w:val="center" w:pos="5103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ab/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האוצר</w:t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שר</w:t>
      </w:r>
      <w:r>
        <w:rPr>
          <w:rStyle w:val="default"/>
          <w:rFonts w:cs="FrankRuehl" w:hint="cs"/>
          <w:sz w:val="22"/>
          <w:szCs w:val="22"/>
          <w:rtl/>
        </w:rPr>
        <w:t xml:space="preserve"> התחבורה</w:t>
      </w:r>
    </w:p>
    <w:p w14:paraId="2B474212" w14:textId="77777777" w:rsidR="00715B8F" w:rsidRPr="00E86751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BE816E" w14:textId="77777777" w:rsidR="00715B8F" w:rsidRPr="00E86751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785173" w14:textId="77777777" w:rsidR="00715B8F" w:rsidRPr="00E86751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2CD95F40" w14:textId="77777777" w:rsidR="00A254D9" w:rsidRDefault="00A254D9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27F61D" w14:textId="77777777" w:rsidR="00A254D9" w:rsidRDefault="00A254D9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198489" w14:textId="77777777" w:rsidR="00A254D9" w:rsidRDefault="00A254D9" w:rsidP="00A254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FFE58FC" w14:textId="77777777" w:rsidR="00715B8F" w:rsidRPr="00A254D9" w:rsidRDefault="00715B8F" w:rsidP="00A254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15B8F" w:rsidRPr="00A254D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D03A" w14:textId="77777777" w:rsidR="0071357B" w:rsidRDefault="0071357B">
      <w:r>
        <w:separator/>
      </w:r>
    </w:p>
  </w:endnote>
  <w:endnote w:type="continuationSeparator" w:id="0">
    <w:p w14:paraId="5CBC8798" w14:textId="77777777" w:rsidR="0071357B" w:rsidRDefault="0071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666B" w14:textId="77777777" w:rsidR="00715B8F" w:rsidRDefault="00715B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ADDC2E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E4AB3A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54D9">
      <w:rPr>
        <w:rFonts w:cs="TopType Jerushalmi"/>
        <w:noProof/>
        <w:color w:val="000000"/>
        <w:sz w:val="14"/>
        <w:szCs w:val="14"/>
      </w:rPr>
      <w:t>Z:\000-law\yael\2013\2013-02-17\tav\186_003.doc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4799" w14:textId="77777777" w:rsidR="00715B8F" w:rsidRDefault="00715B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54D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DC88A54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6F98E0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54D9">
      <w:rPr>
        <w:rFonts w:cs="TopType Jerushalmi"/>
        <w:noProof/>
        <w:color w:val="000000"/>
        <w:sz w:val="14"/>
        <w:szCs w:val="14"/>
      </w:rPr>
      <w:t>Z:\000-law\yael\2013\2013-02-17\tav\186_003.doc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72640" w14:textId="77777777" w:rsidR="0071357B" w:rsidRDefault="0071357B" w:rsidP="006A57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033AAF" w14:textId="77777777" w:rsidR="0071357B" w:rsidRDefault="0071357B">
      <w:r>
        <w:continuationSeparator/>
      </w:r>
    </w:p>
  </w:footnote>
  <w:footnote w:id="1">
    <w:p w14:paraId="282F44F3" w14:textId="77777777" w:rsidR="006A5796" w:rsidRDefault="006A5796" w:rsidP="006A57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A57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16BEA">
          <w:rPr>
            <w:rStyle w:val="Hyperlink"/>
            <w:rFonts w:cs="FrankRuehl" w:hint="cs"/>
            <w:rtl/>
          </w:rPr>
          <w:t>ק"ת תשנ"ט מס' 5983</w:t>
        </w:r>
      </w:hyperlink>
      <w:r>
        <w:rPr>
          <w:rFonts w:cs="FrankRuehl" w:hint="cs"/>
          <w:rtl/>
        </w:rPr>
        <w:t xml:space="preserve"> מיום 16.6.1999 עמ' 968.</w:t>
      </w:r>
    </w:p>
    <w:p w14:paraId="3874F93E" w14:textId="77777777" w:rsidR="00AF27AC" w:rsidRPr="006A5796" w:rsidRDefault="00732A39" w:rsidP="00AF27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AF27AC">
          <w:rPr>
            <w:rStyle w:val="Hyperlink"/>
            <w:rFonts w:cs="FrankRuehl" w:hint="cs"/>
            <w:rtl/>
          </w:rPr>
          <w:t>ק"ת תשע"ג מס' 7223</w:t>
        </w:r>
      </w:hyperlink>
      <w:r>
        <w:rPr>
          <w:rFonts w:cs="FrankRuehl" w:hint="cs"/>
          <w:rtl/>
        </w:rPr>
        <w:t xml:space="preserve"> מיום 14.2.2013 עמ' 776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תשע"ג-2013.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30DE" w14:textId="77777777" w:rsidR="00715B8F" w:rsidRDefault="00715B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כביש אגרה (כביש ארצי לישראל) (סכומי דמי הגביה), תשנ"ט–1999</w:t>
    </w:r>
  </w:p>
  <w:p w14:paraId="4813B8D2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A63A04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AE9B" w14:textId="77777777" w:rsidR="00715B8F" w:rsidRDefault="00715B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כביש אגרה (כביש ארצי לישראל) (סכומי דמי הגביה), תשנ"ט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3DBB414E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C534BC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BEA"/>
    <w:rsid w:val="00182E92"/>
    <w:rsid w:val="00251905"/>
    <w:rsid w:val="00316BEA"/>
    <w:rsid w:val="00333187"/>
    <w:rsid w:val="005412A1"/>
    <w:rsid w:val="006A5796"/>
    <w:rsid w:val="0071357B"/>
    <w:rsid w:val="00715B8F"/>
    <w:rsid w:val="00732A39"/>
    <w:rsid w:val="0096759E"/>
    <w:rsid w:val="00A254D9"/>
    <w:rsid w:val="00AF27AC"/>
    <w:rsid w:val="00C65B29"/>
    <w:rsid w:val="00D9385E"/>
    <w:rsid w:val="00E86751"/>
    <w:rsid w:val="00EF1F50"/>
    <w:rsid w:val="00EF70BE"/>
    <w:rsid w:val="00F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501A5C"/>
  <w15:chartTrackingRefBased/>
  <w15:docId w15:val="{FA041292-4B9D-464E-81F9-C6E4B985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A5796"/>
    <w:rPr>
      <w:sz w:val="20"/>
      <w:szCs w:val="20"/>
    </w:rPr>
  </w:style>
  <w:style w:type="character" w:styleId="a6">
    <w:name w:val="footnote reference"/>
    <w:basedOn w:val="a0"/>
    <w:semiHidden/>
    <w:rsid w:val="006A5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22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223.pdf" TargetMode="External"/><Relationship Id="rId1" Type="http://schemas.openxmlformats.org/officeDocument/2006/relationships/hyperlink" Target="http://www.nevo.co.il/Law_word/law06/TAK-5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186</vt:lpstr>
    </vt:vector>
  </TitlesOfParts>
  <Company/>
  <LinksUpToDate>false</LinksUpToDate>
  <CharactersWithSpaces>3209</CharactersWithSpaces>
  <SharedDoc>false</SharedDoc>
  <HLinks>
    <vt:vector size="6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http://www.nevo.co.il/Law_word/law06/tak-7223.pdf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http://www.nevo.co.il/Law_word/law06/TAK-7223.pdf</vt:lpwstr>
      </vt:variant>
      <vt:variant>
        <vt:lpwstr/>
      </vt:variant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0186</vt:lpwstr>
  </property>
  <property fmtid="{D5CDD505-2E9C-101B-9397-08002B2CF9AE}" pid="3" name="CHNAME">
    <vt:lpwstr>כבישי אגרה</vt:lpwstr>
  </property>
  <property fmtid="{D5CDD505-2E9C-101B-9397-08002B2CF9AE}" pid="4" name="LAWNAME">
    <vt:lpwstr>תקנות כביש אגרה (כביש ארצי לישראל) (סכומי דמי הגביה), תשנ"ט-1999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כביש אגרה (כביש ארצי לישראל)</vt:lpwstr>
  </property>
  <property fmtid="{D5CDD505-2E9C-101B-9397-08002B2CF9AE}" pid="8" name="MEKOR_SAIF1">
    <vt:lpwstr>12XבX1X;16X</vt:lpwstr>
  </property>
  <property fmtid="{D5CDD505-2E9C-101B-9397-08002B2CF9AE}" pid="9" name="NOSE11">
    <vt:lpwstr>מסים</vt:lpwstr>
  </property>
  <property fmtid="{D5CDD505-2E9C-101B-9397-08002B2CF9AE}" pid="10" name="NOSE21">
    <vt:lpwstr>אגרות</vt:lpwstr>
  </property>
  <property fmtid="{D5CDD505-2E9C-101B-9397-08002B2CF9AE}" pid="11" name="NOSE31">
    <vt:lpwstr>כביש אגרה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דרכים</vt:lpwstr>
  </property>
  <property fmtid="{D5CDD505-2E9C-101B-9397-08002B2CF9AE}" pid="16" name="NOSE42">
    <vt:lpwstr>כביש אגרה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http://www.nevo.co.il/Law_word/law06/TAK-7223.pdf;‎רשומות - תקנות כלליות#תוקנו ק"ת תשע"ג מס' ‏‏7223 #מיום 14.2.2013 עמ' 776 – תק' תשע"ג-2013‏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