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4861" w14:textId="77777777" w:rsidR="005B6A38" w:rsidRDefault="005B6A38">
      <w:pPr>
        <w:pStyle w:val="big-header"/>
        <w:ind w:left="0" w:right="1134"/>
      </w:pPr>
      <w:r>
        <w:rPr>
          <w:rtl/>
        </w:rPr>
        <w:t>תקנות כלי היריה</w:t>
      </w:r>
    </w:p>
    <w:p w14:paraId="305574FA" w14:textId="77777777" w:rsidR="00462FCA" w:rsidRPr="00462FCA" w:rsidRDefault="00462FCA" w:rsidP="00462FCA">
      <w:pPr>
        <w:spacing w:line="320" w:lineRule="auto"/>
        <w:jc w:val="left"/>
        <w:rPr>
          <w:rFonts w:cs="FrankRuehl"/>
          <w:szCs w:val="26"/>
          <w:rtl/>
        </w:rPr>
      </w:pPr>
    </w:p>
    <w:p w14:paraId="59755616" w14:textId="77777777" w:rsidR="00462FCA" w:rsidRDefault="00462FCA" w:rsidP="00462FCA">
      <w:pPr>
        <w:spacing w:line="320" w:lineRule="auto"/>
        <w:jc w:val="left"/>
        <w:rPr>
          <w:rtl/>
        </w:rPr>
      </w:pPr>
    </w:p>
    <w:p w14:paraId="05747DD6" w14:textId="77777777" w:rsidR="00462FCA" w:rsidRPr="00462FCA" w:rsidRDefault="00462FCA" w:rsidP="00462FCA">
      <w:pPr>
        <w:spacing w:line="320" w:lineRule="auto"/>
        <w:jc w:val="left"/>
        <w:rPr>
          <w:rFonts w:cs="Miriam"/>
          <w:szCs w:val="22"/>
          <w:rtl/>
        </w:rPr>
      </w:pPr>
      <w:r w:rsidRPr="00462FCA">
        <w:rPr>
          <w:rFonts w:cs="Miriam"/>
          <w:szCs w:val="22"/>
          <w:rtl/>
        </w:rPr>
        <w:t>רשויות ומשפט מנהלי</w:t>
      </w:r>
      <w:r w:rsidRPr="00462FCA">
        <w:rPr>
          <w:rFonts w:cs="FrankRuehl"/>
          <w:szCs w:val="26"/>
          <w:rtl/>
        </w:rPr>
        <w:t xml:space="preserve"> – כלי יריה</w:t>
      </w:r>
    </w:p>
    <w:p w14:paraId="610C272C" w14:textId="77777777" w:rsidR="005B6A38" w:rsidRDefault="005B6A3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B6A38" w14:paraId="34174DA5" w14:textId="77777777">
        <w:tblPrEx>
          <w:tblCellMar>
            <w:top w:w="0" w:type="dxa"/>
            <w:bottom w:w="0" w:type="dxa"/>
          </w:tblCellMar>
        </w:tblPrEx>
        <w:tc>
          <w:tcPr>
            <w:tcW w:w="850" w:type="dxa"/>
          </w:tcPr>
          <w:p w14:paraId="2A47B82D" w14:textId="77777777" w:rsidR="005B6A38" w:rsidRDefault="005B6A3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C714D1F" w14:textId="77777777" w:rsidR="005B6A38" w:rsidRDefault="005B6A38">
            <w:pPr>
              <w:spacing w:line="240" w:lineRule="auto"/>
              <w:rPr>
                <w:sz w:val="24"/>
              </w:rPr>
            </w:pPr>
            <w:hyperlink w:anchor="Seif0" w:tooltip="השם הקצר" w:history="1">
              <w:r>
                <w:rPr>
                  <w:rStyle w:val="Hyperlink"/>
                </w:rPr>
                <w:t>Go</w:t>
              </w:r>
            </w:hyperlink>
          </w:p>
        </w:tc>
        <w:tc>
          <w:tcPr>
            <w:tcW w:w="5669" w:type="dxa"/>
          </w:tcPr>
          <w:p w14:paraId="41A86FA2" w14:textId="77777777" w:rsidR="005B6A38" w:rsidRDefault="005B6A38">
            <w:pPr>
              <w:spacing w:line="240" w:lineRule="auto"/>
              <w:rPr>
                <w:sz w:val="24"/>
                <w:rtl/>
              </w:rPr>
            </w:pPr>
            <w:r>
              <w:rPr>
                <w:sz w:val="24"/>
                <w:rtl/>
              </w:rPr>
              <w:t>השם הקצר</w:t>
            </w:r>
          </w:p>
        </w:tc>
        <w:tc>
          <w:tcPr>
            <w:tcW w:w="1247" w:type="dxa"/>
          </w:tcPr>
          <w:p w14:paraId="75CF7DBA" w14:textId="77777777" w:rsidR="005B6A38" w:rsidRDefault="005B6A38">
            <w:pPr>
              <w:spacing w:line="240" w:lineRule="auto"/>
              <w:rPr>
                <w:sz w:val="24"/>
              </w:rPr>
            </w:pPr>
            <w:r>
              <w:rPr>
                <w:sz w:val="24"/>
                <w:rtl/>
              </w:rPr>
              <w:t xml:space="preserve">סעיף 1 </w:t>
            </w:r>
          </w:p>
        </w:tc>
      </w:tr>
      <w:tr w:rsidR="005B6A38" w14:paraId="2B738D03" w14:textId="77777777">
        <w:tblPrEx>
          <w:tblCellMar>
            <w:top w:w="0" w:type="dxa"/>
            <w:bottom w:w="0" w:type="dxa"/>
          </w:tblCellMar>
        </w:tblPrEx>
        <w:tc>
          <w:tcPr>
            <w:tcW w:w="850" w:type="dxa"/>
          </w:tcPr>
          <w:p w14:paraId="7D0A7D31" w14:textId="77777777" w:rsidR="005B6A38" w:rsidRDefault="005B6A3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71C13B" w14:textId="77777777" w:rsidR="005B6A38" w:rsidRDefault="005B6A38">
            <w:pPr>
              <w:spacing w:line="240" w:lineRule="auto"/>
              <w:rPr>
                <w:sz w:val="24"/>
              </w:rPr>
            </w:pPr>
            <w:hyperlink w:anchor="Seif1" w:tooltip="חובותיהם של סוחרים בעלי רשיון" w:history="1">
              <w:r>
                <w:rPr>
                  <w:rStyle w:val="Hyperlink"/>
                </w:rPr>
                <w:t>Go</w:t>
              </w:r>
            </w:hyperlink>
          </w:p>
        </w:tc>
        <w:tc>
          <w:tcPr>
            <w:tcW w:w="5669" w:type="dxa"/>
          </w:tcPr>
          <w:p w14:paraId="250EB4CD" w14:textId="77777777" w:rsidR="005B6A38" w:rsidRDefault="005B6A38">
            <w:pPr>
              <w:spacing w:line="240" w:lineRule="auto"/>
              <w:rPr>
                <w:sz w:val="24"/>
                <w:rtl/>
              </w:rPr>
            </w:pPr>
            <w:r>
              <w:rPr>
                <w:sz w:val="24"/>
                <w:rtl/>
              </w:rPr>
              <w:t>חובותיהם של סוחרים בעלי רשיון</w:t>
            </w:r>
          </w:p>
        </w:tc>
        <w:tc>
          <w:tcPr>
            <w:tcW w:w="1247" w:type="dxa"/>
          </w:tcPr>
          <w:p w14:paraId="403AD113" w14:textId="77777777" w:rsidR="005B6A38" w:rsidRDefault="005B6A38">
            <w:pPr>
              <w:spacing w:line="240" w:lineRule="auto"/>
              <w:rPr>
                <w:sz w:val="24"/>
              </w:rPr>
            </w:pPr>
            <w:r>
              <w:rPr>
                <w:sz w:val="24"/>
                <w:rtl/>
              </w:rPr>
              <w:t xml:space="preserve">סעיף 2 </w:t>
            </w:r>
          </w:p>
        </w:tc>
      </w:tr>
      <w:tr w:rsidR="005B6A38" w14:paraId="1DFD094C" w14:textId="77777777">
        <w:tblPrEx>
          <w:tblCellMar>
            <w:top w:w="0" w:type="dxa"/>
            <w:bottom w:w="0" w:type="dxa"/>
          </w:tblCellMar>
        </w:tblPrEx>
        <w:tc>
          <w:tcPr>
            <w:tcW w:w="850" w:type="dxa"/>
          </w:tcPr>
          <w:p w14:paraId="0AF56E08" w14:textId="77777777" w:rsidR="005B6A38" w:rsidRDefault="005B6A3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48AD664" w14:textId="77777777" w:rsidR="005B6A38" w:rsidRDefault="005B6A38">
            <w:pPr>
              <w:spacing w:line="240" w:lineRule="auto"/>
              <w:rPr>
                <w:sz w:val="24"/>
              </w:rPr>
            </w:pPr>
            <w:hyperlink w:anchor="Seif2" w:tooltip="הפרוצדורה כשסירבו לחדש את הרשיון או  כשלא שולמו  אגרות החידוש" w:history="1">
              <w:r>
                <w:rPr>
                  <w:rStyle w:val="Hyperlink"/>
                </w:rPr>
                <w:t>Go</w:t>
              </w:r>
            </w:hyperlink>
          </w:p>
        </w:tc>
        <w:tc>
          <w:tcPr>
            <w:tcW w:w="5669" w:type="dxa"/>
          </w:tcPr>
          <w:p w14:paraId="5D4F779E" w14:textId="77777777" w:rsidR="005B6A38" w:rsidRDefault="005B6A38">
            <w:pPr>
              <w:spacing w:line="240" w:lineRule="auto"/>
              <w:rPr>
                <w:sz w:val="24"/>
                <w:rtl/>
              </w:rPr>
            </w:pPr>
            <w:r>
              <w:rPr>
                <w:sz w:val="24"/>
                <w:rtl/>
              </w:rPr>
              <w:t>הפרוצדורה כשסירבו לחדש את הרשיון או  כשלא שולמו  אגרות החידוש</w:t>
            </w:r>
          </w:p>
        </w:tc>
        <w:tc>
          <w:tcPr>
            <w:tcW w:w="1247" w:type="dxa"/>
          </w:tcPr>
          <w:p w14:paraId="4CACD891" w14:textId="77777777" w:rsidR="005B6A38" w:rsidRDefault="005B6A38">
            <w:pPr>
              <w:spacing w:line="240" w:lineRule="auto"/>
              <w:rPr>
                <w:sz w:val="24"/>
              </w:rPr>
            </w:pPr>
            <w:r>
              <w:rPr>
                <w:sz w:val="24"/>
                <w:rtl/>
              </w:rPr>
              <w:t xml:space="preserve">סעיף 4 </w:t>
            </w:r>
          </w:p>
        </w:tc>
      </w:tr>
    </w:tbl>
    <w:p w14:paraId="0F5A5B30" w14:textId="77777777" w:rsidR="005B6A38" w:rsidRDefault="005B6A38">
      <w:pPr>
        <w:pStyle w:val="big-header"/>
        <w:ind w:left="0" w:right="1134"/>
        <w:rPr>
          <w:rtl/>
        </w:rPr>
      </w:pPr>
    </w:p>
    <w:p w14:paraId="18690B38" w14:textId="77777777" w:rsidR="005B6A38" w:rsidRDefault="005B6A38">
      <w:pPr>
        <w:pStyle w:val="big-header"/>
        <w:ind w:left="0" w:right="1134"/>
        <w:rPr>
          <w:rtl/>
        </w:rPr>
      </w:pPr>
      <w:r>
        <w:rPr>
          <w:rtl/>
        </w:rPr>
        <w:br w:type="page"/>
      </w:r>
      <w:r>
        <w:rPr>
          <w:rtl/>
        </w:rPr>
        <w:lastRenderedPageBreak/>
        <w:t>פ</w:t>
      </w:r>
      <w:r>
        <w:rPr>
          <w:rFonts w:hint="cs"/>
          <w:rtl/>
        </w:rPr>
        <w:t>רק 188</w:t>
      </w:r>
    </w:p>
    <w:p w14:paraId="10E02176" w14:textId="77777777" w:rsidR="005B6A38" w:rsidRDefault="005B6A38">
      <w:pPr>
        <w:pStyle w:val="big-header"/>
        <w:ind w:left="0" w:right="1134"/>
        <w:rPr>
          <w:rStyle w:val="default"/>
          <w:rFonts w:cs="FrankRuehl"/>
          <w:rtl/>
        </w:rPr>
      </w:pPr>
      <w:r>
        <w:rPr>
          <w:rtl/>
        </w:rPr>
        <w:t>ת</w:t>
      </w:r>
      <w:r>
        <w:rPr>
          <w:rFonts w:hint="cs"/>
          <w:rtl/>
        </w:rPr>
        <w:t>קנות כלי היריה</w:t>
      </w:r>
      <w:r>
        <w:rPr>
          <w:rStyle w:val="super"/>
          <w:noProof w:val="0"/>
          <w:rtl/>
        </w:rPr>
        <w:t>(6)</w:t>
      </w:r>
    </w:p>
    <w:p w14:paraId="0170759A" w14:textId="77777777" w:rsidR="005B6A38" w:rsidRDefault="005B6A38">
      <w:pPr>
        <w:pStyle w:val="P00"/>
        <w:spacing w:before="72"/>
        <w:ind w:left="0" w:right="1134"/>
        <w:rPr>
          <w:rStyle w:val="default"/>
          <w:rFonts w:cs="FrankRuehl"/>
          <w:rtl/>
        </w:rPr>
      </w:pPr>
      <w:r>
        <w:rPr>
          <w:rtl/>
        </w:rPr>
        <w:tab/>
      </w:r>
    </w:p>
    <w:p w14:paraId="525C3E3B" w14:textId="77777777" w:rsidR="005B6A38" w:rsidRDefault="005B6A38">
      <w:pPr>
        <w:pStyle w:val="medium-header"/>
        <w:keepNext w:val="0"/>
        <w:keepLines w:val="0"/>
        <w:ind w:left="0" w:right="1134"/>
        <w:rPr>
          <w:rtl/>
        </w:rPr>
      </w:pPr>
      <w:r>
        <w:rPr>
          <w:rtl/>
        </w:rPr>
        <w:t>(</w:t>
      </w:r>
      <w:r>
        <w:rPr>
          <w:rFonts w:hint="cs"/>
          <w:rtl/>
        </w:rPr>
        <w:t>על פי סעיף 42 לפקודת כלי היריה)</w:t>
      </w:r>
    </w:p>
    <w:p w14:paraId="37CC3A7F" w14:textId="77777777" w:rsidR="005B6A38" w:rsidRDefault="005B6A38">
      <w:pPr>
        <w:pStyle w:val="medium-header"/>
        <w:keepNext w:val="0"/>
        <w:keepLines w:val="0"/>
        <w:ind w:left="0" w:right="1134"/>
        <w:rPr>
          <w:rtl/>
        </w:rPr>
      </w:pPr>
      <w:r>
        <w:rPr>
          <w:rtl/>
        </w:rPr>
        <w:t>מ</w:t>
      </w:r>
      <w:r>
        <w:rPr>
          <w:rFonts w:hint="cs"/>
          <w:rtl/>
        </w:rPr>
        <w:t>יום 10.6.1925</w:t>
      </w:r>
    </w:p>
    <w:p w14:paraId="30ECF001" w14:textId="77777777" w:rsidR="005B6A38" w:rsidRDefault="005B6A38">
      <w:pPr>
        <w:pStyle w:val="P00"/>
        <w:spacing w:before="72"/>
        <w:ind w:left="0" w:right="1134"/>
        <w:rPr>
          <w:rStyle w:val="default"/>
          <w:rFonts w:cs="FrankRuehl"/>
          <w:rtl/>
        </w:rPr>
      </w:pPr>
      <w:bookmarkStart w:id="0" w:name="Seif0"/>
      <w:bookmarkEnd w:id="0"/>
      <w:r>
        <w:rPr>
          <w:lang w:val="he-IL"/>
        </w:rPr>
        <w:pict w14:anchorId="0660927C">
          <v:rect id="_x0000_s1026" style="position:absolute;left:0;text-align:left;margin-left:464.5pt;margin-top:8.05pt;width:75.05pt;height:8pt;z-index:251656704" o:allowincell="f" filled="f" stroked="f" strokecolor="lime" strokeweight=".25pt">
            <v:textbox inset="0,0,0,0">
              <w:txbxContent>
                <w:p w14:paraId="4F29B7FB" w14:textId="77777777" w:rsidR="005B6A38" w:rsidRDefault="005B6A38">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r>
                    <w:rPr>
                      <w:rFonts w:cs="Miriam" w:hint="cs"/>
                      <w:szCs w:val="18"/>
                      <w:rtl/>
                    </w:rPr>
                    <w:t xml:space="preserve"> הקצר</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אלה תיקראנה תקנות כלי היריה.</w:t>
      </w:r>
    </w:p>
    <w:p w14:paraId="0CC0365A" w14:textId="77777777" w:rsidR="005B6A38" w:rsidRDefault="005B6A38">
      <w:pPr>
        <w:pStyle w:val="header-2"/>
        <w:ind w:left="0" w:right="1134"/>
        <w:rPr>
          <w:rtl/>
        </w:rPr>
      </w:pPr>
      <w:r>
        <w:rPr>
          <w:rtl/>
        </w:rPr>
        <w:t>ח</w:t>
      </w:r>
      <w:r>
        <w:rPr>
          <w:rFonts w:hint="cs"/>
          <w:rtl/>
        </w:rPr>
        <w:t>ובותיהם של סוחרים בעלי רשיון</w:t>
      </w:r>
    </w:p>
    <w:p w14:paraId="44F1C1F5" w14:textId="77777777" w:rsidR="005B6A38" w:rsidRDefault="005B6A38">
      <w:pPr>
        <w:pStyle w:val="P00"/>
        <w:spacing w:before="72"/>
        <w:ind w:left="0" w:right="1134"/>
        <w:rPr>
          <w:rStyle w:val="default"/>
          <w:rFonts w:cs="FrankRuehl"/>
          <w:rtl/>
        </w:rPr>
      </w:pPr>
      <w:bookmarkStart w:id="1" w:name="Seif1"/>
      <w:bookmarkEnd w:id="1"/>
      <w:r>
        <w:rPr>
          <w:lang w:val="he-IL"/>
        </w:rPr>
        <w:pict w14:anchorId="41E0518C">
          <v:rect id="_x0000_s1027" style="position:absolute;left:0;text-align:left;margin-left:464.5pt;margin-top:8.05pt;width:75.05pt;height:24pt;z-index:251657728" o:allowincell="f" filled="f" stroked="f" strokecolor="lime" strokeweight=".25pt">
            <v:textbox inset="0,0,0,0">
              <w:txbxContent>
                <w:p w14:paraId="7708406D" w14:textId="77777777" w:rsidR="005B6A38" w:rsidRDefault="005B6A38">
                  <w:pPr>
                    <w:spacing w:line="160" w:lineRule="exact"/>
                    <w:jc w:val="left"/>
                    <w:rPr>
                      <w:rFonts w:cs="Miriam"/>
                      <w:noProof/>
                      <w:szCs w:val="18"/>
                      <w:rtl/>
                    </w:rPr>
                  </w:pPr>
                  <w:r>
                    <w:rPr>
                      <w:rFonts w:cs="Miriam"/>
                      <w:szCs w:val="18"/>
                      <w:rtl/>
                    </w:rPr>
                    <w:t>ח</w:t>
                  </w:r>
                  <w:r>
                    <w:rPr>
                      <w:rFonts w:cs="Miriam" w:hint="cs"/>
                      <w:szCs w:val="18"/>
                      <w:rtl/>
                    </w:rPr>
                    <w:t>ובותיהם</w:t>
                  </w:r>
                </w:p>
                <w:p w14:paraId="129C8E63" w14:textId="77777777" w:rsidR="005B6A38" w:rsidRDefault="005B6A38">
                  <w:pPr>
                    <w:spacing w:line="160" w:lineRule="exact"/>
                    <w:jc w:val="left"/>
                    <w:rPr>
                      <w:rFonts w:cs="Miriam"/>
                      <w:noProof/>
                      <w:szCs w:val="18"/>
                      <w:rtl/>
                    </w:rPr>
                  </w:pPr>
                  <w:r>
                    <w:rPr>
                      <w:rFonts w:cs="Miriam"/>
                      <w:szCs w:val="18"/>
                      <w:rtl/>
                    </w:rPr>
                    <w:t>ש</w:t>
                  </w:r>
                  <w:r>
                    <w:rPr>
                      <w:rFonts w:cs="Miriam" w:hint="cs"/>
                      <w:szCs w:val="18"/>
                      <w:rtl/>
                    </w:rPr>
                    <w:t>ל סוחרים</w:t>
                  </w:r>
                </w:p>
                <w:p w14:paraId="1B0F17F3" w14:textId="77777777" w:rsidR="005B6A38" w:rsidRDefault="005B6A38">
                  <w:pPr>
                    <w:spacing w:line="160" w:lineRule="exact"/>
                    <w:jc w:val="left"/>
                    <w:rPr>
                      <w:rFonts w:cs="Miriam"/>
                      <w:noProof/>
                      <w:szCs w:val="18"/>
                      <w:rtl/>
                    </w:rPr>
                  </w:pPr>
                  <w:r>
                    <w:rPr>
                      <w:rFonts w:cs="Miriam"/>
                      <w:szCs w:val="18"/>
                      <w:rtl/>
                    </w:rPr>
                    <w:t>ב</w:t>
                  </w:r>
                  <w:r>
                    <w:rPr>
                      <w:rFonts w:cs="Miriam" w:hint="cs"/>
                      <w:szCs w:val="18"/>
                      <w:rtl/>
                    </w:rPr>
                    <w:t>עלי רשיון</w:t>
                  </w:r>
                </w:p>
              </w:txbxContent>
            </v:textbox>
            <w10:anchorlock/>
          </v:rect>
        </w:pict>
      </w: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 xml:space="preserve">סוחר בכלי יריה בעל רשיון חייב להחזיק בבית העסק שלו את כל כלי היריה והתחמושת, לרבות כדורים לצרכי ספורט וחלקיהם היסודיים, כשהם סגורים על מסגר </w:t>
      </w:r>
      <w:r>
        <w:rPr>
          <w:rStyle w:val="default"/>
          <w:rFonts w:cs="FrankRuehl"/>
          <w:rtl/>
        </w:rPr>
        <w:t>—</w:t>
      </w:r>
    </w:p>
    <w:p w14:paraId="09AAB4BD" w14:textId="77777777" w:rsidR="005B6A38" w:rsidRDefault="005B6A3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במחסן נעול יפה שאושר כחדר מתאים לכך ע"י המפקח הכללי של המשטרה ואשר יחדוהו לאצירת כלי יריה ותחמושת בלבד, או</w:t>
      </w:r>
    </w:p>
    <w:p w14:paraId="74E47D3D" w14:textId="77777777" w:rsidR="005B6A38" w:rsidRDefault="005B6A38">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בתיבות נעולות מובדלות שהוכנו בהתאם לרשימות הפירוט של המפקח של המשטרה המחוזי, לשם אצירת כלי יריה ותחמושת, או</w:t>
      </w:r>
    </w:p>
    <w:p w14:paraId="7CA59168" w14:textId="77777777" w:rsidR="005B6A38" w:rsidRDefault="005B6A38">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כלי קיבול מתאים אחר שאושר ע</w:t>
      </w:r>
      <w:r>
        <w:rPr>
          <w:rStyle w:val="default"/>
          <w:rFonts w:cs="FrankRuehl"/>
          <w:rtl/>
        </w:rPr>
        <w:t>"</w:t>
      </w:r>
      <w:r>
        <w:rPr>
          <w:rStyle w:val="default"/>
          <w:rFonts w:cs="FrankRuehl" w:hint="cs"/>
          <w:rtl/>
        </w:rPr>
        <w:t>י המפקח הכללי של המשטרה.</w:t>
      </w:r>
    </w:p>
    <w:p w14:paraId="76C8338C" w14:textId="77777777" w:rsidR="005B6A38" w:rsidRDefault="005B6A3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סוחר בעל רשיון יכול להציג לצרכי עסק בבית העסק שלו נושא הרשיון רובה ציד אחד ולא יותר מחמישים כדורי ספורט.</w:t>
      </w:r>
    </w:p>
    <w:p w14:paraId="796E69EE" w14:textId="77777777" w:rsidR="005B6A38" w:rsidRDefault="005B6A38">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במקרה של הפרת שלום או עפ"י צו מאת קצין משטרה גבוה, חייב סוחר בר-רשיון להחזיר למקום האצירה המאושר את רובה הציד ואת ה</w:t>
      </w:r>
      <w:r>
        <w:rPr>
          <w:rStyle w:val="default"/>
          <w:rFonts w:cs="FrankRuehl"/>
          <w:rtl/>
        </w:rPr>
        <w:t>כ</w:t>
      </w:r>
      <w:r>
        <w:rPr>
          <w:rStyle w:val="default"/>
          <w:rFonts w:cs="FrankRuehl" w:hint="cs"/>
          <w:rtl/>
        </w:rPr>
        <w:t>דורים שהוצגו לראווה לצרכי עסק.</w:t>
      </w:r>
    </w:p>
    <w:p w14:paraId="1BE2DB34" w14:textId="77777777" w:rsidR="005B6A38" w:rsidRDefault="005B6A38">
      <w:pPr>
        <w:pStyle w:val="header-2"/>
        <w:ind w:left="0" w:right="1134"/>
        <w:rPr>
          <w:rtl/>
        </w:rPr>
      </w:pPr>
      <w:r>
        <w:rPr>
          <w:rtl/>
        </w:rPr>
        <w:t>ש</w:t>
      </w:r>
      <w:r>
        <w:rPr>
          <w:rFonts w:hint="cs"/>
          <w:rtl/>
        </w:rPr>
        <w:t>ונות</w:t>
      </w:r>
    </w:p>
    <w:p w14:paraId="69002A96" w14:textId="77777777" w:rsidR="005B6A38" w:rsidRDefault="005B6A38">
      <w:pPr>
        <w:pStyle w:val="P00"/>
        <w:spacing w:before="72"/>
        <w:ind w:left="0" w:right="1134"/>
        <w:rPr>
          <w:rStyle w:val="default"/>
          <w:rFonts w:cs="FrankRuehl"/>
          <w:rtl/>
        </w:rPr>
      </w:pPr>
      <w:r>
        <w:rPr>
          <w:rStyle w:val="big-number"/>
          <w:rtl/>
        </w:rPr>
        <w:t>3.</w:t>
      </w:r>
      <w:r>
        <w:rPr>
          <w:rStyle w:val="big-number"/>
          <w:rtl/>
        </w:rPr>
        <w:tab/>
      </w:r>
      <w:r>
        <w:rPr>
          <w:rStyle w:val="default"/>
          <w:rFonts w:cs="FrankRuehl"/>
          <w:rtl/>
        </w:rPr>
        <w:t>(</w:t>
      </w:r>
      <w:r>
        <w:rPr>
          <w:rStyle w:val="default"/>
          <w:rFonts w:cs="FrankRuehl" w:hint="cs"/>
          <w:rtl/>
        </w:rPr>
        <w:t>בוטלה כסותרת את ההגדרה של "כלי יריה צבאי" בסעיף 1 לחוק כלי היריה, תש"ט</w:t>
      </w:r>
      <w:r>
        <w:rPr>
          <w:rStyle w:val="default"/>
          <w:rFonts w:cs="FrankRuehl"/>
          <w:rtl/>
        </w:rPr>
        <w:t>–</w:t>
      </w:r>
      <w:r>
        <w:rPr>
          <w:rStyle w:val="default"/>
          <w:rFonts w:cs="FrankRuehl" w:hint="cs"/>
          <w:rtl/>
        </w:rPr>
        <w:t>1949).</w:t>
      </w:r>
    </w:p>
    <w:p w14:paraId="466EAE62" w14:textId="77777777" w:rsidR="005B6A38" w:rsidRDefault="005B6A38">
      <w:pPr>
        <w:pStyle w:val="P00"/>
        <w:spacing w:before="72"/>
        <w:ind w:left="0" w:right="1134"/>
        <w:rPr>
          <w:rtl/>
        </w:rPr>
      </w:pPr>
      <w:r>
        <w:rPr>
          <w:rtl/>
        </w:rPr>
        <w:t>------------</w:t>
      </w:r>
    </w:p>
    <w:p w14:paraId="1F24C30A" w14:textId="77777777" w:rsidR="005B6A38" w:rsidRDefault="005B6A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(6)</w:t>
      </w:r>
      <w:r>
        <w:rPr>
          <w:rtl/>
        </w:rPr>
        <w:t> </w:t>
      </w:r>
      <w:r>
        <w:rPr>
          <w:sz w:val="20"/>
          <w:rtl/>
        </w:rPr>
        <w:t>פ</w:t>
      </w:r>
      <w:r>
        <w:rPr>
          <w:rFonts w:hint="cs"/>
          <w:sz w:val="20"/>
          <w:rtl/>
        </w:rPr>
        <w:t>ורסמו חא"י, כרך ג', עמ' (ע) 1736, (א) 1731.</w:t>
      </w:r>
    </w:p>
    <w:p w14:paraId="605B1D83" w14:textId="77777777" w:rsidR="005B6A38" w:rsidRDefault="005B6A38">
      <w:pPr>
        <w:pStyle w:val="page"/>
        <w:widowControl/>
        <w:ind w:right="1134"/>
        <w:rPr>
          <w:position w:val="0"/>
          <w:rtl/>
        </w:rPr>
      </w:pPr>
      <w:r>
        <w:rPr>
          <w:position w:val="0"/>
          <w:rtl/>
        </w:rPr>
        <w:t xml:space="preserve"> </w:t>
      </w:r>
    </w:p>
    <w:p w14:paraId="2288245A" w14:textId="77777777" w:rsidR="005B6A38" w:rsidRDefault="005B6A38">
      <w:pPr>
        <w:pStyle w:val="P00"/>
        <w:spacing w:before="72"/>
        <w:ind w:left="0" w:right="1134"/>
        <w:rPr>
          <w:rStyle w:val="default"/>
          <w:rFonts w:cs="FrankRuehl"/>
          <w:rtl/>
        </w:rPr>
      </w:pPr>
      <w:bookmarkStart w:id="2" w:name="Seif2"/>
      <w:bookmarkEnd w:id="2"/>
      <w:r>
        <w:rPr>
          <w:lang w:val="he-IL"/>
        </w:rPr>
        <w:pict w14:anchorId="55A55208">
          <v:rect id="_x0000_s1028" style="position:absolute;left:0;text-align:left;margin-left:464.5pt;margin-top:8.05pt;width:75.05pt;height:64.95pt;z-index:251658752" o:allowincell="f" filled="f" stroked="f" strokecolor="lime" strokeweight=".25pt">
            <v:textbox inset="0,0,0,0">
              <w:txbxContent>
                <w:p w14:paraId="55B84C87" w14:textId="77777777" w:rsidR="005B6A38" w:rsidRDefault="005B6A38">
                  <w:pPr>
                    <w:spacing w:line="160" w:lineRule="exact"/>
                    <w:jc w:val="left"/>
                    <w:rPr>
                      <w:rFonts w:cs="Miriam"/>
                      <w:noProof/>
                      <w:szCs w:val="18"/>
                      <w:rtl/>
                    </w:rPr>
                  </w:pPr>
                  <w:r>
                    <w:rPr>
                      <w:rFonts w:cs="Miriam"/>
                      <w:szCs w:val="18"/>
                      <w:rtl/>
                    </w:rPr>
                    <w:t>ה</w:t>
                  </w:r>
                  <w:r>
                    <w:rPr>
                      <w:rFonts w:cs="Miriam" w:hint="cs"/>
                      <w:szCs w:val="18"/>
                      <w:rtl/>
                    </w:rPr>
                    <w:t>פרוצדורה</w:t>
                  </w:r>
                </w:p>
                <w:p w14:paraId="1A5CCC88" w14:textId="77777777" w:rsidR="005B6A38" w:rsidRDefault="005B6A38">
                  <w:pPr>
                    <w:spacing w:line="160" w:lineRule="exact"/>
                    <w:jc w:val="left"/>
                    <w:rPr>
                      <w:rFonts w:cs="Miriam"/>
                      <w:noProof/>
                      <w:szCs w:val="18"/>
                      <w:rtl/>
                    </w:rPr>
                  </w:pPr>
                  <w:r>
                    <w:rPr>
                      <w:rFonts w:cs="Miriam"/>
                      <w:szCs w:val="18"/>
                      <w:rtl/>
                    </w:rPr>
                    <w:t>כ</w:t>
                  </w:r>
                  <w:r>
                    <w:rPr>
                      <w:rFonts w:cs="Miriam" w:hint="cs"/>
                      <w:szCs w:val="18"/>
                      <w:rtl/>
                    </w:rPr>
                    <w:t>שסירבו לחדש</w:t>
                  </w:r>
                </w:p>
                <w:p w14:paraId="751F500D" w14:textId="77777777" w:rsidR="005B6A38" w:rsidRDefault="005B6A38">
                  <w:pPr>
                    <w:spacing w:line="160" w:lineRule="exact"/>
                    <w:jc w:val="left"/>
                    <w:rPr>
                      <w:rFonts w:cs="Miriam"/>
                      <w:szCs w:val="18"/>
                      <w:rtl/>
                    </w:rPr>
                  </w:pPr>
                  <w:r>
                    <w:rPr>
                      <w:rFonts w:cs="Miriam"/>
                      <w:szCs w:val="18"/>
                      <w:rtl/>
                    </w:rPr>
                    <w:t>א</w:t>
                  </w:r>
                  <w:r>
                    <w:rPr>
                      <w:rFonts w:cs="Miriam" w:hint="cs"/>
                      <w:szCs w:val="18"/>
                      <w:rtl/>
                    </w:rPr>
                    <w:t xml:space="preserve">ת הרשיון או </w:t>
                  </w:r>
                </w:p>
                <w:p w14:paraId="4D4EE9F9" w14:textId="77777777" w:rsidR="005B6A38" w:rsidRDefault="005B6A38">
                  <w:pPr>
                    <w:spacing w:line="160" w:lineRule="exact"/>
                    <w:jc w:val="left"/>
                    <w:rPr>
                      <w:rFonts w:cs="Miriam"/>
                      <w:szCs w:val="18"/>
                      <w:rtl/>
                    </w:rPr>
                  </w:pPr>
                  <w:r>
                    <w:rPr>
                      <w:rFonts w:cs="Miriam"/>
                      <w:szCs w:val="18"/>
                      <w:rtl/>
                    </w:rPr>
                    <w:t>כ</w:t>
                  </w:r>
                  <w:r>
                    <w:rPr>
                      <w:rFonts w:cs="Miriam" w:hint="cs"/>
                      <w:szCs w:val="18"/>
                      <w:rtl/>
                    </w:rPr>
                    <w:t>שלא שולמו</w:t>
                  </w:r>
                  <w:r>
                    <w:rPr>
                      <w:rFonts w:cs="Miriam"/>
                      <w:szCs w:val="18"/>
                      <w:rtl/>
                    </w:rPr>
                    <w:t xml:space="preserve"> </w:t>
                  </w:r>
                </w:p>
                <w:p w14:paraId="6772DAFC" w14:textId="77777777" w:rsidR="005B6A38" w:rsidRDefault="005B6A38">
                  <w:pPr>
                    <w:spacing w:line="160" w:lineRule="exact"/>
                    <w:jc w:val="left"/>
                    <w:rPr>
                      <w:rFonts w:cs="Miriam"/>
                      <w:noProof/>
                      <w:szCs w:val="18"/>
                      <w:rtl/>
                    </w:rPr>
                  </w:pPr>
                  <w:r>
                    <w:rPr>
                      <w:rFonts w:cs="Miriam"/>
                      <w:szCs w:val="18"/>
                      <w:rtl/>
                    </w:rPr>
                    <w:t>א</w:t>
                  </w:r>
                  <w:r>
                    <w:rPr>
                      <w:rFonts w:cs="Miriam" w:hint="cs"/>
                      <w:szCs w:val="18"/>
                      <w:rtl/>
                    </w:rPr>
                    <w:t>גרות החידוש</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כשהרשות המוסמכת למתן רשיונות מסרבת לחדש רשיון לכלי יריה, או כשבעל הרשיון אין בידו לשלם את האגרות הדרושות בעד חידוש הרשיון, על בעל הרשיון למסור את כלי היריה לקצין הממונה על תחנת המשטרה הקרובה ביותר למקום מגוריו של בעל הרשיון.</w:t>
      </w:r>
    </w:p>
    <w:p w14:paraId="5BE74A8A" w14:textId="77777777" w:rsidR="005B6A38" w:rsidRDefault="005B6A3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בעל הרשיון להדביק למחסן כלי היריה שלו פתק שיציין את שמו, מקום מגוריו ותאור כלי היריה.</w:t>
      </w:r>
    </w:p>
    <w:p w14:paraId="532372AA" w14:textId="77777777" w:rsidR="005B6A38" w:rsidRDefault="005B6A38">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כלי היריה יהא שמור שנה אחת בתחנת המשטרה.</w:t>
      </w:r>
    </w:p>
    <w:p w14:paraId="11F2B821" w14:textId="77777777" w:rsidR="005B6A38" w:rsidRDefault="005B6A38">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בתחנת המשטרה ינהלו פנקס של כל כלי היריה שהופקדו כאמור ובו יפורטו שם הבעלים ומקום מגוריו ותאור כלי היריה.</w:t>
      </w:r>
    </w:p>
    <w:p w14:paraId="278E91B2" w14:textId="77777777" w:rsidR="005B6A38" w:rsidRDefault="005B6A38">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אם עברה</w:t>
      </w:r>
      <w:r>
        <w:rPr>
          <w:rStyle w:val="default"/>
          <w:rFonts w:cs="FrankRuehl"/>
          <w:rtl/>
        </w:rPr>
        <w:t xml:space="preserve"> </w:t>
      </w:r>
      <w:r>
        <w:rPr>
          <w:rStyle w:val="default"/>
          <w:rFonts w:cs="FrankRuehl" w:hint="cs"/>
          <w:rtl/>
        </w:rPr>
        <w:t>שנה ולא קיבל בעל כלי היריה רשיון, ישלחו את כלי היריה למשרד הראשי של המשטרה על מנת שיהא שמור בירושלים.</w:t>
      </w:r>
    </w:p>
    <w:p w14:paraId="23782CFD" w14:textId="77777777" w:rsidR="005B6A38" w:rsidRDefault="005B6A38">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ישמרוהו באותם מחסנים למשך עוד שנה אחת, ואם כתום אותו המועד לא קיבלו הבעלים רשיון, ישמידו את כלי היריה או ינהגו בו באופן אחר ככל אשר יצווה המפקח הכלל</w:t>
      </w:r>
      <w:r>
        <w:rPr>
          <w:rStyle w:val="default"/>
          <w:rFonts w:cs="FrankRuehl"/>
          <w:rtl/>
        </w:rPr>
        <w:t>י</w:t>
      </w:r>
      <w:r>
        <w:rPr>
          <w:rStyle w:val="default"/>
          <w:rFonts w:cs="FrankRuehl" w:hint="cs"/>
          <w:rtl/>
        </w:rPr>
        <w:t xml:space="preserve"> של המשטרה.</w:t>
      </w:r>
    </w:p>
    <w:p w14:paraId="546298C9" w14:textId="77777777" w:rsidR="005B6A38" w:rsidRDefault="005B6A38">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לא ישולם כל פיצוי לבעליו של כלי היריה שהשמידוהו בהתאם להוראות תקנה זו.</w:t>
      </w:r>
    </w:p>
    <w:p w14:paraId="658C3DAB" w14:textId="77777777" w:rsidR="005B6A38" w:rsidRDefault="005B6A38">
      <w:pPr>
        <w:pStyle w:val="P00"/>
        <w:spacing w:before="72"/>
        <w:ind w:left="0" w:right="1134"/>
        <w:rPr>
          <w:rStyle w:val="default"/>
          <w:rFonts w:cs="FrankRuehl"/>
          <w:rtl/>
        </w:rPr>
      </w:pPr>
    </w:p>
    <w:p w14:paraId="5026C37A" w14:textId="77777777" w:rsidR="005B6A38" w:rsidRDefault="005B6A38">
      <w:pPr>
        <w:pStyle w:val="P00"/>
        <w:spacing w:before="72"/>
        <w:ind w:left="0" w:right="1134"/>
        <w:rPr>
          <w:rStyle w:val="default"/>
          <w:rFonts w:cs="FrankRuehl"/>
          <w:rtl/>
        </w:rPr>
      </w:pPr>
    </w:p>
    <w:p w14:paraId="7A2610E9" w14:textId="77777777" w:rsidR="005B6A38" w:rsidRDefault="005B6A38">
      <w:pPr>
        <w:ind w:right="1134"/>
        <w:rPr>
          <w:rtl/>
        </w:rPr>
      </w:pPr>
      <w:bookmarkStart w:id="3" w:name="LawPartEnd"/>
    </w:p>
    <w:bookmarkEnd w:id="3"/>
    <w:p w14:paraId="2163A293" w14:textId="77777777" w:rsidR="005B6A38" w:rsidRDefault="005B6A38">
      <w:pPr>
        <w:ind w:right="1134"/>
        <w:rPr>
          <w:rtl/>
        </w:rPr>
      </w:pPr>
    </w:p>
    <w:sectPr w:rsidR="005B6A38">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40F0" w14:textId="77777777" w:rsidR="005B6A38" w:rsidRDefault="005B6A38">
      <w:r>
        <w:separator/>
      </w:r>
    </w:p>
  </w:endnote>
  <w:endnote w:type="continuationSeparator" w:id="0">
    <w:p w14:paraId="14402C62" w14:textId="77777777" w:rsidR="005B6A38" w:rsidRDefault="005B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C6CD" w14:textId="77777777" w:rsidR="005B6A38" w:rsidRDefault="005B6A3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BB6F9A" w14:textId="77777777" w:rsidR="005B6A38" w:rsidRDefault="005B6A3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B54B93" w14:textId="77777777" w:rsidR="005B6A38" w:rsidRDefault="005B6A3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5FF3" w14:textId="77777777" w:rsidR="005B6A38" w:rsidRDefault="005B6A3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62FCA">
      <w:rPr>
        <w:rFonts w:hAnsi="FrankRuehl" w:cs="FrankRuehl"/>
        <w:noProof/>
        <w:sz w:val="24"/>
        <w:szCs w:val="24"/>
        <w:rtl/>
      </w:rPr>
      <w:t>2</w:t>
    </w:r>
    <w:r>
      <w:rPr>
        <w:rFonts w:hAnsi="FrankRuehl" w:cs="FrankRuehl"/>
        <w:sz w:val="24"/>
        <w:szCs w:val="24"/>
        <w:rtl/>
      </w:rPr>
      <w:fldChar w:fldCharType="end"/>
    </w:r>
  </w:p>
  <w:p w14:paraId="6FECA4B9" w14:textId="77777777" w:rsidR="005B6A38" w:rsidRDefault="005B6A3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7836EE" w14:textId="77777777" w:rsidR="005B6A38" w:rsidRDefault="005B6A3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M:\0a-lishca\law\gideon-03-02-13\law01\188_003.doc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6DAB" w14:textId="77777777" w:rsidR="005B6A38" w:rsidRDefault="005B6A38">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E582" w14:textId="77777777" w:rsidR="005B6A38" w:rsidRDefault="005B6A38">
      <w:r>
        <w:separator/>
      </w:r>
    </w:p>
  </w:footnote>
  <w:footnote w:type="continuationSeparator" w:id="0">
    <w:p w14:paraId="7740A84C" w14:textId="77777777" w:rsidR="005B6A38" w:rsidRDefault="005B6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36EA" w14:textId="77777777" w:rsidR="005B6A38" w:rsidRDefault="005B6A3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כלי היריה</w:t>
    </w:r>
  </w:p>
  <w:p w14:paraId="09B4742C" w14:textId="77777777" w:rsidR="005B6A38" w:rsidRDefault="005B6A3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D96232" w14:textId="77777777" w:rsidR="005B6A38" w:rsidRDefault="005B6A3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F7F2" w14:textId="77777777" w:rsidR="005B6A38" w:rsidRDefault="005B6A3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כלי היריה</w:t>
    </w:r>
  </w:p>
  <w:p w14:paraId="6A0204E2" w14:textId="77777777" w:rsidR="005B6A38" w:rsidRDefault="005B6A3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82499C" w14:textId="77777777" w:rsidR="005B6A38" w:rsidRDefault="005B6A38">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A1FD" w14:textId="77777777" w:rsidR="005B6A38" w:rsidRDefault="005B6A38">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2FCA"/>
    <w:rsid w:val="00184B54"/>
    <w:rsid w:val="00462FCA"/>
    <w:rsid w:val="005B6A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FA5D4E"/>
  <w15:chartTrackingRefBased/>
  <w15:docId w15:val="{5EEDD264-8206-4526-A3DE-27F225AE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188</vt:lpstr>
    </vt:vector>
  </TitlesOfParts>
  <Company/>
  <LinksUpToDate>false</LinksUpToDate>
  <CharactersWithSpaces>2290</CharactersWithSpaces>
  <SharedDoc>false</SharedDoc>
  <HLinks>
    <vt:vector size="18"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188</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0188</vt:lpwstr>
  </property>
  <property fmtid="{D5CDD505-2E9C-101B-9397-08002B2CF9AE}" pid="3" name="CHNAME">
    <vt:lpwstr>כלי יריה</vt:lpwstr>
  </property>
  <property fmtid="{D5CDD505-2E9C-101B-9397-08002B2CF9AE}" pid="4" name="LAWNAME">
    <vt:lpwstr>תקנות כלי היריה</vt:lpwstr>
  </property>
  <property fmtid="{D5CDD505-2E9C-101B-9397-08002B2CF9AE}" pid="5" name="LAWNUMBER">
    <vt:lpwstr>0003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כלי יריה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