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BE0" w:rsidRDefault="00933BE0" w:rsidP="0025550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לביצוע אמנת האג 1970 (גביית ראיות), תשל"ז</w:t>
      </w:r>
      <w:r w:rsidR="00255501">
        <w:rPr>
          <w:rFonts w:hint="cs"/>
          <w:rtl/>
        </w:rPr>
        <w:t>-</w:t>
      </w:r>
      <w:r>
        <w:rPr>
          <w:rtl/>
        </w:rPr>
        <w:t>1977</w:t>
      </w:r>
    </w:p>
    <w:p w:rsidR="00160ECC" w:rsidRDefault="00160ECC" w:rsidP="00160ECC">
      <w:pPr>
        <w:spacing w:line="320" w:lineRule="auto"/>
        <w:jc w:val="left"/>
        <w:rPr>
          <w:rFonts w:hint="cs"/>
          <w:rtl/>
        </w:rPr>
      </w:pPr>
    </w:p>
    <w:p w:rsidR="000530D8" w:rsidRDefault="000530D8" w:rsidP="00160ECC">
      <w:pPr>
        <w:spacing w:line="320" w:lineRule="auto"/>
        <w:jc w:val="left"/>
        <w:rPr>
          <w:rFonts w:hint="cs"/>
          <w:rtl/>
        </w:rPr>
      </w:pPr>
    </w:p>
    <w:p w:rsidR="00160ECC" w:rsidRDefault="00160ECC" w:rsidP="00160ECC">
      <w:pPr>
        <w:spacing w:line="320" w:lineRule="auto"/>
        <w:jc w:val="left"/>
        <w:rPr>
          <w:rFonts w:cs="FrankRuehl"/>
          <w:szCs w:val="26"/>
          <w:rtl/>
        </w:rPr>
      </w:pPr>
      <w:r w:rsidRPr="00160ECC">
        <w:rPr>
          <w:rFonts w:cs="Miriam"/>
          <w:szCs w:val="22"/>
          <w:rtl/>
        </w:rPr>
        <w:t>בתי משפט וסדרי דין</w:t>
      </w:r>
      <w:r w:rsidRPr="00160ECC">
        <w:rPr>
          <w:rFonts w:cs="FrankRuehl"/>
          <w:szCs w:val="26"/>
          <w:rtl/>
        </w:rPr>
        <w:t xml:space="preserve"> – ראיות – עדות</w:t>
      </w:r>
    </w:p>
    <w:p w:rsidR="00160ECC" w:rsidRPr="00160ECC" w:rsidRDefault="00160ECC" w:rsidP="00160ECC">
      <w:pPr>
        <w:spacing w:line="320" w:lineRule="auto"/>
        <w:jc w:val="left"/>
        <w:rPr>
          <w:rFonts w:cs="Miriam"/>
          <w:szCs w:val="22"/>
          <w:rtl/>
        </w:rPr>
      </w:pPr>
      <w:r w:rsidRPr="00160ECC">
        <w:rPr>
          <w:rFonts w:cs="Miriam"/>
          <w:szCs w:val="22"/>
          <w:rtl/>
        </w:rPr>
        <w:t>משפט בינ"ל פומבי</w:t>
      </w:r>
      <w:r w:rsidRPr="00160ECC">
        <w:rPr>
          <w:rFonts w:cs="FrankRuehl"/>
          <w:szCs w:val="26"/>
          <w:rtl/>
        </w:rPr>
        <w:t xml:space="preserve"> – אמנות</w:t>
      </w:r>
    </w:p>
    <w:p w:rsidR="00933BE0" w:rsidRDefault="00933BE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1" w:tooltip="מטרה ופי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מטרה ופירוש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2" w:tooltip="העברת בקשה לרשות שיפוט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בקשה לרשות שיפוטית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3" w:tooltip="תרגום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תרגום הבקשה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4" w:tooltip="אימתי מסרבים לבצע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אימתי מסרבים לבצע בקשה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5" w:tooltip="ביצוע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הבקשה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6" w:tooltip="הודעה על מקום ומועד ביצוע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מקום ומועד ביצוע הבקשה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7" w:tooltip="אמצעי כפי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אמצעי כפייה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8" w:tooltip="זכות שלא למסור רא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שלא למסור ראיה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9" w:tooltip="פטור מ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מהוצאות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10" w:tooltip="אישור על ביצוע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על ביצוע הבקשה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11" w:tooltip="העברת בקשה לרשות ז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בקשה לרשות זרה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12" w:tooltip="תוכן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תוכן הבקשה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13" w:tooltip="ערבון ו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ערבון והוצאות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14" w:tooltip="תחולת תקנות קוד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תקנות קודמות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1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Seif1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933BE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5550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933BE0" w:rsidRDefault="00933BE0">
            <w:pPr>
              <w:spacing w:line="240" w:lineRule="auto"/>
              <w:rPr>
                <w:sz w:val="24"/>
              </w:rPr>
            </w:pPr>
          </w:p>
        </w:tc>
      </w:tr>
    </w:tbl>
    <w:p w:rsidR="00933BE0" w:rsidRDefault="00933BE0">
      <w:pPr>
        <w:pStyle w:val="big-header"/>
        <w:ind w:left="0" w:right="1134"/>
        <w:rPr>
          <w:rtl/>
        </w:rPr>
      </w:pPr>
    </w:p>
    <w:p w:rsidR="00933BE0" w:rsidRDefault="00933BE0" w:rsidP="00160EC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לביצוע אמנת הא</w:t>
      </w:r>
      <w:r>
        <w:rPr>
          <w:rtl/>
        </w:rPr>
        <w:t>ג</w:t>
      </w:r>
      <w:r>
        <w:rPr>
          <w:rFonts w:hint="cs"/>
          <w:rtl/>
        </w:rPr>
        <w:t xml:space="preserve"> 1970 (גביית ראיות), תשל"ז</w:t>
      </w:r>
      <w:r w:rsidR="00255501">
        <w:rPr>
          <w:rFonts w:hint="cs"/>
          <w:rtl/>
        </w:rPr>
        <w:t>-</w:t>
      </w:r>
      <w:r>
        <w:rPr>
          <w:rFonts w:hint="cs"/>
          <w:rtl/>
        </w:rPr>
        <w:t>1977</w:t>
      </w:r>
      <w:r w:rsidR="00255501">
        <w:rPr>
          <w:rStyle w:val="a6"/>
          <w:rtl/>
        </w:rPr>
        <w:footnoteReference w:customMarkFollows="1" w:id="1"/>
        <w:t>*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עזרה משפטית למדינות חוץ [נוסח משולב], תשל"ז</w:t>
      </w:r>
      <w:r w:rsidR="002555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1977, סעיף 46 לחוק בתי המשפט, תשי"ז</w:t>
      </w:r>
      <w:r w:rsidR="002555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סעיף 59 לפקודת הראיות [נוסח חדש], תשל"א</w:t>
      </w:r>
      <w:r w:rsidR="002555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1971, ושאר הסמכויות הנתונות לי לפי כל דין, אני מתקין תקנות אל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: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49024" o:allowincell="f" filled="f" stroked="f" strokecolor="lime" strokeweight=".25pt">
            <v:textbox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255501">
        <w:rPr>
          <w:rStyle w:val="default"/>
          <w:rFonts w:cs="FrankRuehl"/>
          <w:rtl/>
        </w:rPr>
        <w:t>–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האמנה" </w:t>
      </w:r>
      <w:r w:rsidR="00A27BF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האמנה בדבר גביית ראיות בחוץ לארץ בענינים אזרחיים או מסחריים שנחתמה בהאג ביום 18 במרס 1970;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מדינת האמנה" </w:t>
      </w:r>
      <w:r w:rsidR="00A27BF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אחת המדינות המפורטות בתוספת;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בקשה לגביית ראיות" או "בקשה" </w:t>
      </w:r>
      <w:r w:rsidR="00A27BF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בקשה לפעולה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שיפוטית אחרת בענין אזרחי או מסחרי אך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למעט בקשה להמצאת מסמכים משפטיים, לאכיפת פסק דין או למתן צו זמני לעקול או לאמצעי מנע אחרים;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שיפוטית" </w:t>
      </w:r>
      <w:r w:rsidR="00A27BF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בית משפט או בית דין בישראל, לרבות רשם של בית משפט;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מבקשת" </w:t>
      </w:r>
      <w:r w:rsidR="00A27BF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 משפט או גוף שיפוטי אחר של מדינת האמנה;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מנהל בתי המשפט" </w:t>
      </w:r>
      <w:r w:rsidR="00A27BF1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השופט ששר המש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טים מינהו על ביצועם של סדרי המינהל של בתי המשפט על פי סעיף 14 לחוק השופטים, תשי"ג</w:t>
      </w:r>
      <w:r w:rsidR="002555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1953, וכל מי שמנהל בתי המשפט מינה לענין תקנות אלה.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0048" o:allowincell="f" filled="f" stroked="f" strokecolor="lime" strokeweight=".25pt">
            <v:textbox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טרה ופירוש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לביצוע האמנה ויפורשו אתה כאחד.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pt;z-index:251651072" o:allowincell="f" filled="f" stroked="f" strokecolor="lime" strokeweight=".25pt">
            <v:textbox inset="0,0,0,0">
              <w:txbxContent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עברת בקשה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רשות שיפוטית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לגביית ראיות בישראל תכיל את הפרטים האמורים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בתקנה 13 בשינו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 המחוייבים לפי הענין ותוגש על ידי הרשות המבקשת למנהל בתי המשפט, שישמש הרשות המרכזית על פי האמנה לקבלת בקשות.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צויינה בבקשה רשות שיפוטית שאליה מופנית הבקשה, יעבירה מנהל בתי המשפט לאותה רשות.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היתה הרשות השיפוטית שאליה הופנתה הבקשה מוסמכת לבצעה, ויש רשות שיפוטית אחרת שמוסמכת לכך, או לא פורשה בבקשה אף רשות שיפוטית, יעביר מנהל בתי המשפט 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הבקשה לרשות השיפוטית המוסמכת.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קיבלה רשות שיפוטית בקשה כאמור והחליטה שביצועה הוא בסמכותה של רשות שיפוטית אחרת, תעביר את הבקשה לאותה רשות שיפוטית ותודיע על כך למנהל בית המשפט.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2096" o:allowincell="f" filled="f" stroked="f" strokecolor="lime" strokeweight=".25pt">
            <v:textbox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רגום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שלא נערכה בעברית, בערבית, באנגלית או בצרפתית, יצורף אליה תרגום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לאחת השפות האלה.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התרגום יאומת על ידי נציג דיפלומטי או קונסולרי של ישראל או של מדינת הרשות המבקשת או על ידי מי שרשאי לאמת תרגומים בישראל או באותה מדינה.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4pt;z-index:251653120" o:allowincell="f" filled="f" stroked="f" strokecolor="lime" strokeweight=".25pt">
            <v:textbox inset="0,0,0,0">
              <w:txbxContent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ימתי מסרבים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בצע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בתי המשפט רשאי לסרב להעביר בקשה לרשות שיפוטית רק מאחד הטעמים האלה: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הבקשה אינה תוא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 לדעתו את הוראות האמנה;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ביצוע הבקשה אינו בסמכותה של שום רשות שיפוטית בישראל;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סבור שביצוע הבקשה עלול לפגוע בריבונותה של ישראל או בבטחונה.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החליט מנהל בתי המשפט שאין להעביר את הבקשה לרשות שיפוטית מאחד הטעמים המפורטים בתקנת משנה (א), יחזירה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רשות המבקשת ויודיע לה את טעם הסירוב; החליט כן מהטעם האמור בתקנת משנה (א)(1), יפרש בהודעה את אי ההתאמה.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בביצוע הבקשה תנהג הרשות השיפוטית לפי סדרי הדין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הנהוגים בבתי המשפט בישראל.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נתבקשה רשות שיפוטית לבצע בקשה בדרך מיוחדת, תבוצע הבקשה כמבוקש, ז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לת אם הביצוע בדרך המיוחדת נוגד את דיני ישראל או אינו אפשרי נוכח סדרי הדין הנהוגים בישראל או מטעמים אחרים.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4pt;z-index:251655168" o:allowincell="f" filled="f" stroked="f" strokecolor="lime" strokeweight=".25pt">
            <v:textbox inset="0,0,0,0">
              <w:txbxContent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ודעה על מקום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מועד ביצוע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יקשה הרשות המבקשת שיודיעו לה על המקום והמועד לביצוע הבקשה למען אפשר לבעלי הדין או לבאי כחם להיות נוכחים, תשלח הרשות הש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פוטית הודעה על כך לרשות המבקשת זמן סביר לפני הביצוע; הודעה זו תישלח ישירות לבעלי הדין הנוגעים לדבר או לבאי כחם, אם ביקשה ז</w:t>
      </w:r>
      <w:r w:rsidR="000530D8">
        <w:rPr>
          <w:rStyle w:val="default"/>
          <w:rFonts w:cs="FrankRuehl" w:hint="cs"/>
          <w:rtl/>
        </w:rPr>
        <w:t>את הרשות המבקשת.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1.15pt;z-index:251656192" o:allowincell="f" filled="f" stroked="f" strokecolor="lime" strokeweight=".25pt">
            <v:textbox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מצעי כפייה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ביצוע בקשה תיזקק הרשות השיפוטית לאמצעי הכפייה העומדים לרשותה על פי דין לענין</w:t>
      </w:r>
      <w:r w:rsidR="000530D8">
        <w:rPr>
          <w:rStyle w:val="default"/>
          <w:rFonts w:cs="FrankRuehl" w:hint="cs"/>
          <w:rtl/>
        </w:rPr>
        <w:t xml:space="preserve"> הליכים אזרחיים המתנהלים בפניה.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23.05pt;z-index:251657216" o:allowincell="f" filled="f" stroked="f" strokecolor="lime" strokeweight=".25pt">
            <v:textbox inset="0,0,0,0">
              <w:txbxContent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כות שלא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מסור ראיה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אף האמור בתקנה 8, בביצוע הבקשה לא יהא אדם חייב למסור ראיה אם אין הוא חייב לעשות כן לפי דיני ישראל או, אם הרשות המבקשת אישרה זאת, ג</w:t>
      </w:r>
      <w:r w:rsidR="000530D8">
        <w:rPr>
          <w:rStyle w:val="default"/>
          <w:rFonts w:cs="FrankRuehl" w:hint="cs"/>
          <w:rtl/>
        </w:rPr>
        <w:t>ם לפי דיני מדינות הרשות המבקשת.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6.3pt;z-index:251658240" o:allowincell="f" filled="f" stroked="f" strokecolor="lime" strokeweight=".25pt">
            <v:textbox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מהוצאות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יצוע בקשה וכל פעולה הקשורה בכך לא יהיו טעונים מס, אגרה או תשלום הוצאות, פרט לתשלו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שכרם של מומחים ומתורגמנים, ופרט להוצאות מיוחדות שנגרמו עקב ביצוע ה</w:t>
      </w:r>
      <w:r w:rsidR="000530D8">
        <w:rPr>
          <w:rStyle w:val="default"/>
          <w:rFonts w:cs="FrankRuehl" w:hint="cs"/>
          <w:rtl/>
        </w:rPr>
        <w:t>בקשה בדרך מיוחדת לפי תקנה 6(ב).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20.8pt;z-index:251659264" o:allowincell="f" filled="f" stroked="f" strokecolor="lime" strokeweight=".25pt">
            <v:textbox inset="0,0,0,0">
              <w:txbxContent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ישור על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בוצעה הבקשה, תעביר הרשות השיפוטית למנהל בתי המ</w:t>
      </w:r>
      <w:r w:rsidR="000530D8">
        <w:rPr>
          <w:rStyle w:val="default"/>
          <w:rFonts w:cs="FrankRuehl" w:hint="cs"/>
          <w:rtl/>
        </w:rPr>
        <w:t>שפט תעודה הקובעת את דבר הביצוע.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לתעודה יצורף חשבון המפרט את התשלומים שיש להחזירם.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בוצע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הבקשה, תחזיר הרשות השיפוטית למנהל בתי-המשפט את הבקשה בצירוף תעודה המפרטת את הסיבה שמנעה בעד הביצוע.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בתי המשפט יעביר א</w:t>
      </w:r>
      <w:r w:rsidR="000530D8">
        <w:rPr>
          <w:rStyle w:val="default"/>
          <w:rFonts w:cs="FrankRuehl" w:hint="cs"/>
          <w:rtl/>
        </w:rPr>
        <w:t>ת התעודות האמורות לרשות המבקשת.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20.3pt;z-index:251660288" o:allowincell="f" filled="f" stroked="f" strokecolor="lime" strokeweight=".25pt">
            <v:textbox inset="0,0,0,0">
              <w:txbxContent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עברת בקשה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רשות זרה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החליטה רשות שיפוטית שיש לבצע בקשה במדינת האמנה, תעביר את הבקשה, שתהא ערוכה על פי הורא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תקנה 13, למנהל בתי-המשפט אשר יעבירה לרשות המרכזית באותה מדינה אשר נתמנתה על פי הוראת האמנה.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הבקשה תיערך באנגלית או בצרפתית או</w:t>
      </w:r>
      <w:r w:rsidR="000530D8">
        <w:rPr>
          <w:rStyle w:val="default"/>
          <w:rFonts w:cs="FrankRuehl" w:hint="cs"/>
          <w:rtl/>
        </w:rPr>
        <w:t xml:space="preserve"> בשפת מדינת האמנה הנוגעת לענין.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3.75pt;z-index:251661312" o:allowincell="f" filled="f" stroked="f" strokecolor="lime" strokeweight=".25pt">
            <v:textbox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וכן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בבקשה לגביית ראיות יצויינו פרטים אלה ככל שהם נוגעים לענין: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הרשות השיפוטית המבקשת את ביצוע הבקשה, וכן הרשות המתבקשת לבצעה;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שמותיהם ומעניהם של בעלי הדין ובאי כוחם;</w:t>
      </w:r>
    </w:p>
    <w:p w:rsidR="00933BE0" w:rsidRDefault="00933BE0" w:rsidP="000530D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טיבם של ההליכים שבהם דרושה הראיה וסיכום</w:t>
      </w:r>
      <w:r>
        <w:rPr>
          <w:rStyle w:val="default"/>
          <w:rFonts w:cs="FrankRuehl"/>
          <w:rtl/>
        </w:rPr>
        <w:t xml:space="preserve"> </w:t>
      </w:r>
      <w:r w:rsidR="000530D8">
        <w:rPr>
          <w:rStyle w:val="default"/>
          <w:rFonts w:cs="FrankRuehl" w:hint="cs"/>
          <w:rtl/>
        </w:rPr>
        <w:t>העובדות;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הראיה שיש לגבותה או הפעולה האחרת שיש לבצעה;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שמותיהם ומעניהם של הנחקרים;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ות שיש להציגן לנחקרים או תיאור הנושא שאודותיו יש לחקרם;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מסמכים או נכסים אחרים שיש לבדקם;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דרישה לגבות עדות בשבועה או בהן צדק וצורתם;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דרך מיוחדת לביצוע הבקשה.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במקרים ראויים, יצורפו לבקשה: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ידיעה בדבר </w:t>
      </w:r>
      <w:r w:rsidR="000530D8">
        <w:rPr>
          <w:rStyle w:val="default"/>
          <w:rFonts w:cs="FrankRuehl" w:hint="cs"/>
          <w:rtl/>
        </w:rPr>
        <w:t>חסינותו של עד בפני כפייה להעיד;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קשת הרשות השיפוטית שנציג</w:t>
      </w:r>
      <w:r w:rsidR="000530D8">
        <w:rPr>
          <w:rStyle w:val="default"/>
          <w:rFonts w:cs="FrankRuehl" w:hint="cs"/>
          <w:rtl/>
        </w:rPr>
        <w:t>יה יהיו נוכחים בעת ביצוע הבקשה.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6.6pt;z-index:251662336" o:allowincell="f" filled="f" stroked="f" strokecolor="lime" strokeweight=".25pt">
            <v:textbox style="mso-next-textbox:#_x0000_s1039"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רבון והוצאות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דין שלפי בקשתו החליטה רשות שיפוטית שיש לבצע בקשה במדינת האמנה יפקיד בקופת הרשות ערבון כפי שיקבע הרשם לבטחון הוצאות אלה, זולת אם החליטה הרשות השיפוטית החלטה אחרת: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הוצאות תרגום הבקשה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חוץ לארץ ולאימות התרגום;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שכר מומחים ומתורגמנים;</w:t>
      </w:r>
    </w:p>
    <w:p w:rsidR="00933BE0" w:rsidRDefault="00933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ההוצאות המיוחדות העשויות להיגרם על ידי ביצוע הבקשה בדרך מיוחדת, אם נתבקש הדבר.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רשאי הרשם על פי בקשה בכתב להתיר מתן ערובה סבירה אחרת להנחת דעתו, במועד ובתנאים שיורה, במקום הערבון כאמור בתקנת משנה</w:t>
      </w:r>
      <w:r>
        <w:rPr>
          <w:rStyle w:val="default"/>
          <w:rFonts w:cs="FrankRuehl"/>
          <w:rtl/>
        </w:rPr>
        <w:t xml:space="preserve"> (</w:t>
      </w:r>
      <w:r w:rsidR="000530D8">
        <w:rPr>
          <w:rStyle w:val="default"/>
          <w:rFonts w:cs="FrankRuehl" w:hint="cs"/>
          <w:rtl/>
        </w:rPr>
        <w:t>א).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10.7pt;z-index:251663360" o:allowincell="f" filled="f" stroked="f" strokecolor="lime" strokeweight=".25pt">
            <v:textbox inset="0,0,0,0">
              <w:txbxContent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חולת תקנות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ודמות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פרק השלישי לתקנות העזרה המשפטית למדינות זרות, תש"ך</w:t>
      </w:r>
      <w:r w:rsidR="002555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הפרק השלישי לתקנות ביצוע אמנת האג (הפרוצדורה האזרחית), תשי"ד</w:t>
      </w:r>
      <w:r w:rsidR="002555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1954, והפרק השלישי לתקנות לביצוע אמנת האג 1954 (סדר הדין האזרחי), תשכ"ט</w:t>
      </w:r>
      <w:r w:rsidR="002555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1968, לא יחולו לגבי מדינות האמנה על גביית ראיות וביצ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 פעולות משפטיות אחרות שתקנות אלה חלות עליהן.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16pt;z-index:251664384" o:allowincell="f" filled="f" stroked="f" strokecolor="lime" strokeweight=".25pt">
            <v:textbox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היא ביום שהאמנה תיכנס לתקפה לגבי ישראל בהתאם להודעת שר המשפטים שתפורסם ברשומות</w:t>
      </w:r>
      <w:r w:rsidR="00255501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>.</w:t>
      </w:r>
    </w:p>
    <w:p w:rsidR="00933BE0" w:rsidRDefault="00933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6"/>
      <w:bookmarkEnd w:id="16"/>
      <w:r>
        <w:rPr>
          <w:lang w:val="he-IL"/>
        </w:rPr>
        <w:pict>
          <v:rect id="_x0000_s1042" style="position:absolute;left:0;text-align:left;margin-left:464.5pt;margin-top:8.05pt;width:75.05pt;height:16pt;z-index:251665408" o:allowincell="f" filled="f" stroked="f" strokecolor="lime" strokeweight=".25pt">
            <v:textbox inset="0,0,0,0">
              <w:txbxContent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לביצוע אמנת האג 1970 (גביית ראיות), תשל"ז</w:t>
      </w:r>
      <w:r w:rsidR="002555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1977</w:t>
      </w:r>
      <w:r>
        <w:rPr>
          <w:rStyle w:val="default"/>
          <w:rFonts w:cs="FrankRuehl"/>
          <w:rtl/>
        </w:rPr>
        <w:t>".</w:t>
      </w:r>
    </w:p>
    <w:p w:rsidR="00255501" w:rsidRDefault="002555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33BE0" w:rsidRPr="000530D8" w:rsidRDefault="00933BE0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17" w:name="med0"/>
      <w:bookmarkEnd w:id="17"/>
      <w:r w:rsidRPr="000530D8">
        <w:rPr>
          <w:noProof/>
          <w:lang w:val="he-IL"/>
        </w:rPr>
        <w:pict>
          <v:rect id="_x0000_s1043" style="position:absolute;left:0;text-align:left;margin-left:464.5pt;margin-top:8.05pt;width:75.05pt;height:61.9pt;z-index:251666432" o:allowincell="f" filled="f" stroked="f" strokecolor="lime" strokeweight=".25pt">
            <v:textbox inset="0,0,0,0">
              <w:txbxContent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תש"ם-1980</w:t>
                  </w:r>
                </w:p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תשמ"ב-1981</w:t>
                  </w:r>
                </w:p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תשמ"ג-1982</w:t>
                  </w:r>
                </w:p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תשמ"ד-1983</w:t>
                  </w:r>
                </w:p>
                <w:p w:rsidR="007335D1" w:rsidRDefault="007335D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תשמ"ח-1988</w:t>
                  </w:r>
                </w:p>
                <w:p w:rsidR="007335D1" w:rsidRDefault="007335D1" w:rsidP="0025550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תשנ"ג-1993</w:t>
                  </w:r>
                </w:p>
                <w:p w:rsidR="007335D1" w:rsidRDefault="007335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תשנ"ה-1995</w:t>
                  </w:r>
                </w:p>
              </w:txbxContent>
            </v:textbox>
            <w10:anchorlock/>
          </v:rect>
        </w:pict>
      </w:r>
      <w:r w:rsidRPr="000530D8">
        <w:rPr>
          <w:noProof/>
          <w:rtl/>
        </w:rPr>
        <w:t>ת</w:t>
      </w:r>
      <w:r w:rsidRPr="000530D8">
        <w:rPr>
          <w:rFonts w:hint="cs"/>
          <w:noProof/>
          <w:rtl/>
        </w:rPr>
        <w:t>וספת</w:t>
      </w:r>
    </w:p>
    <w:p w:rsidR="00933BE0" w:rsidRPr="000530D8" w:rsidRDefault="00933BE0" w:rsidP="000530D8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530D8">
        <w:rPr>
          <w:rStyle w:val="default"/>
          <w:rFonts w:cs="FrankRuehl"/>
          <w:sz w:val="24"/>
          <w:szCs w:val="24"/>
          <w:rtl/>
        </w:rPr>
        <w:t>(</w:t>
      </w:r>
      <w:r w:rsidRPr="000530D8">
        <w:rPr>
          <w:rStyle w:val="default"/>
          <w:rFonts w:cs="FrankRuehl" w:hint="cs"/>
          <w:sz w:val="24"/>
          <w:szCs w:val="24"/>
          <w:rtl/>
        </w:rPr>
        <w:t>תקנה 1)</w:t>
      </w:r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וסטרליה, איטליה, ארגנטינה, ארצות הברית של אמריקה, ברבדוס, הרפובליקה הגרמנית הפדרלית, דנמרק, הולנד, ונצואלה, לוכסמבורג, מונקו, מקסיקו, הממלכה המאוחדת של בריטניה הגדולה וצפון אירלנד, נורבגיה, סינגפור, סלובקיה, ספרד, פורטוגל, פינלנד, צ'כיה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צרפת, קפריסין, שבדיה, שוויץ.</w:t>
      </w:r>
    </w:p>
    <w:p w:rsidR="00933BE0" w:rsidRPr="000530D8" w:rsidRDefault="007335D1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8" w:name="Rov21"/>
      <w:r w:rsidRPr="000530D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11.3.1980</w:t>
      </w:r>
    </w:p>
    <w:p w:rsidR="007335D1" w:rsidRPr="000530D8" w:rsidRDefault="007335D1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תש"ם-1980</w:t>
      </w:r>
    </w:p>
    <w:p w:rsidR="007335D1" w:rsidRPr="000530D8" w:rsidRDefault="007335D1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530D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תש"ם מס' 4099</w:t>
        </w:r>
      </w:hyperlink>
      <w:r w:rsidRPr="000530D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11.3.1980 עמ' 1140</w:t>
      </w:r>
    </w:p>
    <w:p w:rsidR="007335D1" w:rsidRPr="000530D8" w:rsidRDefault="007335D1" w:rsidP="007335D1">
      <w:pPr>
        <w:pStyle w:val="P00"/>
        <w:spacing w:before="72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ארצות הברית של אמריקה,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הרפובליקה הגרמנית הפדרלית,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דנמרק,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לוכסמבורג,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הממלכה המאוחדת של בריטניה הגדולה וצפון אירלנד, נורבגיה,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סינגפור,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פורטוגל, פינלנד, צ'כוסלובקיה</w:t>
      </w:r>
      <w:r w:rsidRPr="000530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צרפת, שבדיה.</w:t>
      </w:r>
    </w:p>
    <w:p w:rsidR="007335D1" w:rsidRPr="000530D8" w:rsidRDefault="007335D1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07333" w:rsidRPr="000530D8" w:rsidRDefault="007335D1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26.10.1981</w:t>
      </w:r>
    </w:p>
    <w:p w:rsidR="007335D1" w:rsidRPr="000530D8" w:rsidRDefault="007335D1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תשמ"ב-1981</w:t>
      </w:r>
    </w:p>
    <w:p w:rsidR="007335D1" w:rsidRPr="000530D8" w:rsidRDefault="007335D1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530D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4279</w:t>
        </w:r>
      </w:hyperlink>
      <w:r w:rsidRPr="000530D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26.10.1981 עמ' 190</w:t>
      </w:r>
    </w:p>
    <w:p w:rsidR="007335D1" w:rsidRPr="000530D8" w:rsidRDefault="007335D1" w:rsidP="007335D1">
      <w:pPr>
        <w:pStyle w:val="P00"/>
        <w:spacing w:before="72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ארצות הברית של אמריקה,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ברבדוס,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הרפובליקה הגרמנית הפדרלית, דנמרק,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הולנד,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לוכסמבורג, הממלכה המאוחדת של בריטניה הגדולה וצפון אירלנד, נורבגיה, סינגפור, פורטוגל, פינלנד, צ'כוסלובקיה</w:t>
      </w:r>
      <w:r w:rsidRPr="000530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צרפת, שבדיה.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23.9.1982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תשמ"ג-1982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530D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4411</w:t>
        </w:r>
      </w:hyperlink>
      <w:r w:rsidRPr="000530D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23.9.1982 עמ' 26</w:t>
      </w:r>
    </w:p>
    <w:p w:rsidR="00E07333" w:rsidRPr="000530D8" w:rsidRDefault="00E07333" w:rsidP="00E07333">
      <w:pPr>
        <w:pStyle w:val="P00"/>
        <w:spacing w:before="72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איטליה,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ארצות הברית של אמריקה, ברבדוס, הרפובליקה הגרמנית הפדרלית, דנמרק, הולנד, לוכסמבורג, הממלכה המאוחדת של בריטניה הגדולה וצפון אירלנד, נורבגיה, סינגפור, פורטוגל, פינלנד, צ'כוסלובקיה</w:t>
      </w:r>
      <w:r w:rsidRPr="000530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צרפת, שבדיה.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20.11.1983</w:t>
      </w:r>
    </w:p>
    <w:p w:rsidR="00E07333" w:rsidRPr="000530D8" w:rsidRDefault="00E07333" w:rsidP="00713B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713B84" w:rsidRPr="000530D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</w:t>
      </w:r>
      <w:r w:rsidRPr="000530D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"ד-1983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="00713B84" w:rsidRPr="000530D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</w:t>
        </w:r>
        <w:r w:rsidRPr="000530D8">
          <w:rPr>
            <w:rStyle w:val="Hyperlink"/>
            <w:rFonts w:hint="cs"/>
            <w:vanish/>
            <w:szCs w:val="20"/>
            <w:shd w:val="clear" w:color="auto" w:fill="FFFF99"/>
            <w:rtl/>
          </w:rPr>
          <w:t>"ד מס' 4559</w:t>
        </w:r>
      </w:hyperlink>
      <w:r w:rsidRPr="000530D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20.11.1983 עמ' 525</w:t>
      </w:r>
    </w:p>
    <w:p w:rsidR="00E07333" w:rsidRPr="000530D8" w:rsidRDefault="00E07333" w:rsidP="00E07333">
      <w:pPr>
        <w:pStyle w:val="P00"/>
        <w:spacing w:before="72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איטליה, ארצות הברית של אמריקה, ברבדוס, הרפובליקה הגרמנית הפדרלית, דנמרק, הולנד, לוכסמבורג, הממלכה המאוחדת של בריטניה הגדולה וצפון אירלנד, נורבגיה, סינגפור, פורטוגל, פינלנד, צ'כוסלובקיה</w:t>
      </w:r>
      <w:r w:rsidRPr="000530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צרפת,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קפריסין,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שבדיה.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25.4.1988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530D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5103</w:t>
        </w:r>
      </w:hyperlink>
      <w:r w:rsidRPr="000530D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25.4.1988 עמ' 750</w:t>
      </w:r>
    </w:p>
    <w:p w:rsidR="00E07333" w:rsidRPr="000530D8" w:rsidRDefault="00E07333" w:rsidP="00E07333">
      <w:pPr>
        <w:pStyle w:val="P00"/>
        <w:spacing w:before="72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איטליה,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ארגנטינה,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ארצות הברית של אמריקה, ברבדוס, הרפובליקה הגרמנית הפדרלית, דנמרק, הולנד, לוכסמבורג,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מונקו,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הממלכה המאוחדת של בריטניה הגדולה וצפון אירלנד, נורבגיה, סינגפור,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ספרד,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פורטוגל, פינלנד, צ'כוסלובקיה</w:t>
      </w:r>
      <w:r w:rsidRPr="000530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צרפת, קפריסין, שבדיה.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24.3.1993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0530D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5511</w:t>
        </w:r>
      </w:hyperlink>
      <w:r w:rsidRPr="000530D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24.3.1993 עמ' 694</w:t>
      </w:r>
    </w:p>
    <w:p w:rsidR="00E07333" w:rsidRPr="000530D8" w:rsidRDefault="00E07333" w:rsidP="00E07333">
      <w:pPr>
        <w:pStyle w:val="P00"/>
        <w:spacing w:before="72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30D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וסטרליה,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איטליה, ארגנטינה, ארצות הברית של אמריקה, ברבדוס, הרפובליקה הגרמנית הפדרלית, דנמרק, הולנד, לוכסמבורג, מונקו,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מקסיקו,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הממלכה המאוחדת של בריטניה הגדולה וצפון אירלנד, נורבגיה, סינגפור, ספרד, פורטוגל, פינלנד, צ'כוסלובקיה</w:t>
      </w:r>
      <w:r w:rsidRPr="000530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צרפת, קפריסין, שבדיה.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29.6.1995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30D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E07333" w:rsidRPr="000530D8" w:rsidRDefault="00E07333" w:rsidP="00E073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0530D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5687</w:t>
        </w:r>
      </w:hyperlink>
      <w:r w:rsidRPr="000530D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29.6.1995 עמ' 1563</w:t>
      </w:r>
    </w:p>
    <w:p w:rsidR="00E07333" w:rsidRPr="00713B84" w:rsidRDefault="00E07333" w:rsidP="00713B84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530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וסטרליה, איטליה, ארגנטינה, ארצות הברית של אמריקה, ברבדוס, הרפובליקה הגרמנית הפדרלית, דנמרק, הולנד,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ונצואלה,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לוכסמבורג, מונקו, מקסיקו, הממלכה המאוחדת של בריטניה הגדולה וצפון אירלנד, נורבגיה, סינגפור,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סלובקיה,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ספרד, פורטוגל, פינלנד, </w:t>
      </w:r>
      <w:r w:rsidRPr="000530D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צ'כוסלובקיה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צ'כיה</w:t>
      </w:r>
      <w:r w:rsidRPr="000530D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צרפת, קפריסין, שבדיה</w:t>
      </w:r>
      <w:r w:rsidRPr="000530D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שוויץ</w:t>
      </w:r>
      <w:r w:rsidRPr="000530D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8"/>
    </w:p>
    <w:p w:rsidR="00933BE0" w:rsidRDefault="00933BE0" w:rsidP="002555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7333" w:rsidRDefault="00E07333" w:rsidP="002555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33BE0" w:rsidRDefault="00933BE0" w:rsidP="00A27BF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בניסן תשל"ז (27 במרס 1977)</w:t>
      </w:r>
      <w:r>
        <w:rPr>
          <w:rtl/>
        </w:rPr>
        <w:tab/>
      </w:r>
      <w:r>
        <w:rPr>
          <w:rFonts w:hint="cs"/>
          <w:rtl/>
        </w:rPr>
        <w:t>חיים י' צדוק</w:t>
      </w:r>
    </w:p>
    <w:p w:rsidR="00933BE0" w:rsidRDefault="00933BE0" w:rsidP="00A27BF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:rsidR="00933BE0" w:rsidRPr="00255501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33BE0" w:rsidRPr="00255501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33BE0" w:rsidRPr="00255501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LawPartEnd"/>
    </w:p>
    <w:bookmarkEnd w:id="19"/>
    <w:p w:rsidR="00933BE0" w:rsidRPr="00255501" w:rsidRDefault="00933BE0" w:rsidP="0025550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33BE0" w:rsidRPr="00255501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2B0E" w:rsidRDefault="00F52B0E">
      <w:pPr>
        <w:spacing w:line="240" w:lineRule="auto"/>
      </w:pPr>
      <w:r>
        <w:separator/>
      </w:r>
    </w:p>
  </w:endnote>
  <w:endnote w:type="continuationSeparator" w:id="0">
    <w:p w:rsidR="00F52B0E" w:rsidRDefault="00F52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35D1" w:rsidRDefault="007335D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335D1" w:rsidRDefault="007335D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335D1" w:rsidRDefault="007335D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D:\Yael\hakika\Revadim\055_222.doc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35D1" w:rsidRDefault="007335D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7BF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335D1" w:rsidRDefault="007335D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335D1" w:rsidRDefault="007335D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D:\Yael\hakika\Revadim\055_222.doc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2B0E" w:rsidRDefault="00F52B0E" w:rsidP="0025550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52B0E" w:rsidRDefault="00F52B0E">
      <w:pPr>
        <w:spacing w:line="240" w:lineRule="auto"/>
      </w:pPr>
      <w:r>
        <w:continuationSeparator/>
      </w:r>
    </w:p>
  </w:footnote>
  <w:footnote w:id="1">
    <w:p w:rsidR="007335D1" w:rsidRDefault="007335D1" w:rsidP="002555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25550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E669F">
          <w:rPr>
            <w:rStyle w:val="Hyperlink"/>
            <w:rFonts w:hint="cs"/>
            <w:sz w:val="20"/>
            <w:rtl/>
          </w:rPr>
          <w:t>ק"ת תשל"ז מס' 3703</w:t>
        </w:r>
      </w:hyperlink>
      <w:r>
        <w:rPr>
          <w:rFonts w:hint="cs"/>
          <w:sz w:val="20"/>
          <w:rtl/>
        </w:rPr>
        <w:t xml:space="preserve"> מיום 1.5.1977 עמ' 1516.</w:t>
      </w:r>
    </w:p>
    <w:p w:rsidR="007335D1" w:rsidRDefault="007335D1" w:rsidP="002555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797439">
        <w:rPr>
          <w:rFonts w:hint="cs"/>
          <w:sz w:val="20"/>
          <w:rtl/>
        </w:rPr>
        <w:t xml:space="preserve">תוקנו </w:t>
      </w:r>
      <w:hyperlink r:id="rId2" w:history="1">
        <w:r w:rsidRPr="00797439">
          <w:rPr>
            <w:rStyle w:val="Hyperlink"/>
            <w:rFonts w:hint="cs"/>
            <w:sz w:val="20"/>
            <w:rtl/>
          </w:rPr>
          <w:t>ק"ת תש"ם מס' 4099</w:t>
        </w:r>
      </w:hyperlink>
      <w:r w:rsidRPr="00797439">
        <w:rPr>
          <w:rFonts w:hint="cs"/>
          <w:sz w:val="20"/>
          <w:rtl/>
        </w:rPr>
        <w:t xml:space="preserve"> מיום 11.3.1980 עמ' 1140 </w:t>
      </w:r>
      <w:r w:rsidRPr="00797439">
        <w:rPr>
          <w:sz w:val="20"/>
          <w:rtl/>
        </w:rPr>
        <w:t>–</w:t>
      </w:r>
      <w:r w:rsidRPr="00797439">
        <w:rPr>
          <w:rFonts w:hint="cs"/>
          <w:sz w:val="20"/>
          <w:rtl/>
        </w:rPr>
        <w:t xml:space="preserve"> תק' תש"ם-1980.</w:t>
      </w:r>
    </w:p>
    <w:p w:rsidR="007335D1" w:rsidRDefault="007335D1" w:rsidP="002555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05721E">
          <w:rPr>
            <w:rStyle w:val="Hyperlink"/>
            <w:rFonts w:hint="cs"/>
            <w:sz w:val="20"/>
            <w:rtl/>
          </w:rPr>
          <w:t>ק"ת תשמ"ב מס' 4279</w:t>
        </w:r>
      </w:hyperlink>
      <w:r>
        <w:rPr>
          <w:rFonts w:hint="cs"/>
          <w:sz w:val="20"/>
          <w:rtl/>
        </w:rPr>
        <w:t xml:space="preserve"> מיום 26.10.1981 עמ' 190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תשמ"ב-1981.</w:t>
      </w:r>
    </w:p>
    <w:p w:rsidR="007335D1" w:rsidRDefault="007335D1" w:rsidP="002555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05721E">
          <w:rPr>
            <w:rStyle w:val="Hyperlink"/>
            <w:rFonts w:hint="cs"/>
            <w:sz w:val="20"/>
            <w:rtl/>
          </w:rPr>
          <w:t>ק"ת תשמ"ג מס' 4411</w:t>
        </w:r>
      </w:hyperlink>
      <w:r>
        <w:rPr>
          <w:rFonts w:hint="cs"/>
          <w:sz w:val="20"/>
          <w:rtl/>
        </w:rPr>
        <w:t xml:space="preserve"> מיום 23.9.1982 עמ' 26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תשמ"ג-1982.</w:t>
      </w:r>
    </w:p>
    <w:p w:rsidR="007335D1" w:rsidRDefault="007335D1" w:rsidP="002555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Pr="0005721E">
          <w:rPr>
            <w:rStyle w:val="Hyperlink"/>
            <w:rFonts w:hint="cs"/>
            <w:sz w:val="20"/>
            <w:rtl/>
          </w:rPr>
          <w:t>ק"ת תשמ"ד מס' 4559</w:t>
        </w:r>
      </w:hyperlink>
      <w:r>
        <w:rPr>
          <w:rFonts w:hint="cs"/>
          <w:sz w:val="20"/>
          <w:rtl/>
        </w:rPr>
        <w:t xml:space="preserve"> מיום 20.11.1983 עמ' 525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תשמ"ד-1983.</w:t>
      </w:r>
    </w:p>
    <w:p w:rsidR="007335D1" w:rsidRDefault="007335D1" w:rsidP="002555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8145CD">
          <w:rPr>
            <w:rStyle w:val="Hyperlink"/>
            <w:rFonts w:hint="cs"/>
            <w:sz w:val="20"/>
            <w:rtl/>
          </w:rPr>
          <w:t>ק"ת תשמ"ח מס' 5103</w:t>
        </w:r>
      </w:hyperlink>
      <w:r>
        <w:rPr>
          <w:rFonts w:hint="cs"/>
          <w:sz w:val="20"/>
          <w:rtl/>
        </w:rPr>
        <w:t xml:space="preserve"> מיום 25.4.1988 עמ' 750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תשמ"ח-1988.</w:t>
      </w:r>
    </w:p>
    <w:p w:rsidR="007335D1" w:rsidRDefault="007335D1" w:rsidP="002555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Pr="004F1A57">
          <w:rPr>
            <w:rStyle w:val="Hyperlink"/>
            <w:rFonts w:hint="cs"/>
            <w:sz w:val="20"/>
            <w:rtl/>
          </w:rPr>
          <w:t>ק"ת תשנ"ג מס' 5511</w:t>
        </w:r>
      </w:hyperlink>
      <w:r>
        <w:rPr>
          <w:rFonts w:hint="cs"/>
          <w:sz w:val="20"/>
          <w:rtl/>
        </w:rPr>
        <w:t xml:space="preserve"> מיום 24.3.1993 עמ' 694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תשנ"ג-1993.</w:t>
      </w:r>
    </w:p>
    <w:p w:rsidR="007335D1" w:rsidRPr="00255501" w:rsidRDefault="007335D1" w:rsidP="002555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8" w:history="1">
        <w:r w:rsidRPr="000140E2">
          <w:rPr>
            <w:rStyle w:val="Hyperlink"/>
            <w:rFonts w:hint="cs"/>
            <w:sz w:val="20"/>
            <w:rtl/>
          </w:rPr>
          <w:t>ק"ת תשנ"ה מס' 5687</w:t>
        </w:r>
      </w:hyperlink>
      <w:r>
        <w:rPr>
          <w:rFonts w:hint="cs"/>
          <w:sz w:val="20"/>
          <w:rtl/>
        </w:rPr>
        <w:t xml:space="preserve"> מיום 29.6.1995 עמ' 1563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תשנ"ה-1995.</w:t>
      </w:r>
    </w:p>
  </w:footnote>
  <w:footnote w:id="2">
    <w:p w:rsidR="007335D1" w:rsidRDefault="007335D1" w:rsidP="00255501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255501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תחילתן ביום 17.9.1979; ר' </w:t>
      </w:r>
      <w:hyperlink r:id="rId9" w:history="1">
        <w:r w:rsidRPr="00255501">
          <w:rPr>
            <w:rStyle w:val="Hyperlink"/>
            <w:rFonts w:cs="FrankRuehl" w:hint="cs"/>
            <w:sz w:val="22"/>
            <w:szCs w:val="22"/>
            <w:rtl/>
          </w:rPr>
          <w:t>י"פ תש"ם מס' 2578</w:t>
        </w:r>
      </w:hyperlink>
      <w:r>
        <w:rPr>
          <w:rFonts w:cs="FrankRuehl" w:hint="cs"/>
          <w:sz w:val="22"/>
          <w:szCs w:val="22"/>
          <w:rtl/>
        </w:rPr>
        <w:t xml:space="preserve"> מיום 15.11.1979</w:t>
      </w:r>
      <w:r w:rsidRPr="00255501">
        <w:rPr>
          <w:rFonts w:cs="FrankRuehl" w:hint="cs"/>
          <w:sz w:val="22"/>
          <w:szCs w:val="22"/>
          <w:rtl/>
        </w:rPr>
        <w:t xml:space="preserve"> עמ' 274, יום </w:t>
      </w:r>
      <w:r>
        <w:rPr>
          <w:rFonts w:cs="FrankRuehl" w:hint="cs"/>
          <w:sz w:val="22"/>
          <w:szCs w:val="22"/>
          <w:rtl/>
        </w:rPr>
        <w:t xml:space="preserve">כניסתה לתוקף לגבי ישראל של </w:t>
      </w:r>
      <w:r w:rsidRPr="00255501">
        <w:rPr>
          <w:rFonts w:cs="FrankRuehl" w:hint="cs"/>
          <w:sz w:val="22"/>
          <w:szCs w:val="22"/>
          <w:rtl/>
        </w:rPr>
        <w:t>אמנת האג משנת 1970 בדבר גביית ראיות בחוץ-לארץ, בענינים אזרחיים או מסחריים.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35D1" w:rsidRDefault="007335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לביצוע אמנת האג 1970 (גביית ראיות), תשל"ז–1977</w:t>
    </w:r>
  </w:p>
  <w:p w:rsidR="007335D1" w:rsidRDefault="007335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335D1" w:rsidRDefault="007335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35D1" w:rsidRDefault="007335D1" w:rsidP="002555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לביצוע אמנת האג 1970 (גביית ראיות), תשל"ז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7335D1" w:rsidRDefault="007335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335D1" w:rsidRDefault="007335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69F"/>
    <w:rsid w:val="000140E2"/>
    <w:rsid w:val="000530D8"/>
    <w:rsid w:val="0005721E"/>
    <w:rsid w:val="00160ECC"/>
    <w:rsid w:val="00255501"/>
    <w:rsid w:val="004E669F"/>
    <w:rsid w:val="004F1A57"/>
    <w:rsid w:val="0063596F"/>
    <w:rsid w:val="00650230"/>
    <w:rsid w:val="006645E6"/>
    <w:rsid w:val="00713B84"/>
    <w:rsid w:val="007335D1"/>
    <w:rsid w:val="00797439"/>
    <w:rsid w:val="008145CD"/>
    <w:rsid w:val="00933BE0"/>
    <w:rsid w:val="00A27BF1"/>
    <w:rsid w:val="00E07333"/>
    <w:rsid w:val="00E36203"/>
    <w:rsid w:val="00F52B0E"/>
    <w:rsid w:val="00FA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8CD900A-BD69-4FAC-9C4C-CA251F8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255501"/>
    <w:rPr>
      <w:sz w:val="20"/>
      <w:szCs w:val="20"/>
    </w:rPr>
  </w:style>
  <w:style w:type="character" w:styleId="a6">
    <w:name w:val="footnote reference"/>
    <w:basedOn w:val="a0"/>
    <w:semiHidden/>
    <w:rsid w:val="002555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411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279.pdf" TargetMode="External"/><Relationship Id="rId12" Type="http://schemas.openxmlformats.org/officeDocument/2006/relationships/hyperlink" Target="http://www.nevo.co.il/Law_word/law06/tak-5687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099.pdf" TargetMode="External"/><Relationship Id="rId11" Type="http://schemas.openxmlformats.org/officeDocument/2006/relationships/hyperlink" Target="http://www.nevo.co.il/Law_word/law06/tak-5511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510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559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687.pdf" TargetMode="External"/><Relationship Id="rId3" Type="http://schemas.openxmlformats.org/officeDocument/2006/relationships/hyperlink" Target="http://www.nevo.co.il/Law_word/law06/tak-4279.pdf" TargetMode="External"/><Relationship Id="rId7" Type="http://schemas.openxmlformats.org/officeDocument/2006/relationships/hyperlink" Target="http://www.nevo.co.il/Law_word/law06/tak-5511.pdf" TargetMode="External"/><Relationship Id="rId2" Type="http://schemas.openxmlformats.org/officeDocument/2006/relationships/hyperlink" Target="http://www.nevo.co.il/Law_word/law06/tak-4099.pdf" TargetMode="External"/><Relationship Id="rId1" Type="http://schemas.openxmlformats.org/officeDocument/2006/relationships/hyperlink" Target="http://www.nevo.co.il/Law_word/law06/TAK-3703.pdf" TargetMode="External"/><Relationship Id="rId6" Type="http://schemas.openxmlformats.org/officeDocument/2006/relationships/hyperlink" Target="http://www.nevo.co.il/Law_word/law06/tak-5103.pdf" TargetMode="External"/><Relationship Id="rId5" Type="http://schemas.openxmlformats.org/officeDocument/2006/relationships/hyperlink" Target="http://www.nevo.co.il/Law_word/law06/tak-4559.pdf" TargetMode="External"/><Relationship Id="rId4" Type="http://schemas.openxmlformats.org/officeDocument/2006/relationships/hyperlink" Target="http://www.nevo.co.il/Law_word/law06/tak-4411.pdf" TargetMode="External"/><Relationship Id="rId9" Type="http://schemas.openxmlformats.org/officeDocument/2006/relationships/hyperlink" Target="http://www.nevo.co.il/Law_word/law10/YALKUT-25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10067</CharactersWithSpaces>
  <SharedDoc>false</SharedDoc>
  <HLinks>
    <vt:vector size="204" baseType="variant">
      <vt:variant>
        <vt:i4>7602185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http://www.nevo.co.il/Law_word/law06/tak-5687.pdf</vt:lpwstr>
      </vt:variant>
      <vt:variant>
        <vt:lpwstr/>
      </vt:variant>
      <vt:variant>
        <vt:i4>8192012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http://www.nevo.co.il/Law_word/law06/tak-5511.pdf</vt:lpwstr>
      </vt:variant>
      <vt:variant>
        <vt:lpwstr/>
      </vt:variant>
      <vt:variant>
        <vt:i4>8126474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http://www.nevo.co.il/Law_word/law06/tak-5103.pdf</vt:lpwstr>
      </vt:variant>
      <vt:variant>
        <vt:lpwstr/>
      </vt:variant>
      <vt:variant>
        <vt:i4>7864324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http://www.nevo.co.il/Law_word/law06/tak-4559.pdf</vt:lpwstr>
      </vt:variant>
      <vt:variant>
        <vt:lpwstr/>
      </vt:variant>
      <vt:variant>
        <vt:i4>8126477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http://www.nevo.co.il/Law_word/law06/tak-4411.pdf</vt:lpwstr>
      </vt:variant>
      <vt:variant>
        <vt:lpwstr/>
      </vt:variant>
      <vt:variant>
        <vt:i4>7995395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http://www.nevo.co.il/Law_word/law06/tak-4279.pdf</vt:lpwstr>
      </vt:variant>
      <vt:variant>
        <vt:lpwstr/>
      </vt:variant>
      <vt:variant>
        <vt:i4>7602177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http://www.nevo.co.il/Law_word/law06/tak-4099.pdf</vt:lpwstr>
      </vt:variant>
      <vt:variant>
        <vt:lpwstr/>
      </vt:variant>
      <vt:variant>
        <vt:i4>5570569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http://www.nevo.co.il/Law_word/law10/YALKUT-2578.pdf</vt:lpwstr>
      </vt:variant>
      <vt:variant>
        <vt:lpwstr/>
      </vt:variant>
      <vt:variant>
        <vt:i4>7602185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http://www.nevo.co.il/Law_word/law06/tak-5687.pdf</vt:lpwstr>
      </vt:variant>
      <vt:variant>
        <vt:lpwstr/>
      </vt:variant>
      <vt:variant>
        <vt:i4>8192012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http://www.nevo.co.il/Law_word/law06/tak-5511.pdf</vt:lpwstr>
      </vt:variant>
      <vt:variant>
        <vt:lpwstr/>
      </vt:variant>
      <vt:variant>
        <vt:i4>8126474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http://www.nevo.co.il/Law_word/law06/tak-5103.pdf</vt:lpwstr>
      </vt:variant>
      <vt:variant>
        <vt:lpwstr/>
      </vt:variant>
      <vt:variant>
        <vt:i4>7864324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http://www.nevo.co.il/Law_word/law06/tak-4559.pdf</vt:lpwstr>
      </vt:variant>
      <vt:variant>
        <vt:lpwstr/>
      </vt:variant>
      <vt:variant>
        <vt:i4>8126477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http://www.nevo.co.il/Law_word/law06/tak-4411.pdf</vt:lpwstr>
      </vt:variant>
      <vt:variant>
        <vt:lpwstr/>
      </vt:variant>
      <vt:variant>
        <vt:i4>7995395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http://www.nevo.co.il/Law_word/law06/tak-4279.pdf</vt:lpwstr>
      </vt:variant>
      <vt:variant>
        <vt:lpwstr/>
      </vt:variant>
      <vt:variant>
        <vt:i4>7602177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http://www.nevo.co.il/Law_word/law06/tak-4099.pdf</vt:lpwstr>
      </vt:variant>
      <vt:variant>
        <vt:lpwstr/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לביצוע אמנת האג 1970 (גביית ראיות), תשל"ז-1977</vt:lpwstr>
  </property>
  <property fmtid="{D5CDD505-2E9C-101B-9397-08002B2CF9AE}" pid="5" name="LAWNUMBER">
    <vt:lpwstr>0222</vt:lpwstr>
  </property>
  <property fmtid="{D5CDD505-2E9C-101B-9397-08002B2CF9AE}" pid="6" name="TYPE">
    <vt:lpwstr>01</vt:lpwstr>
  </property>
  <property fmtid="{D5CDD505-2E9C-101B-9397-08002B2CF9AE}" pid="7" name="MEKOR_NAME1">
    <vt:lpwstr>חוק עזרה משפטית למדינות חוץ [נוסח משולב]</vt:lpwstr>
  </property>
  <property fmtid="{D5CDD505-2E9C-101B-9397-08002B2CF9AE}" pid="8" name="MEKOR_SAIF1">
    <vt:lpwstr>14X</vt:lpwstr>
  </property>
  <property fmtid="{D5CDD505-2E9C-101B-9397-08002B2CF9AE}" pid="9" name="MEKOR_NAME2">
    <vt:lpwstr>חוק בתי המשפט</vt:lpwstr>
  </property>
  <property fmtid="{D5CDD505-2E9C-101B-9397-08002B2CF9AE}" pid="10" name="MEKOR_SAIF2">
    <vt:lpwstr>46X</vt:lpwstr>
  </property>
  <property fmtid="{D5CDD505-2E9C-101B-9397-08002B2CF9AE}" pid="11" name="MEKOR_NAME3">
    <vt:lpwstr>פקודת הראיות [נוסח חדש]</vt:lpwstr>
  </property>
  <property fmtid="{D5CDD505-2E9C-101B-9397-08002B2CF9AE}" pid="12" name="MEKOR_SAIF3">
    <vt:lpwstr>59X</vt:lpwstr>
  </property>
  <property fmtid="{D5CDD505-2E9C-101B-9397-08002B2CF9AE}" pid="13" name="NOSE11">
    <vt:lpwstr>בתי משפט וסדרי דין</vt:lpwstr>
  </property>
  <property fmtid="{D5CDD505-2E9C-101B-9397-08002B2CF9AE}" pid="14" name="NOSE21">
    <vt:lpwstr>ראיות</vt:lpwstr>
  </property>
  <property fmtid="{D5CDD505-2E9C-101B-9397-08002B2CF9AE}" pid="15" name="NOSE31">
    <vt:lpwstr>עדות</vt:lpwstr>
  </property>
  <property fmtid="{D5CDD505-2E9C-101B-9397-08002B2CF9AE}" pid="16" name="NOSE41">
    <vt:lpwstr/>
  </property>
  <property fmtid="{D5CDD505-2E9C-101B-9397-08002B2CF9AE}" pid="17" name="NOSE12">
    <vt:lpwstr>משפט בינ"ל פומבי</vt:lpwstr>
  </property>
  <property fmtid="{D5CDD505-2E9C-101B-9397-08002B2CF9AE}" pid="18" name="NOSE22">
    <vt:lpwstr>אמנות</vt:lpwstr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</Properties>
</file>