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9B07E1" w:rsidP="00764060">
      <w:pPr>
        <w:pStyle w:val="big-header"/>
        <w:ind w:left="0" w:right="1134"/>
        <w:rPr>
          <w:rFonts w:cs="FrankRuehl" w:hint="cs"/>
          <w:rtl/>
        </w:rPr>
      </w:pPr>
      <w:r>
        <w:rPr>
          <w:rFonts w:cs="FrankRuehl" w:hint="cs"/>
          <w:rtl/>
        </w:rPr>
        <w:t xml:space="preserve">תקנות </w:t>
      </w:r>
      <w:r w:rsidR="00764060">
        <w:rPr>
          <w:rFonts w:cs="FrankRuehl" w:hint="cs"/>
          <w:rtl/>
        </w:rPr>
        <w:t>להגנה על עדים (הגבלות על עובדי הרשות בתקופת עבודתם ברשות ולאחריה</w:t>
      </w:r>
      <w:r w:rsidR="00564525" w:rsidRPr="00536FF0">
        <w:rPr>
          <w:rFonts w:cs="FrankRuehl" w:hint="cs"/>
          <w:rtl/>
        </w:rPr>
        <w:t>)</w:t>
      </w:r>
      <w:r w:rsidR="001B185E" w:rsidRPr="00536FF0">
        <w:rPr>
          <w:rFonts w:cs="FrankRuehl" w:hint="cs"/>
          <w:rtl/>
        </w:rPr>
        <w:t>, תש"ע-2010</w:t>
      </w:r>
    </w:p>
    <w:p w:rsidR="00764060" w:rsidRPr="00764060" w:rsidRDefault="00764060" w:rsidP="00764060">
      <w:pPr>
        <w:spacing w:line="320" w:lineRule="auto"/>
        <w:rPr>
          <w:rFonts w:cs="FrankRuehl"/>
          <w:szCs w:val="26"/>
          <w:rtl/>
        </w:rPr>
      </w:pPr>
    </w:p>
    <w:p w:rsidR="00764060" w:rsidRDefault="00764060" w:rsidP="00764060">
      <w:pPr>
        <w:spacing w:line="320" w:lineRule="auto"/>
        <w:rPr>
          <w:rtl/>
        </w:rPr>
      </w:pPr>
    </w:p>
    <w:p w:rsidR="00764060" w:rsidRDefault="00764060" w:rsidP="00764060">
      <w:pPr>
        <w:spacing w:line="320" w:lineRule="auto"/>
        <w:rPr>
          <w:rFonts w:cs="Miriam"/>
          <w:szCs w:val="22"/>
          <w:rtl/>
        </w:rPr>
      </w:pPr>
      <w:r w:rsidRPr="00764060">
        <w:rPr>
          <w:rFonts w:cs="Miriam"/>
          <w:szCs w:val="22"/>
          <w:rtl/>
        </w:rPr>
        <w:t>בתי משפט וסדרי דין</w:t>
      </w:r>
      <w:r w:rsidRPr="00764060">
        <w:rPr>
          <w:rFonts w:cs="FrankRuehl"/>
          <w:szCs w:val="26"/>
          <w:rtl/>
        </w:rPr>
        <w:t xml:space="preserve"> – סדר דין פלילי – עדות</w:t>
      </w:r>
    </w:p>
    <w:p w:rsidR="00764060" w:rsidRPr="00764060" w:rsidRDefault="00764060" w:rsidP="00764060">
      <w:pPr>
        <w:spacing w:line="320" w:lineRule="auto"/>
        <w:rPr>
          <w:rFonts w:cs="Miriam"/>
          <w:szCs w:val="22"/>
          <w:rtl/>
        </w:rPr>
      </w:pPr>
      <w:r w:rsidRPr="00764060">
        <w:rPr>
          <w:rFonts w:cs="Miriam"/>
          <w:szCs w:val="22"/>
          <w:rtl/>
        </w:rPr>
        <w:t>עונשין ומשפט פלילי</w:t>
      </w:r>
      <w:r w:rsidRPr="00764060">
        <w:rPr>
          <w:rFonts w:cs="FrankRuehl"/>
          <w:szCs w:val="26"/>
          <w:rtl/>
        </w:rPr>
        <w:t xml:space="preserve"> – סדר דין פלילי</w:t>
      </w:r>
    </w:p>
    <w:p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4BC1" w:rsidRPr="009B4BC1">
        <w:tblPrEx>
          <w:tblCellMar>
            <w:top w:w="0" w:type="dxa"/>
            <w:bottom w:w="0" w:type="dxa"/>
          </w:tblCellMar>
        </w:tblPrEx>
        <w:tc>
          <w:tcPr>
            <w:tcW w:w="1247" w:type="dxa"/>
          </w:tcPr>
          <w:p w:rsidR="009B4BC1" w:rsidRPr="009B4BC1" w:rsidRDefault="009B4BC1" w:rsidP="009B4BC1">
            <w:pPr>
              <w:rPr>
                <w:rFonts w:cs="Frankruhel" w:hint="cs"/>
                <w:rtl/>
              </w:rPr>
            </w:pPr>
            <w:r>
              <w:rPr>
                <w:rtl/>
              </w:rPr>
              <w:t xml:space="preserve">סעיף 1 </w:t>
            </w:r>
          </w:p>
        </w:tc>
        <w:tc>
          <w:tcPr>
            <w:tcW w:w="5669" w:type="dxa"/>
          </w:tcPr>
          <w:p w:rsidR="009B4BC1" w:rsidRPr="009B4BC1" w:rsidRDefault="009B4BC1" w:rsidP="009B4BC1">
            <w:pPr>
              <w:rPr>
                <w:rFonts w:cs="Frankruhel" w:hint="cs"/>
                <w:rtl/>
              </w:rPr>
            </w:pPr>
            <w:r>
              <w:rPr>
                <w:rtl/>
              </w:rPr>
              <w:t>הגדרה</w:t>
            </w:r>
          </w:p>
        </w:tc>
        <w:tc>
          <w:tcPr>
            <w:tcW w:w="567" w:type="dxa"/>
          </w:tcPr>
          <w:p w:rsidR="009B4BC1" w:rsidRPr="009B4BC1" w:rsidRDefault="009B4BC1" w:rsidP="009B4BC1">
            <w:pPr>
              <w:rPr>
                <w:rStyle w:val="Hyperlink"/>
                <w:rFonts w:hint="cs"/>
                <w:rtl/>
              </w:rPr>
            </w:pPr>
            <w:hyperlink w:anchor="Seif1" w:tooltip="הגדרה" w:history="1">
              <w:r w:rsidRPr="009B4BC1">
                <w:rPr>
                  <w:rStyle w:val="Hyperlink"/>
                </w:rPr>
                <w:t>Go</w:t>
              </w:r>
            </w:hyperlink>
          </w:p>
        </w:tc>
        <w:tc>
          <w:tcPr>
            <w:tcW w:w="850" w:type="dxa"/>
          </w:tcPr>
          <w:p w:rsidR="009B4BC1" w:rsidRPr="009B4BC1" w:rsidRDefault="009B4BC1" w:rsidP="009B4B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B4BC1" w:rsidRPr="009B4BC1">
        <w:tblPrEx>
          <w:tblCellMar>
            <w:top w:w="0" w:type="dxa"/>
            <w:bottom w:w="0" w:type="dxa"/>
          </w:tblCellMar>
        </w:tblPrEx>
        <w:tc>
          <w:tcPr>
            <w:tcW w:w="1247" w:type="dxa"/>
          </w:tcPr>
          <w:p w:rsidR="009B4BC1" w:rsidRPr="009B4BC1" w:rsidRDefault="009B4BC1" w:rsidP="009B4BC1">
            <w:pPr>
              <w:rPr>
                <w:rFonts w:cs="Frankruhel" w:hint="cs"/>
                <w:rtl/>
              </w:rPr>
            </w:pPr>
            <w:r>
              <w:rPr>
                <w:rtl/>
              </w:rPr>
              <w:t xml:space="preserve">סעיף 2 </w:t>
            </w:r>
          </w:p>
        </w:tc>
        <w:tc>
          <w:tcPr>
            <w:tcW w:w="5669" w:type="dxa"/>
          </w:tcPr>
          <w:p w:rsidR="009B4BC1" w:rsidRPr="009B4BC1" w:rsidRDefault="009B4BC1" w:rsidP="009B4BC1">
            <w:pPr>
              <w:rPr>
                <w:rFonts w:cs="Frankruhel" w:hint="cs"/>
                <w:rtl/>
              </w:rPr>
            </w:pPr>
            <w:r>
              <w:rPr>
                <w:rtl/>
              </w:rPr>
              <w:t>תחומי הגבלות על עובד הרשות</w:t>
            </w:r>
          </w:p>
        </w:tc>
        <w:tc>
          <w:tcPr>
            <w:tcW w:w="567" w:type="dxa"/>
          </w:tcPr>
          <w:p w:rsidR="009B4BC1" w:rsidRPr="009B4BC1" w:rsidRDefault="009B4BC1" w:rsidP="009B4BC1">
            <w:pPr>
              <w:rPr>
                <w:rStyle w:val="Hyperlink"/>
                <w:rFonts w:hint="cs"/>
                <w:rtl/>
              </w:rPr>
            </w:pPr>
            <w:hyperlink w:anchor="Seif2" w:tooltip="תחומי הגבלות על עובד הרשות" w:history="1">
              <w:r w:rsidRPr="009B4BC1">
                <w:rPr>
                  <w:rStyle w:val="Hyperlink"/>
                </w:rPr>
                <w:t>Go</w:t>
              </w:r>
            </w:hyperlink>
          </w:p>
        </w:tc>
        <w:tc>
          <w:tcPr>
            <w:tcW w:w="850" w:type="dxa"/>
          </w:tcPr>
          <w:p w:rsidR="009B4BC1" w:rsidRPr="009B4BC1" w:rsidRDefault="009B4BC1" w:rsidP="009B4B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B4BC1" w:rsidRPr="009B4BC1">
        <w:tblPrEx>
          <w:tblCellMar>
            <w:top w:w="0" w:type="dxa"/>
            <w:bottom w:w="0" w:type="dxa"/>
          </w:tblCellMar>
        </w:tblPrEx>
        <w:tc>
          <w:tcPr>
            <w:tcW w:w="1247" w:type="dxa"/>
          </w:tcPr>
          <w:p w:rsidR="009B4BC1" w:rsidRPr="009B4BC1" w:rsidRDefault="009B4BC1" w:rsidP="009B4BC1">
            <w:pPr>
              <w:rPr>
                <w:rFonts w:cs="Frankruhel" w:hint="cs"/>
                <w:rtl/>
              </w:rPr>
            </w:pPr>
            <w:r>
              <w:rPr>
                <w:rtl/>
              </w:rPr>
              <w:t xml:space="preserve">סעיף 3 </w:t>
            </w:r>
          </w:p>
        </w:tc>
        <w:tc>
          <w:tcPr>
            <w:tcW w:w="5669" w:type="dxa"/>
          </w:tcPr>
          <w:p w:rsidR="009B4BC1" w:rsidRPr="009B4BC1" w:rsidRDefault="009B4BC1" w:rsidP="009B4BC1">
            <w:pPr>
              <w:rPr>
                <w:rFonts w:cs="Frankruhel" w:hint="cs"/>
                <w:rtl/>
              </w:rPr>
            </w:pPr>
            <w:r>
              <w:rPr>
                <w:rtl/>
              </w:rPr>
              <w:t>תחומי הגבלות על עובד הרשות לשעבר</w:t>
            </w:r>
          </w:p>
        </w:tc>
        <w:tc>
          <w:tcPr>
            <w:tcW w:w="567" w:type="dxa"/>
          </w:tcPr>
          <w:p w:rsidR="009B4BC1" w:rsidRPr="009B4BC1" w:rsidRDefault="009B4BC1" w:rsidP="009B4BC1">
            <w:pPr>
              <w:rPr>
                <w:rStyle w:val="Hyperlink"/>
                <w:rFonts w:hint="cs"/>
                <w:rtl/>
              </w:rPr>
            </w:pPr>
            <w:hyperlink w:anchor="Seif3" w:tooltip="תחומי הגבלות על עובד הרשות לשעבר" w:history="1">
              <w:r w:rsidRPr="009B4BC1">
                <w:rPr>
                  <w:rStyle w:val="Hyperlink"/>
                </w:rPr>
                <w:t>Go</w:t>
              </w:r>
            </w:hyperlink>
          </w:p>
        </w:tc>
        <w:tc>
          <w:tcPr>
            <w:tcW w:w="850" w:type="dxa"/>
          </w:tcPr>
          <w:p w:rsidR="009B4BC1" w:rsidRPr="009B4BC1" w:rsidRDefault="009B4BC1" w:rsidP="009B4B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B4BC1" w:rsidRPr="009B4BC1">
        <w:tblPrEx>
          <w:tblCellMar>
            <w:top w:w="0" w:type="dxa"/>
            <w:bottom w:w="0" w:type="dxa"/>
          </w:tblCellMar>
        </w:tblPrEx>
        <w:tc>
          <w:tcPr>
            <w:tcW w:w="1247" w:type="dxa"/>
          </w:tcPr>
          <w:p w:rsidR="009B4BC1" w:rsidRPr="009B4BC1" w:rsidRDefault="009B4BC1" w:rsidP="009B4BC1">
            <w:pPr>
              <w:rPr>
                <w:rFonts w:cs="Frankruhel" w:hint="cs"/>
                <w:rtl/>
              </w:rPr>
            </w:pPr>
            <w:r>
              <w:rPr>
                <w:rtl/>
              </w:rPr>
              <w:t xml:space="preserve">סעיף 4 </w:t>
            </w:r>
          </w:p>
        </w:tc>
        <w:tc>
          <w:tcPr>
            <w:tcW w:w="5669" w:type="dxa"/>
          </w:tcPr>
          <w:p w:rsidR="009B4BC1" w:rsidRPr="009B4BC1" w:rsidRDefault="009B4BC1" w:rsidP="009B4BC1">
            <w:pPr>
              <w:rPr>
                <w:rFonts w:cs="Frankruhel" w:hint="cs"/>
                <w:rtl/>
              </w:rPr>
            </w:pPr>
            <w:r>
              <w:rPr>
                <w:rtl/>
              </w:rPr>
              <w:t>פרסום</w:t>
            </w:r>
          </w:p>
        </w:tc>
        <w:tc>
          <w:tcPr>
            <w:tcW w:w="567" w:type="dxa"/>
          </w:tcPr>
          <w:p w:rsidR="009B4BC1" w:rsidRPr="009B4BC1" w:rsidRDefault="009B4BC1" w:rsidP="009B4BC1">
            <w:pPr>
              <w:rPr>
                <w:rStyle w:val="Hyperlink"/>
                <w:rFonts w:hint="cs"/>
                <w:rtl/>
              </w:rPr>
            </w:pPr>
            <w:hyperlink w:anchor="Seif4" w:tooltip="פרסום" w:history="1">
              <w:r w:rsidRPr="009B4BC1">
                <w:rPr>
                  <w:rStyle w:val="Hyperlink"/>
                </w:rPr>
                <w:t>Go</w:t>
              </w:r>
            </w:hyperlink>
          </w:p>
        </w:tc>
        <w:tc>
          <w:tcPr>
            <w:tcW w:w="850" w:type="dxa"/>
          </w:tcPr>
          <w:p w:rsidR="009B4BC1" w:rsidRPr="009B4BC1" w:rsidRDefault="009B4BC1" w:rsidP="009B4BC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rsidR="00D078B6" w:rsidRPr="00536FF0" w:rsidRDefault="00D078B6">
      <w:pPr>
        <w:pStyle w:val="big-header"/>
        <w:ind w:left="0" w:right="1134"/>
        <w:rPr>
          <w:rFonts w:cs="FrankRuehl" w:hint="cs"/>
          <w:rtl/>
        </w:rPr>
      </w:pPr>
    </w:p>
    <w:p w:rsidR="00D078B6" w:rsidRPr="00536FF0" w:rsidRDefault="00D078B6" w:rsidP="00764060">
      <w:pPr>
        <w:pStyle w:val="big-header"/>
        <w:ind w:left="0" w:right="1134"/>
        <w:rPr>
          <w:rStyle w:val="default"/>
          <w:rFonts w:hint="cs"/>
          <w:sz w:val="20"/>
          <w:szCs w:val="22"/>
          <w:rtl/>
        </w:rPr>
      </w:pPr>
      <w:r w:rsidRPr="00536FF0">
        <w:rPr>
          <w:rFonts w:cs="FrankRuehl"/>
          <w:rtl/>
        </w:rPr>
        <w:br w:type="page"/>
      </w:r>
      <w:r w:rsidR="00764060">
        <w:rPr>
          <w:rFonts w:cs="FrankRuehl" w:hint="cs"/>
          <w:rtl/>
        </w:rPr>
        <w:lastRenderedPageBreak/>
        <w:t>תקנות להגנה על עדים (הגבלות על עובדי הרשות בתקופת עבודתם ברשות ולאחריה</w:t>
      </w:r>
      <w:r w:rsidR="00764060" w:rsidRPr="00536FF0">
        <w:rPr>
          <w:rFonts w:cs="FrankRuehl" w:hint="cs"/>
          <w:rtl/>
        </w:rPr>
        <w:t>), תש"ע-2010</w:t>
      </w:r>
      <w:r w:rsidRPr="00536FF0">
        <w:rPr>
          <w:rStyle w:val="default"/>
          <w:sz w:val="20"/>
          <w:szCs w:val="22"/>
          <w:rtl/>
        </w:rPr>
        <w:footnoteReference w:customMarkFollows="1" w:id="1"/>
        <w:t>*</w:t>
      </w:r>
    </w:p>
    <w:p w:rsidR="006411A2" w:rsidRDefault="008D2195" w:rsidP="00764060">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764060">
        <w:rPr>
          <w:rStyle w:val="default"/>
          <w:rFonts w:cs="FrankRuehl" w:hint="cs"/>
          <w:sz w:val="20"/>
          <w:rtl/>
        </w:rPr>
        <w:t xml:space="preserve">סמכותי לפי סעיפים 10(ד) ו-38(א) לחוק להגנה על עדים, התשס"ט-2008 (להלן </w:t>
      </w:r>
      <w:r w:rsidR="00764060">
        <w:rPr>
          <w:rStyle w:val="default"/>
          <w:rFonts w:cs="FrankRuehl"/>
          <w:sz w:val="20"/>
          <w:rtl/>
        </w:rPr>
        <w:t>–</w:t>
      </w:r>
      <w:r w:rsidR="00764060">
        <w:rPr>
          <w:rStyle w:val="default"/>
          <w:rFonts w:cs="FrankRuehl" w:hint="cs"/>
          <w:sz w:val="20"/>
          <w:rtl/>
        </w:rPr>
        <w:t xml:space="preserve"> החוק), ובאישור ועדת הפנים והגנת הסביבה של הכנסת, אני מתקין תקנות אלה</w:t>
      </w:r>
      <w:r w:rsidRPr="00536FF0">
        <w:rPr>
          <w:rStyle w:val="default"/>
          <w:rFonts w:cs="FrankRuehl" w:hint="cs"/>
          <w:sz w:val="20"/>
          <w:rtl/>
        </w:rPr>
        <w:t>:</w:t>
      </w:r>
    </w:p>
    <w:p w:rsidR="00D078B6" w:rsidRDefault="00D078B6" w:rsidP="00357E1A">
      <w:pPr>
        <w:pStyle w:val="P00"/>
        <w:spacing w:before="72"/>
        <w:ind w:left="0" w:right="1134"/>
        <w:rPr>
          <w:rStyle w:val="default"/>
          <w:rFonts w:cs="FrankRuehl" w:hint="cs"/>
          <w:sz w:val="20"/>
          <w:rtl/>
        </w:rPr>
      </w:pPr>
      <w:bookmarkStart w:id="0" w:name="Seif1"/>
      <w:bookmarkEnd w:id="0"/>
      <w:r w:rsidRPr="00536FF0">
        <w:rPr>
          <w:rFonts w:cs="Miriam"/>
          <w:lang w:val="he-IL"/>
        </w:rPr>
        <w:pict>
          <v:rect id="_x0000_s1026" style="position:absolute;left:0;text-align:left;margin-left:464.35pt;margin-top:7.1pt;width:75.05pt;height:9.45pt;z-index:251656192" o:allowincell="f" filled="f" stroked="f" strokecolor="lime" strokeweight=".25pt">
            <v:textbox style="mso-next-textbox:#_x0000_s1026" inset="0,0,0,0">
              <w:txbxContent>
                <w:p w:rsidR="00CB07BE" w:rsidRDefault="00764060" w:rsidP="002F2344">
                  <w:pPr>
                    <w:spacing w:line="160" w:lineRule="exact"/>
                    <w:rPr>
                      <w:rFonts w:cs="Miriam" w:hint="cs"/>
                      <w:noProof/>
                      <w:sz w:val="18"/>
                      <w:szCs w:val="18"/>
                      <w:rtl/>
                    </w:rPr>
                  </w:pPr>
                  <w:r>
                    <w:rPr>
                      <w:rFonts w:cs="Miriam" w:hint="cs"/>
                      <w:sz w:val="18"/>
                      <w:szCs w:val="18"/>
                      <w:rtl/>
                    </w:rPr>
                    <w:t>הגדרה</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357E1A">
        <w:rPr>
          <w:rStyle w:val="default"/>
          <w:rFonts w:cs="FrankRuehl" w:hint="cs"/>
          <w:sz w:val="20"/>
          <w:rtl/>
        </w:rPr>
        <w:t>בתקנות אלה</w:t>
      </w:r>
      <w:r w:rsidR="00764060">
        <w:rPr>
          <w:rStyle w:val="default"/>
          <w:rFonts w:cs="FrankRuehl" w:hint="cs"/>
          <w:sz w:val="20"/>
          <w:rtl/>
        </w:rPr>
        <w:t xml:space="preserve">, "הרשות" </w:t>
      </w:r>
      <w:r w:rsidR="00764060">
        <w:rPr>
          <w:rStyle w:val="default"/>
          <w:rFonts w:cs="FrankRuehl"/>
          <w:sz w:val="20"/>
          <w:rtl/>
        </w:rPr>
        <w:t>–</w:t>
      </w:r>
      <w:r w:rsidR="00764060">
        <w:rPr>
          <w:rStyle w:val="default"/>
          <w:rFonts w:cs="FrankRuehl" w:hint="cs"/>
          <w:sz w:val="20"/>
          <w:rtl/>
        </w:rPr>
        <w:t xml:space="preserve"> הרשות להגנה על עדים כמשמעותה בסעיף 2 לחוק.</w:t>
      </w:r>
    </w:p>
    <w:p w:rsidR="000179E7" w:rsidRDefault="000179E7" w:rsidP="00764060">
      <w:pPr>
        <w:pStyle w:val="P00"/>
        <w:spacing w:before="72"/>
        <w:ind w:left="0" w:right="1134"/>
        <w:rPr>
          <w:rStyle w:val="default"/>
          <w:rFonts w:cs="FrankRuehl" w:hint="cs"/>
          <w:sz w:val="20"/>
          <w:rtl/>
        </w:rPr>
      </w:pPr>
      <w:bookmarkStart w:id="1" w:name="Seif2"/>
      <w:bookmarkEnd w:id="1"/>
      <w:r w:rsidRPr="00536FF0">
        <w:rPr>
          <w:rFonts w:cs="Miriam"/>
          <w:lang w:val="he-IL"/>
        </w:rPr>
        <w:pict>
          <v:rect id="_x0000_s1413" style="position:absolute;left:0;text-align:left;margin-left:464.35pt;margin-top:7.1pt;width:75.05pt;height:17.05pt;z-index:251657216" o:allowincell="f" filled="f" stroked="f" strokecolor="lime" strokeweight=".25pt">
            <v:textbox style="mso-next-textbox:#_x0000_s1413" inset="0,0,0,0">
              <w:txbxContent>
                <w:p w:rsidR="00CB07BE" w:rsidRDefault="00764060" w:rsidP="000179E7">
                  <w:pPr>
                    <w:spacing w:line="160" w:lineRule="exact"/>
                    <w:rPr>
                      <w:rFonts w:cs="Miriam" w:hint="cs"/>
                      <w:noProof/>
                      <w:sz w:val="18"/>
                      <w:szCs w:val="18"/>
                      <w:rtl/>
                    </w:rPr>
                  </w:pPr>
                  <w:r>
                    <w:rPr>
                      <w:rFonts w:cs="Miriam" w:hint="cs"/>
                      <w:sz w:val="18"/>
                      <w:szCs w:val="18"/>
                      <w:rtl/>
                    </w:rPr>
                    <w:t>תחומי הגבלות על עובד הרשות</w:t>
                  </w:r>
                </w:p>
              </w:txbxContent>
            </v:textbox>
            <w10:anchorlock/>
          </v:rect>
        </w:pict>
      </w:r>
      <w:r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764060">
        <w:rPr>
          <w:rStyle w:val="default"/>
          <w:rFonts w:cs="FrankRuehl" w:hint="cs"/>
          <w:sz w:val="20"/>
          <w:rtl/>
        </w:rPr>
        <w:t>(א)</w:t>
      </w:r>
      <w:r w:rsidR="00764060">
        <w:rPr>
          <w:rStyle w:val="default"/>
          <w:rFonts w:cs="FrankRuehl" w:hint="cs"/>
          <w:sz w:val="20"/>
          <w:rtl/>
        </w:rPr>
        <w:tab/>
        <w:t xml:space="preserve">לשם שמירה על ביטחונם האישי של עובדי הרשות או למניעת פגיעה בפעילות מבצעית של הרשות, יחולו על עובדי הרשות, בתקופת עבודתם ברשות, ההגבלות בתחומים שלהלן, כפי שתפרט הרשות בהגבלות אישיות לכל עובד (להלן </w:t>
      </w:r>
      <w:r w:rsidR="00764060">
        <w:rPr>
          <w:rStyle w:val="default"/>
          <w:rFonts w:cs="FrankRuehl"/>
          <w:sz w:val="20"/>
          <w:rtl/>
        </w:rPr>
        <w:t>–</w:t>
      </w:r>
      <w:r w:rsidR="00764060">
        <w:rPr>
          <w:rStyle w:val="default"/>
          <w:rFonts w:cs="FrankRuehl" w:hint="cs"/>
          <w:sz w:val="20"/>
          <w:rtl/>
        </w:rPr>
        <w:t xml:space="preserve"> ההגבלות) </w:t>
      </w:r>
      <w:r w:rsidR="00764060">
        <w:rPr>
          <w:rStyle w:val="default"/>
          <w:rFonts w:cs="FrankRuehl"/>
          <w:sz w:val="20"/>
          <w:rtl/>
        </w:rPr>
        <w:t>–</w:t>
      </w:r>
    </w:p>
    <w:p w:rsidR="00764060" w:rsidRDefault="00764060" w:rsidP="0076406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מקום המגורים;</w:t>
      </w:r>
    </w:p>
    <w:p w:rsidR="00764060" w:rsidRDefault="00764060" w:rsidP="0076406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נקיטת אמצעי ביטחון, לרבות התקנת אמצעי ביטחון ושימוש בהם, במקום המגורים ובכלי הרכב;</w:t>
      </w:r>
    </w:p>
    <w:p w:rsidR="00764060" w:rsidRDefault="00764060" w:rsidP="0076406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קשרים ומגעים עם גורמי סיכון;</w:t>
      </w:r>
    </w:p>
    <w:p w:rsidR="00764060" w:rsidRDefault="00764060" w:rsidP="0076406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נסיעות למקומות או שהות במקומות בתחומי מדינת ישראל ומחוצה לה.</w:t>
      </w:r>
    </w:p>
    <w:p w:rsidR="00764060" w:rsidRDefault="00764060" w:rsidP="0076406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נדרש עובד הרשות לשנות את מקום מגוריו או להתקין אמצעי ביטחון כאמור בתקנת משנה (א), תעמיד הרשות לרשותו את האמצעים הדרושים, והכל בגדר הסביר ועל פי נהלים שייקבעו לעניין זה.</w:t>
      </w:r>
    </w:p>
    <w:p w:rsidR="00764060" w:rsidRDefault="00764060" w:rsidP="0076406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נדרש עובד הרשות לשנות את מקום מגוריו כאמור בתקנת משנה (א)(1) רשאי הוא להשיג על כך לפני מנהל הרשות או מי שהוא הסמיך לעניין זה.</w:t>
      </w:r>
    </w:p>
    <w:p w:rsidR="000179E7" w:rsidRDefault="000179E7" w:rsidP="00764060">
      <w:pPr>
        <w:pStyle w:val="P00"/>
        <w:spacing w:before="72"/>
        <w:ind w:left="0" w:right="1134"/>
        <w:rPr>
          <w:rStyle w:val="default"/>
          <w:rFonts w:cs="FrankRuehl" w:hint="cs"/>
          <w:sz w:val="20"/>
          <w:rtl/>
        </w:rPr>
      </w:pPr>
      <w:bookmarkStart w:id="2" w:name="Seif3"/>
      <w:bookmarkEnd w:id="2"/>
      <w:r w:rsidRPr="00536FF0">
        <w:rPr>
          <w:rFonts w:cs="Miriam"/>
          <w:lang w:val="he-IL"/>
        </w:rPr>
        <w:pict>
          <v:rect id="_x0000_s1414" style="position:absolute;left:0;text-align:left;margin-left:464.35pt;margin-top:7.1pt;width:75.05pt;height:17.5pt;z-index:251658240" o:allowincell="f" filled="f" stroked="f" strokecolor="lime" strokeweight=".25pt">
            <v:textbox style="mso-next-textbox:#_x0000_s1414" inset="0,0,0,0">
              <w:txbxContent>
                <w:p w:rsidR="00CB07BE" w:rsidRDefault="00764060" w:rsidP="000179E7">
                  <w:pPr>
                    <w:spacing w:line="160" w:lineRule="exact"/>
                    <w:rPr>
                      <w:rFonts w:cs="Miriam" w:hint="cs"/>
                      <w:noProof/>
                      <w:sz w:val="18"/>
                      <w:szCs w:val="18"/>
                      <w:rtl/>
                    </w:rPr>
                  </w:pPr>
                  <w:r>
                    <w:rPr>
                      <w:rFonts w:cs="Miriam" w:hint="cs"/>
                      <w:sz w:val="18"/>
                      <w:szCs w:val="18"/>
                      <w:rtl/>
                    </w:rPr>
                    <w:t>תחומי הגבלות על עובד הרשות לשעבר</w:t>
                  </w:r>
                </w:p>
              </w:txbxContent>
            </v:textbox>
            <w10:anchorlock/>
          </v:rect>
        </w:pict>
      </w:r>
      <w:r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764060">
        <w:rPr>
          <w:rStyle w:val="default"/>
          <w:rFonts w:cs="FrankRuehl" w:hint="cs"/>
          <w:sz w:val="20"/>
          <w:rtl/>
        </w:rPr>
        <w:t>(א)</w:t>
      </w:r>
      <w:r w:rsidR="00764060">
        <w:rPr>
          <w:rStyle w:val="default"/>
          <w:rFonts w:cs="FrankRuehl" w:hint="cs"/>
          <w:sz w:val="20"/>
          <w:rtl/>
        </w:rPr>
        <w:tab/>
        <w:t xml:space="preserve">תקנה 2(א)(3) ו-(4) תחול גם על עובד הרשות לשעבר, וזאת בהתחשב בין השאר, במשך עבודתו ברשות ובסוג המידע שאליו נחשף במהלך עבודתו ברשות והכל במידה סבירה שאינה עולה על הנדרש; </w:t>
      </w:r>
      <w:r w:rsidR="003F3F64">
        <w:rPr>
          <w:rStyle w:val="default"/>
          <w:rFonts w:cs="FrankRuehl" w:hint="cs"/>
          <w:sz w:val="20"/>
          <w:rtl/>
        </w:rPr>
        <w:t>הגבלות שנקבעו לפי תקנת משנה זאת ייבחנו בידי הרשות מזמן לזמן.</w:t>
      </w:r>
    </w:p>
    <w:p w:rsidR="003F3F64" w:rsidRDefault="003F3F64" w:rsidP="0076406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נקבעו לעובד הרשות לשעבר הגבלות אישיות לפי תקנת משנה (א), רשאי הוא להשיג עליהן לפני מנהל הרשות או מי שהוא הסמיך לעניין זה.</w:t>
      </w:r>
    </w:p>
    <w:p w:rsidR="003F3F64" w:rsidRDefault="003F3F64" w:rsidP="0076406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ההגבלות לפי תקנה זאת יובאו לידיעתו של עובד הרשות טרם סיום תפקידו ברשות, או לידיעתו של עובד הרשות לשעבר, לפי העניין.</w:t>
      </w:r>
    </w:p>
    <w:p w:rsidR="000179E7" w:rsidRDefault="000179E7" w:rsidP="003F3F64">
      <w:pPr>
        <w:pStyle w:val="P00"/>
        <w:spacing w:before="72"/>
        <w:ind w:left="0" w:right="1134"/>
        <w:rPr>
          <w:rStyle w:val="default"/>
          <w:rFonts w:cs="FrankRuehl" w:hint="cs"/>
          <w:sz w:val="20"/>
          <w:rtl/>
        </w:rPr>
      </w:pPr>
      <w:bookmarkStart w:id="3" w:name="Seif4"/>
      <w:bookmarkEnd w:id="3"/>
      <w:r w:rsidRPr="00536FF0">
        <w:rPr>
          <w:rFonts w:cs="Miriam"/>
          <w:lang w:val="he-IL"/>
        </w:rPr>
        <w:pict>
          <v:rect id="_x0000_s1415" style="position:absolute;left:0;text-align:left;margin-left:464.35pt;margin-top:7.1pt;width:75.05pt;height:13.5pt;z-index:251659264" o:allowincell="f" filled="f" stroked="f" strokecolor="lime" strokeweight=".25pt">
            <v:textbox style="mso-next-textbox:#_x0000_s1415" inset="0,0,0,0">
              <w:txbxContent>
                <w:p w:rsidR="00CB07BE" w:rsidRDefault="003F3F64" w:rsidP="000179E7">
                  <w:pPr>
                    <w:spacing w:line="160" w:lineRule="exact"/>
                    <w:rPr>
                      <w:rFonts w:cs="Miriam" w:hint="cs"/>
                      <w:noProof/>
                      <w:sz w:val="18"/>
                      <w:szCs w:val="18"/>
                      <w:rtl/>
                    </w:rPr>
                  </w:pPr>
                  <w:r>
                    <w:rPr>
                      <w:rFonts w:cs="Miriam" w:hint="cs"/>
                      <w:sz w:val="18"/>
                      <w:szCs w:val="18"/>
                      <w:rtl/>
                    </w:rPr>
                    <w:t>פרסום</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3F3F64">
        <w:rPr>
          <w:rStyle w:val="default"/>
          <w:rFonts w:cs="FrankRuehl" w:hint="cs"/>
          <w:sz w:val="20"/>
          <w:rtl/>
        </w:rPr>
        <w:t>הוראות תקנות אלה וההגבלות יובאו לידיעת עובד הרשות עם קבלתו לעבודה.</w:t>
      </w:r>
    </w:p>
    <w:p w:rsidR="00E55C78" w:rsidRPr="00536FF0" w:rsidRDefault="00E55C78">
      <w:pPr>
        <w:pStyle w:val="P00"/>
        <w:spacing w:before="72"/>
        <w:ind w:left="0" w:right="1134"/>
        <w:rPr>
          <w:rStyle w:val="default"/>
          <w:rFonts w:cs="FrankRuehl" w:hint="cs"/>
          <w:sz w:val="20"/>
          <w:rtl/>
        </w:rPr>
      </w:pPr>
    </w:p>
    <w:p w:rsidR="00006CAF" w:rsidRPr="00536FF0" w:rsidRDefault="00006CAF">
      <w:pPr>
        <w:pStyle w:val="P00"/>
        <w:spacing w:before="72"/>
        <w:ind w:left="0" w:right="1134"/>
        <w:rPr>
          <w:rStyle w:val="default"/>
          <w:rFonts w:cs="FrankRuehl" w:hint="cs"/>
          <w:sz w:val="20"/>
          <w:rtl/>
        </w:rPr>
      </w:pPr>
    </w:p>
    <w:p w:rsidR="00FA0F95" w:rsidRPr="00536FF0" w:rsidRDefault="003F3F64" w:rsidP="003F3F6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ו' בניסן</w:t>
      </w:r>
      <w:r w:rsidR="00C227D2" w:rsidRPr="00536FF0">
        <w:rPr>
          <w:rFonts w:cs="FrankRuehl" w:hint="cs"/>
          <w:rtl/>
        </w:rPr>
        <w:t xml:space="preserve"> </w:t>
      </w:r>
      <w:r w:rsidR="00605968" w:rsidRPr="00536FF0">
        <w:rPr>
          <w:rFonts w:cs="FrankRuehl" w:hint="cs"/>
          <w:rtl/>
        </w:rPr>
        <w:t>התש"ע (</w:t>
      </w:r>
      <w:r>
        <w:rPr>
          <w:rFonts w:cs="FrankRuehl" w:hint="cs"/>
          <w:rtl/>
        </w:rPr>
        <w:t>21 במרס</w:t>
      </w:r>
      <w:r w:rsidR="00605968" w:rsidRPr="00536FF0">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יצחק אהרונוביץ'</w:t>
      </w:r>
    </w:p>
    <w:p w:rsidR="00877509" w:rsidRPr="00536FF0" w:rsidRDefault="00FA0F95" w:rsidP="003F3F64">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3F3F64">
        <w:rPr>
          <w:rFonts w:cs="FrankRuehl" w:hint="cs"/>
          <w:szCs w:val="22"/>
          <w:rtl/>
        </w:rPr>
        <w:t>השר לביטחון הפנים</w:t>
      </w:r>
    </w:p>
    <w:p w:rsidR="00764060" w:rsidRPr="00536FF0" w:rsidRDefault="00764060">
      <w:pPr>
        <w:pStyle w:val="sig-0"/>
        <w:tabs>
          <w:tab w:val="clear" w:pos="4820"/>
          <w:tab w:val="center" w:pos="5670"/>
        </w:tabs>
        <w:ind w:left="0" w:right="1134"/>
        <w:rPr>
          <w:rFonts w:cs="FrankRuehl" w:hint="cs"/>
          <w:rtl/>
        </w:rPr>
      </w:pPr>
    </w:p>
    <w:p w:rsidR="00D078B6" w:rsidRPr="00536FF0" w:rsidRDefault="00D078B6">
      <w:pPr>
        <w:pStyle w:val="sig-0"/>
        <w:tabs>
          <w:tab w:val="clear" w:pos="4820"/>
          <w:tab w:val="center" w:pos="5670"/>
        </w:tabs>
        <w:ind w:left="0" w:right="1134"/>
        <w:rPr>
          <w:rFonts w:cs="FrankRuehl" w:hint="cs"/>
          <w:rtl/>
        </w:rPr>
      </w:pPr>
    </w:p>
    <w:p w:rsidR="009B4BC1" w:rsidRDefault="009B4BC1">
      <w:pPr>
        <w:pStyle w:val="sig-0"/>
        <w:ind w:left="0" w:right="1134"/>
        <w:rPr>
          <w:rFonts w:cs="FrankRuehl"/>
          <w:rtl/>
        </w:rPr>
      </w:pPr>
    </w:p>
    <w:p w:rsidR="009B4BC1" w:rsidRDefault="009B4BC1">
      <w:pPr>
        <w:pStyle w:val="sig-0"/>
        <w:ind w:left="0" w:right="1134"/>
        <w:rPr>
          <w:rFonts w:cs="FrankRuehl"/>
          <w:rtl/>
        </w:rPr>
      </w:pPr>
    </w:p>
    <w:p w:rsidR="009B4BC1" w:rsidRDefault="009B4BC1" w:rsidP="009B4BC1">
      <w:pPr>
        <w:pStyle w:val="sig-0"/>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D078B6" w:rsidRPr="009B4BC1" w:rsidRDefault="00D078B6" w:rsidP="009B4BC1">
      <w:pPr>
        <w:pStyle w:val="sig-0"/>
        <w:ind w:left="0" w:right="1134"/>
        <w:jc w:val="center"/>
        <w:rPr>
          <w:rFonts w:cs="David"/>
          <w:color w:val="0000FF"/>
          <w:szCs w:val="24"/>
          <w:u w:val="single"/>
          <w:rtl/>
        </w:rPr>
      </w:pPr>
    </w:p>
    <w:sectPr w:rsidR="00D078B6" w:rsidRPr="009B4BC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BCE" w:rsidRDefault="00AE7BCE">
      <w:r>
        <w:separator/>
      </w:r>
    </w:p>
  </w:endnote>
  <w:endnote w:type="continuationSeparator" w:id="0">
    <w:p w:rsidR="00AE7BCE" w:rsidRDefault="00AE7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4BC1">
      <w:rPr>
        <w:rFonts w:cs="TopType Jerushalmi"/>
        <w:noProof/>
        <w:color w:val="000000"/>
        <w:sz w:val="14"/>
        <w:szCs w:val="14"/>
      </w:rPr>
      <w:t>Y:\0000-law\yael\10-06-02\hak100531\tav\500_320.doc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B4BC1">
      <w:rPr>
        <w:rFonts w:hAnsi="FrankRuehl" w:cs="FrankRuehl"/>
        <w:noProof/>
        <w:sz w:val="24"/>
        <w:szCs w:val="24"/>
        <w:rtl/>
      </w:rPr>
      <w:t>2</w:t>
    </w:r>
    <w:r>
      <w:rPr>
        <w:rFonts w:hAnsi="FrankRuehl" w:cs="FrankRuehl"/>
        <w:sz w:val="24"/>
        <w:szCs w:val="24"/>
        <w:rtl/>
      </w:rPr>
      <w:fldChar w:fldCharType="end"/>
    </w:r>
  </w:p>
  <w:p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B4BC1">
      <w:rPr>
        <w:rFonts w:cs="TopType Jerushalmi"/>
        <w:noProof/>
        <w:color w:val="000000"/>
        <w:sz w:val="14"/>
        <w:szCs w:val="14"/>
      </w:rPr>
      <w:t>Y:\0000-law\yael\10-06-02\hak100531\tav\500_320.doc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BCE" w:rsidRDefault="00AE7BCE">
      <w:r>
        <w:separator/>
      </w:r>
    </w:p>
  </w:footnote>
  <w:footnote w:type="continuationSeparator" w:id="0">
    <w:p w:rsidR="00AE7BCE" w:rsidRDefault="00AE7BCE">
      <w:r>
        <w:continuationSeparator/>
      </w:r>
    </w:p>
  </w:footnote>
  <w:footnote w:id="1">
    <w:p w:rsidR="00C250EA" w:rsidRDefault="00CB07BE" w:rsidP="00C250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6229C3">
        <w:rPr>
          <w:rFonts w:cs="FrankRuehl" w:hint="cs"/>
          <w:rtl/>
        </w:rPr>
        <w:t xml:space="preserve"> פורסמו</w:t>
      </w:r>
      <w:r>
        <w:rPr>
          <w:rFonts w:cs="FrankRuehl" w:hint="cs"/>
          <w:rtl/>
        </w:rPr>
        <w:t xml:space="preserve"> </w:t>
      </w:r>
      <w:hyperlink r:id="rId1" w:history="1">
        <w:r w:rsidRPr="00C250EA">
          <w:rPr>
            <w:rStyle w:val="Hyperlink"/>
            <w:rFonts w:cs="FrankRuehl" w:hint="cs"/>
            <w:rtl/>
          </w:rPr>
          <w:t>ק"ת תש"ע מס' 689</w:t>
        </w:r>
        <w:r w:rsidR="00764060" w:rsidRPr="00C250EA">
          <w:rPr>
            <w:rStyle w:val="Hyperlink"/>
            <w:rFonts w:cs="FrankRuehl" w:hint="cs"/>
            <w:rtl/>
          </w:rPr>
          <w:t>4</w:t>
        </w:r>
      </w:hyperlink>
      <w:r>
        <w:rPr>
          <w:rFonts w:cs="FrankRuehl" w:hint="cs"/>
          <w:rtl/>
        </w:rPr>
        <w:t xml:space="preserve"> מיום </w:t>
      </w:r>
      <w:r w:rsidR="00764060">
        <w:rPr>
          <w:rFonts w:cs="FrankRuehl" w:hint="cs"/>
          <w:rtl/>
        </w:rPr>
        <w:t>31</w:t>
      </w:r>
      <w:r>
        <w:rPr>
          <w:rFonts w:cs="FrankRuehl" w:hint="cs"/>
          <w:rtl/>
        </w:rPr>
        <w:t xml:space="preserve">.5.2010 עמ' </w:t>
      </w:r>
      <w:r w:rsidR="00432BCA">
        <w:rPr>
          <w:rFonts w:cs="FrankRuehl" w:hint="cs"/>
          <w:rtl/>
        </w:rPr>
        <w:t>11</w:t>
      </w:r>
      <w:r w:rsidR="00764060">
        <w:rPr>
          <w:rFonts w:cs="FrankRuehl" w:hint="cs"/>
          <w:rtl/>
        </w:rPr>
        <w:t>46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7BE" w:rsidRDefault="009B07E1" w:rsidP="0076406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764060">
      <w:rPr>
        <w:rFonts w:hAnsi="FrankRuehl" w:cs="FrankRuehl" w:hint="cs"/>
        <w:color w:val="000000"/>
        <w:sz w:val="28"/>
        <w:szCs w:val="28"/>
        <w:rtl/>
      </w:rPr>
      <w:t>להגנה על עדים (הגבלות על עובדי הרשות בתקופת עבודתם ברשות ולאחריה</w:t>
    </w:r>
    <w:r w:rsidR="00CB07BE">
      <w:rPr>
        <w:rFonts w:hAnsi="FrankRuehl" w:cs="FrankRuehl" w:hint="cs"/>
        <w:color w:val="000000"/>
        <w:sz w:val="28"/>
        <w:szCs w:val="28"/>
        <w:rtl/>
      </w:rPr>
      <w:t>), תש"ע-2010</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2330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56DDA"/>
    <w:rsid w:val="0006308F"/>
    <w:rsid w:val="0006314F"/>
    <w:rsid w:val="00067925"/>
    <w:rsid w:val="00067E14"/>
    <w:rsid w:val="00081F43"/>
    <w:rsid w:val="00084084"/>
    <w:rsid w:val="00086891"/>
    <w:rsid w:val="00086ADC"/>
    <w:rsid w:val="00090966"/>
    <w:rsid w:val="00091C02"/>
    <w:rsid w:val="000A46CA"/>
    <w:rsid w:val="000B35BC"/>
    <w:rsid w:val="000B35D5"/>
    <w:rsid w:val="000B4D7F"/>
    <w:rsid w:val="000C0308"/>
    <w:rsid w:val="000C19EE"/>
    <w:rsid w:val="000C7553"/>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7D2C"/>
    <w:rsid w:val="00192FD0"/>
    <w:rsid w:val="00194A90"/>
    <w:rsid w:val="00195009"/>
    <w:rsid w:val="00195336"/>
    <w:rsid w:val="001977BF"/>
    <w:rsid w:val="001A0191"/>
    <w:rsid w:val="001A2280"/>
    <w:rsid w:val="001B185E"/>
    <w:rsid w:val="001B4B20"/>
    <w:rsid w:val="001C1F49"/>
    <w:rsid w:val="001C59FC"/>
    <w:rsid w:val="001E28A8"/>
    <w:rsid w:val="001E54FC"/>
    <w:rsid w:val="001E5820"/>
    <w:rsid w:val="001E6289"/>
    <w:rsid w:val="001F2CA1"/>
    <w:rsid w:val="001F7259"/>
    <w:rsid w:val="001F78D7"/>
    <w:rsid w:val="00204151"/>
    <w:rsid w:val="00216D1A"/>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5782"/>
    <w:rsid w:val="00355575"/>
    <w:rsid w:val="00357E1A"/>
    <w:rsid w:val="0036078D"/>
    <w:rsid w:val="00365037"/>
    <w:rsid w:val="00365377"/>
    <w:rsid w:val="0037387D"/>
    <w:rsid w:val="003817B6"/>
    <w:rsid w:val="0038647F"/>
    <w:rsid w:val="0039533D"/>
    <w:rsid w:val="003A1AA1"/>
    <w:rsid w:val="003C0065"/>
    <w:rsid w:val="003C66D9"/>
    <w:rsid w:val="003D3207"/>
    <w:rsid w:val="003E2E2A"/>
    <w:rsid w:val="003E3F4F"/>
    <w:rsid w:val="003E42FF"/>
    <w:rsid w:val="003F3F64"/>
    <w:rsid w:val="00405724"/>
    <w:rsid w:val="00405C48"/>
    <w:rsid w:val="004100C3"/>
    <w:rsid w:val="00411F72"/>
    <w:rsid w:val="00414DD2"/>
    <w:rsid w:val="0041549C"/>
    <w:rsid w:val="00426CB3"/>
    <w:rsid w:val="00430502"/>
    <w:rsid w:val="00432BCA"/>
    <w:rsid w:val="00433362"/>
    <w:rsid w:val="00442966"/>
    <w:rsid w:val="004441C3"/>
    <w:rsid w:val="00445F2A"/>
    <w:rsid w:val="004515D8"/>
    <w:rsid w:val="00453AE6"/>
    <w:rsid w:val="004578C5"/>
    <w:rsid w:val="004643DF"/>
    <w:rsid w:val="004719B8"/>
    <w:rsid w:val="00482C12"/>
    <w:rsid w:val="00483473"/>
    <w:rsid w:val="0048594B"/>
    <w:rsid w:val="00491D56"/>
    <w:rsid w:val="004A1C6D"/>
    <w:rsid w:val="004B182E"/>
    <w:rsid w:val="004B695B"/>
    <w:rsid w:val="004E328D"/>
    <w:rsid w:val="004E520E"/>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E68F9"/>
    <w:rsid w:val="005F35DF"/>
    <w:rsid w:val="005F47C3"/>
    <w:rsid w:val="005F75BE"/>
    <w:rsid w:val="006012A4"/>
    <w:rsid w:val="006035BA"/>
    <w:rsid w:val="00605968"/>
    <w:rsid w:val="006111BF"/>
    <w:rsid w:val="006179D1"/>
    <w:rsid w:val="006229C3"/>
    <w:rsid w:val="00634E56"/>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40ABF"/>
    <w:rsid w:val="007561A0"/>
    <w:rsid w:val="00760401"/>
    <w:rsid w:val="007613DA"/>
    <w:rsid w:val="00764060"/>
    <w:rsid w:val="007654C4"/>
    <w:rsid w:val="007671F4"/>
    <w:rsid w:val="007771F5"/>
    <w:rsid w:val="00787A63"/>
    <w:rsid w:val="007907E1"/>
    <w:rsid w:val="00797948"/>
    <w:rsid w:val="007979D8"/>
    <w:rsid w:val="007A1EA9"/>
    <w:rsid w:val="007A3435"/>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438F"/>
    <w:rsid w:val="0093080E"/>
    <w:rsid w:val="00936AD0"/>
    <w:rsid w:val="0094088E"/>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B4BC1"/>
    <w:rsid w:val="009C29D3"/>
    <w:rsid w:val="009C34F8"/>
    <w:rsid w:val="009D4948"/>
    <w:rsid w:val="009E52FE"/>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E7BCE"/>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50EA"/>
    <w:rsid w:val="00C263D5"/>
    <w:rsid w:val="00C36B0F"/>
    <w:rsid w:val="00C457F8"/>
    <w:rsid w:val="00C53A30"/>
    <w:rsid w:val="00C66394"/>
    <w:rsid w:val="00C770E3"/>
    <w:rsid w:val="00C83D57"/>
    <w:rsid w:val="00CA76D4"/>
    <w:rsid w:val="00CB07BE"/>
    <w:rsid w:val="00CC1B20"/>
    <w:rsid w:val="00CD1E6D"/>
    <w:rsid w:val="00CD2A4A"/>
    <w:rsid w:val="00CD333B"/>
    <w:rsid w:val="00CD683A"/>
    <w:rsid w:val="00D078B6"/>
    <w:rsid w:val="00D26B9A"/>
    <w:rsid w:val="00D40A5B"/>
    <w:rsid w:val="00D41DC4"/>
    <w:rsid w:val="00D432A0"/>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08BA"/>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C948393-398F-48F1-A8AE-C87FE88A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2369</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7733252</vt:i4>
      </vt:variant>
      <vt:variant>
        <vt:i4>0</vt:i4>
      </vt:variant>
      <vt:variant>
        <vt:i4>0</vt:i4>
      </vt:variant>
      <vt:variant>
        <vt:i4>5</vt:i4>
      </vt:variant>
      <vt:variant>
        <vt:lpwstr>http://www.nevo.co.il/law_word/law06/tak-6894.pdf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להגנה על עדים (הגבלות על עובדי הרשות בתקופת עבודתם ברשות ולאחריה), תש"ע-2010</vt:lpwstr>
  </property>
  <property fmtid="{D5CDD505-2E9C-101B-9397-08002B2CF9AE}" pid="4" name="LAWNUMBER">
    <vt:lpwstr>0320</vt:lpwstr>
  </property>
  <property fmtid="{D5CDD505-2E9C-101B-9397-08002B2CF9AE}" pid="5" name="TYPE">
    <vt:lpwstr>01</vt:lpwstr>
  </property>
  <property fmtid="{D5CDD505-2E9C-101B-9397-08002B2CF9AE}" pid="6" name="CHNAME">
    <vt:lpwstr>סדר דין פלילי</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להגנה על עדים</vt:lpwstr>
  </property>
  <property fmtid="{D5CDD505-2E9C-101B-9397-08002B2CF9AE}" pid="22" name="MEKOR_SAIF1">
    <vt:lpwstr>10XדX;38XאX</vt:lpwstr>
  </property>
  <property fmtid="{D5CDD505-2E9C-101B-9397-08002B2CF9AE}" pid="23" name="NOSE12">
    <vt:lpwstr>עונשין ומשפט פלילי</vt:lpwstr>
  </property>
  <property fmtid="{D5CDD505-2E9C-101B-9397-08002B2CF9AE}" pid="24" name="NOSE22">
    <vt:lpwstr>סדר דין פלילי</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NOSE11">
    <vt:lpwstr>בתי משפט וסדרי דין</vt:lpwstr>
  </property>
  <property fmtid="{D5CDD505-2E9C-101B-9397-08002B2CF9AE}" pid="60" name="NOSE21">
    <vt:lpwstr>סדר דין פלילי</vt:lpwstr>
  </property>
  <property fmtid="{D5CDD505-2E9C-101B-9397-08002B2CF9AE}" pid="61" name="NOSE31">
    <vt:lpwstr>עדות</vt:lpwstr>
  </property>
  <property fmtid="{D5CDD505-2E9C-101B-9397-08002B2CF9AE}" pid="62" name="NOSE41">
    <vt:lpwstr/>
  </property>
  <property fmtid="{D5CDD505-2E9C-101B-9397-08002B2CF9AE}" pid="63" name="MEKORSAMCHUT">
    <vt:lpwstr/>
  </property>
  <property fmtid="{D5CDD505-2E9C-101B-9397-08002B2CF9AE}" pid="64" name="LINKK1">
    <vt:lpwstr>http://www.nevo.co.il/law_word/law06/tak-6894.pdf;‎רשומות - תקנות כלליות#פורסמו ק"ת תש"ע ‏מס' 6894 #מיום 31.5.2010 עמ' 1146‏</vt:lpwstr>
  </property>
</Properties>
</file>