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78B6" w:rsidRDefault="009B07E1" w:rsidP="004016D7">
      <w:pPr>
        <w:pStyle w:val="big-header"/>
        <w:ind w:left="0" w:right="1134"/>
        <w:rPr>
          <w:rFonts w:cs="FrankRuehl" w:hint="cs"/>
          <w:rtl/>
        </w:rPr>
      </w:pPr>
      <w:r>
        <w:rPr>
          <w:rFonts w:cs="FrankRuehl" w:hint="cs"/>
          <w:rtl/>
        </w:rPr>
        <w:t xml:space="preserve">תקנות </w:t>
      </w:r>
      <w:r w:rsidR="00764060">
        <w:rPr>
          <w:rFonts w:cs="FrankRuehl" w:hint="cs"/>
          <w:rtl/>
        </w:rPr>
        <w:t>להגנה על עדים (</w:t>
      </w:r>
      <w:r w:rsidR="004016D7">
        <w:rPr>
          <w:rFonts w:cs="FrankRuehl" w:hint="cs"/>
          <w:rtl/>
        </w:rPr>
        <w:t>העסקה לתקופה קצובה), תשע"ה-2015</w:t>
      </w:r>
    </w:p>
    <w:p w:rsidR="00764060" w:rsidRPr="00764060" w:rsidRDefault="00764060" w:rsidP="00764060">
      <w:pPr>
        <w:spacing w:line="320" w:lineRule="auto"/>
        <w:rPr>
          <w:rFonts w:cs="FrankRuehl"/>
          <w:szCs w:val="26"/>
          <w:rtl/>
        </w:rPr>
      </w:pPr>
    </w:p>
    <w:p w:rsidR="00764060" w:rsidRDefault="00764060" w:rsidP="00764060">
      <w:pPr>
        <w:spacing w:line="320" w:lineRule="auto"/>
        <w:rPr>
          <w:rtl/>
        </w:rPr>
      </w:pPr>
    </w:p>
    <w:p w:rsidR="00764060" w:rsidRDefault="00764060" w:rsidP="00764060">
      <w:pPr>
        <w:spacing w:line="320" w:lineRule="auto"/>
        <w:rPr>
          <w:rFonts w:cs="Miriam"/>
          <w:szCs w:val="22"/>
          <w:rtl/>
        </w:rPr>
      </w:pPr>
      <w:r w:rsidRPr="00764060">
        <w:rPr>
          <w:rFonts w:cs="Miriam"/>
          <w:szCs w:val="22"/>
          <w:rtl/>
        </w:rPr>
        <w:t>בתי משפט וסדרי דין</w:t>
      </w:r>
      <w:r w:rsidRPr="00764060">
        <w:rPr>
          <w:rFonts w:cs="FrankRuehl"/>
          <w:szCs w:val="26"/>
          <w:rtl/>
        </w:rPr>
        <w:t xml:space="preserve"> – סדר דין פלילי – עדות</w:t>
      </w:r>
    </w:p>
    <w:p w:rsidR="00764060" w:rsidRPr="00764060" w:rsidRDefault="00764060" w:rsidP="00764060">
      <w:pPr>
        <w:spacing w:line="320" w:lineRule="auto"/>
        <w:rPr>
          <w:rFonts w:cs="Miriam"/>
          <w:szCs w:val="22"/>
          <w:rtl/>
        </w:rPr>
      </w:pPr>
      <w:r w:rsidRPr="00764060">
        <w:rPr>
          <w:rFonts w:cs="Miriam"/>
          <w:szCs w:val="22"/>
          <w:rtl/>
        </w:rPr>
        <w:t>עונשין ומשפט פלילי</w:t>
      </w:r>
      <w:r w:rsidRPr="00764060">
        <w:rPr>
          <w:rFonts w:cs="FrankRuehl"/>
          <w:szCs w:val="26"/>
          <w:rtl/>
        </w:rPr>
        <w:t xml:space="preserve"> – סדר דין פלילי</w:t>
      </w:r>
    </w:p>
    <w:p w:rsidR="00D078B6" w:rsidRPr="00536FF0" w:rsidRDefault="00D078B6">
      <w:pPr>
        <w:pStyle w:val="big-header"/>
        <w:ind w:left="0" w:right="1134"/>
        <w:rPr>
          <w:rFonts w:cs="FrankRuehl" w:hint="cs"/>
          <w:rtl/>
        </w:rPr>
      </w:pPr>
      <w:r w:rsidRPr="00536FF0">
        <w:rPr>
          <w:rFonts w:cs="FrankRuehl"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17132" w:rsidRPr="00217132" w:rsidTr="00217132">
        <w:tblPrEx>
          <w:tblCellMar>
            <w:top w:w="0" w:type="dxa"/>
            <w:bottom w:w="0" w:type="dxa"/>
          </w:tblCellMar>
        </w:tblPrEx>
        <w:tc>
          <w:tcPr>
            <w:tcW w:w="1247" w:type="dxa"/>
          </w:tcPr>
          <w:p w:rsidR="00217132" w:rsidRPr="00217132" w:rsidRDefault="00217132" w:rsidP="00217132">
            <w:pPr>
              <w:rPr>
                <w:rFonts w:cs="Frankruhel" w:hint="cs"/>
                <w:rtl/>
              </w:rPr>
            </w:pPr>
            <w:r>
              <w:rPr>
                <w:rtl/>
              </w:rPr>
              <w:t xml:space="preserve">סעיף 1 </w:t>
            </w:r>
          </w:p>
        </w:tc>
        <w:tc>
          <w:tcPr>
            <w:tcW w:w="5669" w:type="dxa"/>
          </w:tcPr>
          <w:p w:rsidR="00217132" w:rsidRPr="00217132" w:rsidRDefault="00217132" w:rsidP="00217132">
            <w:pPr>
              <w:rPr>
                <w:rFonts w:cs="Frankruhel" w:hint="cs"/>
                <w:rtl/>
              </w:rPr>
            </w:pPr>
            <w:r>
              <w:rPr>
                <w:rtl/>
              </w:rPr>
              <w:t>הגדרות</w:t>
            </w:r>
          </w:p>
        </w:tc>
        <w:tc>
          <w:tcPr>
            <w:tcW w:w="567" w:type="dxa"/>
          </w:tcPr>
          <w:p w:rsidR="00217132" w:rsidRPr="00217132" w:rsidRDefault="00217132" w:rsidP="00217132">
            <w:pPr>
              <w:rPr>
                <w:rStyle w:val="Hyperlink"/>
                <w:rFonts w:hint="cs"/>
                <w:rtl/>
              </w:rPr>
            </w:pPr>
            <w:hyperlink w:anchor="Seif1" w:tooltip="הגדרות" w:history="1">
              <w:r w:rsidRPr="00217132">
                <w:rPr>
                  <w:rStyle w:val="Hyperlink"/>
                </w:rPr>
                <w:t>Go</w:t>
              </w:r>
            </w:hyperlink>
          </w:p>
        </w:tc>
        <w:tc>
          <w:tcPr>
            <w:tcW w:w="850" w:type="dxa"/>
          </w:tcPr>
          <w:p w:rsidR="00217132" w:rsidRPr="00217132" w:rsidRDefault="00217132" w:rsidP="0021713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217132" w:rsidRPr="00217132" w:rsidTr="00217132">
        <w:tblPrEx>
          <w:tblCellMar>
            <w:top w:w="0" w:type="dxa"/>
            <w:bottom w:w="0" w:type="dxa"/>
          </w:tblCellMar>
        </w:tblPrEx>
        <w:tc>
          <w:tcPr>
            <w:tcW w:w="1247" w:type="dxa"/>
          </w:tcPr>
          <w:p w:rsidR="00217132" w:rsidRPr="00217132" w:rsidRDefault="00217132" w:rsidP="00217132">
            <w:pPr>
              <w:rPr>
                <w:rFonts w:cs="Frankruhel" w:hint="cs"/>
                <w:rtl/>
              </w:rPr>
            </w:pPr>
            <w:r>
              <w:rPr>
                <w:rtl/>
              </w:rPr>
              <w:t xml:space="preserve">סעיף 2 </w:t>
            </w:r>
          </w:p>
        </w:tc>
        <w:tc>
          <w:tcPr>
            <w:tcW w:w="5669" w:type="dxa"/>
          </w:tcPr>
          <w:p w:rsidR="00217132" w:rsidRPr="00217132" w:rsidRDefault="00217132" w:rsidP="00217132">
            <w:pPr>
              <w:rPr>
                <w:rFonts w:cs="Frankruhel" w:hint="cs"/>
                <w:rtl/>
              </w:rPr>
            </w:pPr>
            <w:r>
              <w:rPr>
                <w:rtl/>
              </w:rPr>
              <w:t>העסקה לתקופה קצובה</w:t>
            </w:r>
          </w:p>
        </w:tc>
        <w:tc>
          <w:tcPr>
            <w:tcW w:w="567" w:type="dxa"/>
          </w:tcPr>
          <w:p w:rsidR="00217132" w:rsidRPr="00217132" w:rsidRDefault="00217132" w:rsidP="00217132">
            <w:pPr>
              <w:rPr>
                <w:rStyle w:val="Hyperlink"/>
                <w:rFonts w:hint="cs"/>
                <w:rtl/>
              </w:rPr>
            </w:pPr>
            <w:hyperlink w:anchor="Seif2" w:tooltip="העסקה לתקופה קצובה" w:history="1">
              <w:r w:rsidRPr="00217132">
                <w:rPr>
                  <w:rStyle w:val="Hyperlink"/>
                </w:rPr>
                <w:t>Go</w:t>
              </w:r>
            </w:hyperlink>
          </w:p>
        </w:tc>
        <w:tc>
          <w:tcPr>
            <w:tcW w:w="850" w:type="dxa"/>
          </w:tcPr>
          <w:p w:rsidR="00217132" w:rsidRPr="00217132" w:rsidRDefault="00217132" w:rsidP="0021713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217132" w:rsidRPr="00217132" w:rsidTr="00217132">
        <w:tblPrEx>
          <w:tblCellMar>
            <w:top w:w="0" w:type="dxa"/>
            <w:bottom w:w="0" w:type="dxa"/>
          </w:tblCellMar>
        </w:tblPrEx>
        <w:tc>
          <w:tcPr>
            <w:tcW w:w="1247" w:type="dxa"/>
          </w:tcPr>
          <w:p w:rsidR="00217132" w:rsidRPr="00217132" w:rsidRDefault="00217132" w:rsidP="00217132">
            <w:pPr>
              <w:rPr>
                <w:rFonts w:cs="Frankruhel" w:hint="cs"/>
                <w:rtl/>
              </w:rPr>
            </w:pPr>
            <w:r>
              <w:rPr>
                <w:rtl/>
              </w:rPr>
              <w:t xml:space="preserve">סעיף 3 </w:t>
            </w:r>
          </w:p>
        </w:tc>
        <w:tc>
          <w:tcPr>
            <w:tcW w:w="5669" w:type="dxa"/>
          </w:tcPr>
          <w:p w:rsidR="00217132" w:rsidRPr="00217132" w:rsidRDefault="00217132" w:rsidP="00217132">
            <w:pPr>
              <w:rPr>
                <w:rFonts w:cs="Frankruhel" w:hint="cs"/>
                <w:rtl/>
              </w:rPr>
            </w:pPr>
            <w:r>
              <w:rPr>
                <w:rtl/>
              </w:rPr>
              <w:t>תחילה</w:t>
            </w:r>
          </w:p>
        </w:tc>
        <w:tc>
          <w:tcPr>
            <w:tcW w:w="567" w:type="dxa"/>
          </w:tcPr>
          <w:p w:rsidR="00217132" w:rsidRPr="00217132" w:rsidRDefault="00217132" w:rsidP="00217132">
            <w:pPr>
              <w:rPr>
                <w:rStyle w:val="Hyperlink"/>
                <w:rFonts w:hint="cs"/>
                <w:rtl/>
              </w:rPr>
            </w:pPr>
            <w:hyperlink w:anchor="Seif3" w:tooltip="תחילה" w:history="1">
              <w:r w:rsidRPr="00217132">
                <w:rPr>
                  <w:rStyle w:val="Hyperlink"/>
                </w:rPr>
                <w:t>Go</w:t>
              </w:r>
            </w:hyperlink>
          </w:p>
        </w:tc>
        <w:tc>
          <w:tcPr>
            <w:tcW w:w="850" w:type="dxa"/>
          </w:tcPr>
          <w:p w:rsidR="00217132" w:rsidRPr="00217132" w:rsidRDefault="00217132" w:rsidP="0021713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bl>
    <w:p w:rsidR="00D078B6" w:rsidRPr="00536FF0" w:rsidRDefault="00D078B6">
      <w:pPr>
        <w:pStyle w:val="big-header"/>
        <w:ind w:left="0" w:right="1134"/>
        <w:rPr>
          <w:rFonts w:cs="FrankRuehl" w:hint="cs"/>
          <w:rtl/>
        </w:rPr>
      </w:pPr>
    </w:p>
    <w:p w:rsidR="00D078B6" w:rsidRPr="00536FF0" w:rsidRDefault="00D078B6" w:rsidP="004016D7">
      <w:pPr>
        <w:pStyle w:val="big-header"/>
        <w:ind w:left="0" w:right="1134"/>
        <w:rPr>
          <w:rStyle w:val="default"/>
          <w:rFonts w:hint="cs"/>
          <w:sz w:val="20"/>
          <w:szCs w:val="22"/>
          <w:rtl/>
        </w:rPr>
      </w:pPr>
      <w:r w:rsidRPr="00536FF0">
        <w:rPr>
          <w:rFonts w:cs="FrankRuehl"/>
          <w:rtl/>
        </w:rPr>
        <w:br w:type="page"/>
      </w:r>
      <w:r w:rsidR="00764060">
        <w:rPr>
          <w:rFonts w:cs="FrankRuehl" w:hint="cs"/>
          <w:rtl/>
        </w:rPr>
        <w:lastRenderedPageBreak/>
        <w:t>תקנות להגנה על עדים (</w:t>
      </w:r>
      <w:r w:rsidR="004016D7">
        <w:rPr>
          <w:rFonts w:cs="FrankRuehl" w:hint="cs"/>
          <w:rtl/>
        </w:rPr>
        <w:t>העסקה לתקופה קצובה), תשע"ה-2015</w:t>
      </w:r>
      <w:r w:rsidRPr="00536FF0">
        <w:rPr>
          <w:rStyle w:val="default"/>
          <w:sz w:val="20"/>
          <w:szCs w:val="22"/>
          <w:rtl/>
        </w:rPr>
        <w:footnoteReference w:customMarkFollows="1" w:id="1"/>
        <w:t>*</w:t>
      </w:r>
    </w:p>
    <w:p w:rsidR="006411A2" w:rsidRDefault="008D2195" w:rsidP="000A1939">
      <w:pPr>
        <w:pStyle w:val="P00"/>
        <w:spacing w:before="72"/>
        <w:ind w:left="0" w:right="1134"/>
        <w:rPr>
          <w:rStyle w:val="default"/>
          <w:rFonts w:cs="FrankRuehl" w:hint="cs"/>
          <w:sz w:val="20"/>
          <w:rtl/>
        </w:rPr>
      </w:pPr>
      <w:r w:rsidRPr="00536FF0">
        <w:rPr>
          <w:rStyle w:val="default"/>
          <w:rFonts w:cs="FrankRuehl" w:hint="cs"/>
          <w:sz w:val="20"/>
          <w:rtl/>
        </w:rPr>
        <w:tab/>
        <w:t xml:space="preserve">בתוקף </w:t>
      </w:r>
      <w:r w:rsidR="00764060">
        <w:rPr>
          <w:rStyle w:val="default"/>
          <w:rFonts w:cs="FrankRuehl" w:hint="cs"/>
          <w:sz w:val="20"/>
          <w:rtl/>
        </w:rPr>
        <w:t>סמכותי לפי סעי</w:t>
      </w:r>
      <w:r w:rsidR="000A1939">
        <w:rPr>
          <w:rStyle w:val="default"/>
          <w:rFonts w:cs="FrankRuehl" w:hint="cs"/>
          <w:sz w:val="20"/>
          <w:rtl/>
        </w:rPr>
        <w:t>ף</w:t>
      </w:r>
      <w:r w:rsidR="00764060">
        <w:rPr>
          <w:rStyle w:val="default"/>
          <w:rFonts w:cs="FrankRuehl" w:hint="cs"/>
          <w:sz w:val="20"/>
          <w:rtl/>
        </w:rPr>
        <w:t xml:space="preserve"> 10(</w:t>
      </w:r>
      <w:r w:rsidR="000A1939">
        <w:rPr>
          <w:rStyle w:val="default"/>
          <w:rFonts w:cs="FrankRuehl" w:hint="cs"/>
          <w:sz w:val="20"/>
          <w:rtl/>
        </w:rPr>
        <w:t>ב</w:t>
      </w:r>
      <w:r w:rsidR="00764060">
        <w:rPr>
          <w:rStyle w:val="default"/>
          <w:rFonts w:cs="FrankRuehl" w:hint="cs"/>
          <w:sz w:val="20"/>
          <w:rtl/>
        </w:rPr>
        <w:t xml:space="preserve">) לחוק להגנה על עדים, התשס"ט-2008 (להלן </w:t>
      </w:r>
      <w:r w:rsidR="00764060">
        <w:rPr>
          <w:rStyle w:val="default"/>
          <w:rFonts w:cs="FrankRuehl"/>
          <w:sz w:val="20"/>
          <w:rtl/>
        </w:rPr>
        <w:t>–</w:t>
      </w:r>
      <w:r w:rsidR="00764060">
        <w:rPr>
          <w:rStyle w:val="default"/>
          <w:rFonts w:cs="FrankRuehl" w:hint="cs"/>
          <w:sz w:val="20"/>
          <w:rtl/>
        </w:rPr>
        <w:t xml:space="preserve"> החוק), </w:t>
      </w:r>
      <w:r w:rsidR="000A1939">
        <w:rPr>
          <w:rStyle w:val="default"/>
          <w:rFonts w:cs="FrankRuehl" w:hint="cs"/>
          <w:sz w:val="20"/>
          <w:rtl/>
        </w:rPr>
        <w:t>לאחר התייעצות עם נציב שירות המדינה, בכפוף להוראות חוק יסודות התקציב, התשמ"ה-1985, ובכפוף להוראות חוק התקציב השנתי</w:t>
      </w:r>
      <w:r w:rsidR="00764060">
        <w:rPr>
          <w:rStyle w:val="default"/>
          <w:rFonts w:cs="FrankRuehl" w:hint="cs"/>
          <w:sz w:val="20"/>
          <w:rtl/>
        </w:rPr>
        <w:t>, אני מתקין תקנות אלה</w:t>
      </w:r>
      <w:r w:rsidRPr="00536FF0">
        <w:rPr>
          <w:rStyle w:val="default"/>
          <w:rFonts w:cs="FrankRuehl" w:hint="cs"/>
          <w:sz w:val="20"/>
          <w:rtl/>
        </w:rPr>
        <w:t>:</w:t>
      </w:r>
    </w:p>
    <w:p w:rsidR="000A1939" w:rsidRDefault="00D078B6" w:rsidP="00357E1A">
      <w:pPr>
        <w:pStyle w:val="P00"/>
        <w:spacing w:before="72"/>
        <w:ind w:left="0" w:right="1134"/>
        <w:rPr>
          <w:rStyle w:val="default"/>
          <w:rFonts w:cs="FrankRuehl" w:hint="cs"/>
          <w:sz w:val="20"/>
          <w:rtl/>
        </w:rPr>
      </w:pPr>
      <w:bookmarkStart w:id="0" w:name="Seif1"/>
      <w:bookmarkEnd w:id="0"/>
      <w:r w:rsidRPr="00536FF0">
        <w:rPr>
          <w:rFonts w:cs="Miriam"/>
          <w:lang w:val="he-IL"/>
        </w:rPr>
        <w:pict>
          <v:rect id="_x0000_s1026" style="position:absolute;left:0;text-align:left;margin-left:464.35pt;margin-top:7.1pt;width:75.05pt;height:9.45pt;z-index:251656192" o:allowincell="f" filled="f" stroked="f" strokecolor="lime" strokeweight=".25pt">
            <v:textbox style="mso-next-textbox:#_x0000_s1026" inset="0,0,0,0">
              <w:txbxContent>
                <w:p w:rsidR="00CB07BE" w:rsidRDefault="000A1939" w:rsidP="002F2344">
                  <w:pPr>
                    <w:spacing w:line="160" w:lineRule="exact"/>
                    <w:rPr>
                      <w:rFonts w:cs="Miriam" w:hint="cs"/>
                      <w:noProof/>
                      <w:sz w:val="18"/>
                      <w:szCs w:val="18"/>
                      <w:rtl/>
                    </w:rPr>
                  </w:pPr>
                  <w:r>
                    <w:rPr>
                      <w:rFonts w:cs="Miriam" w:hint="cs"/>
                      <w:sz w:val="18"/>
                      <w:szCs w:val="18"/>
                      <w:rtl/>
                    </w:rPr>
                    <w:t>הגדרות</w:t>
                  </w:r>
                </w:p>
              </w:txbxContent>
            </v:textbox>
            <w10:anchorlock/>
          </v:rect>
        </w:pict>
      </w:r>
      <w:r w:rsidRPr="00536FF0">
        <w:rPr>
          <w:rStyle w:val="big-number"/>
          <w:rFonts w:cs="Miriam"/>
          <w:sz w:val="20"/>
          <w:rtl/>
        </w:rPr>
        <w:t>1</w:t>
      </w:r>
      <w:r w:rsidRPr="00536FF0">
        <w:rPr>
          <w:rStyle w:val="big-number"/>
          <w:rFonts w:cs="FrankRuehl"/>
          <w:sz w:val="20"/>
          <w:szCs w:val="26"/>
          <w:rtl/>
        </w:rPr>
        <w:t>.</w:t>
      </w:r>
      <w:r w:rsidRPr="00536FF0">
        <w:rPr>
          <w:rStyle w:val="big-number"/>
          <w:rFonts w:cs="FrankRuehl"/>
          <w:sz w:val="20"/>
          <w:szCs w:val="26"/>
          <w:rtl/>
        </w:rPr>
        <w:tab/>
      </w:r>
      <w:r w:rsidR="00357E1A">
        <w:rPr>
          <w:rStyle w:val="default"/>
          <w:rFonts w:cs="FrankRuehl" w:hint="cs"/>
          <w:sz w:val="20"/>
          <w:rtl/>
        </w:rPr>
        <w:t>בתקנות אלה</w:t>
      </w:r>
      <w:r w:rsidR="000A1939">
        <w:rPr>
          <w:rStyle w:val="default"/>
          <w:rFonts w:cs="FrankRuehl" w:hint="cs"/>
          <w:sz w:val="20"/>
          <w:rtl/>
        </w:rPr>
        <w:t xml:space="preserve"> </w:t>
      </w:r>
      <w:r w:rsidR="000A1939">
        <w:rPr>
          <w:rStyle w:val="default"/>
          <w:rFonts w:cs="FrankRuehl"/>
          <w:sz w:val="20"/>
          <w:rtl/>
        </w:rPr>
        <w:t>–</w:t>
      </w:r>
    </w:p>
    <w:p w:rsidR="00D078B6" w:rsidRDefault="000A1939" w:rsidP="00357E1A">
      <w:pPr>
        <w:pStyle w:val="P00"/>
        <w:spacing w:before="72"/>
        <w:ind w:left="0" w:right="1134"/>
        <w:rPr>
          <w:rStyle w:val="default"/>
          <w:rFonts w:cs="FrankRuehl" w:hint="cs"/>
          <w:sz w:val="20"/>
          <w:rtl/>
        </w:rPr>
      </w:pPr>
      <w:r>
        <w:rPr>
          <w:rStyle w:val="default"/>
          <w:rFonts w:cs="FrankRuehl" w:hint="cs"/>
          <w:sz w:val="20"/>
          <w:rtl/>
        </w:rPr>
        <w:tab/>
      </w:r>
      <w:r w:rsidR="00764060">
        <w:rPr>
          <w:rStyle w:val="default"/>
          <w:rFonts w:cs="FrankRuehl" w:hint="cs"/>
          <w:sz w:val="20"/>
          <w:rtl/>
        </w:rPr>
        <w:t xml:space="preserve">"הרשות" </w:t>
      </w:r>
      <w:r w:rsidR="00764060">
        <w:rPr>
          <w:rStyle w:val="default"/>
          <w:rFonts w:cs="FrankRuehl"/>
          <w:sz w:val="20"/>
          <w:rtl/>
        </w:rPr>
        <w:t>–</w:t>
      </w:r>
      <w:r w:rsidR="00764060">
        <w:rPr>
          <w:rStyle w:val="default"/>
          <w:rFonts w:cs="FrankRuehl" w:hint="cs"/>
          <w:sz w:val="20"/>
          <w:rtl/>
        </w:rPr>
        <w:t xml:space="preserve"> הרשות להגנה על עדים</w:t>
      </w:r>
      <w:r>
        <w:rPr>
          <w:rStyle w:val="default"/>
          <w:rFonts w:cs="FrankRuehl" w:hint="cs"/>
          <w:sz w:val="20"/>
          <w:rtl/>
        </w:rPr>
        <w:t>, כמשמעותה בסעיף 2 לחוק;</w:t>
      </w:r>
    </w:p>
    <w:p w:rsidR="000A1939" w:rsidRDefault="000A1939" w:rsidP="00357E1A">
      <w:pPr>
        <w:pStyle w:val="P00"/>
        <w:spacing w:before="72"/>
        <w:ind w:left="0" w:right="1134"/>
        <w:rPr>
          <w:rStyle w:val="default"/>
          <w:rFonts w:cs="FrankRuehl" w:hint="cs"/>
          <w:sz w:val="20"/>
          <w:rtl/>
        </w:rPr>
      </w:pPr>
      <w:r>
        <w:rPr>
          <w:rStyle w:val="default"/>
          <w:rFonts w:cs="FrankRuehl" w:hint="cs"/>
          <w:sz w:val="20"/>
          <w:rtl/>
        </w:rPr>
        <w:tab/>
        <w:t xml:space="preserve">"חוזה מיוחד לתקופה קצובה" </w:t>
      </w:r>
      <w:r>
        <w:rPr>
          <w:rStyle w:val="default"/>
          <w:rFonts w:cs="FrankRuehl"/>
          <w:sz w:val="20"/>
          <w:rtl/>
        </w:rPr>
        <w:t>–</w:t>
      </w:r>
      <w:r>
        <w:rPr>
          <w:rStyle w:val="default"/>
          <w:rFonts w:cs="FrankRuehl" w:hint="cs"/>
          <w:sz w:val="20"/>
          <w:rtl/>
        </w:rPr>
        <w:t xml:space="preserve"> חוזה העסקה של מאבטחי הרשות כמשמעותו בסעיף 40 לחוק המינויים ובשינויים האמורים בתקנות אלה;</w:t>
      </w:r>
    </w:p>
    <w:p w:rsidR="000A1939" w:rsidRDefault="000A1939" w:rsidP="00357E1A">
      <w:pPr>
        <w:pStyle w:val="P00"/>
        <w:spacing w:before="72"/>
        <w:ind w:left="0" w:right="1134"/>
        <w:rPr>
          <w:rStyle w:val="default"/>
          <w:rFonts w:cs="FrankRuehl" w:hint="cs"/>
          <w:sz w:val="20"/>
          <w:rtl/>
        </w:rPr>
      </w:pPr>
      <w:r>
        <w:rPr>
          <w:rStyle w:val="default"/>
          <w:rFonts w:cs="FrankRuehl" w:hint="cs"/>
          <w:sz w:val="20"/>
          <w:rtl/>
        </w:rPr>
        <w:tab/>
        <w:t xml:space="preserve">"חוק המינויים" </w:t>
      </w:r>
      <w:r>
        <w:rPr>
          <w:rStyle w:val="default"/>
          <w:rFonts w:cs="FrankRuehl"/>
          <w:sz w:val="20"/>
          <w:rtl/>
        </w:rPr>
        <w:t>–</w:t>
      </w:r>
      <w:r>
        <w:rPr>
          <w:rStyle w:val="default"/>
          <w:rFonts w:cs="FrankRuehl" w:hint="cs"/>
          <w:sz w:val="20"/>
          <w:rtl/>
        </w:rPr>
        <w:t xml:space="preserve"> חוק שירות המדינה (מינויים), התשי"ט-1959;</w:t>
      </w:r>
    </w:p>
    <w:p w:rsidR="000A1939" w:rsidRDefault="000A1939" w:rsidP="00357E1A">
      <w:pPr>
        <w:pStyle w:val="P00"/>
        <w:spacing w:before="72"/>
        <w:ind w:left="0" w:right="1134"/>
        <w:rPr>
          <w:rStyle w:val="default"/>
          <w:rFonts w:cs="FrankRuehl" w:hint="cs"/>
          <w:sz w:val="20"/>
          <w:rtl/>
        </w:rPr>
      </w:pPr>
      <w:r>
        <w:rPr>
          <w:rStyle w:val="default"/>
          <w:rFonts w:cs="FrankRuehl" w:hint="cs"/>
          <w:sz w:val="20"/>
          <w:rtl/>
        </w:rPr>
        <w:tab/>
        <w:t xml:space="preserve">"מאבטחי הרשות" </w:t>
      </w:r>
      <w:r>
        <w:rPr>
          <w:rStyle w:val="default"/>
          <w:rFonts w:cs="FrankRuehl"/>
          <w:sz w:val="20"/>
          <w:rtl/>
        </w:rPr>
        <w:t>–</w:t>
      </w:r>
      <w:r>
        <w:rPr>
          <w:rStyle w:val="default"/>
          <w:rFonts w:cs="FrankRuehl" w:hint="cs"/>
          <w:sz w:val="20"/>
          <w:rtl/>
        </w:rPr>
        <w:t xml:space="preserve"> מאבטחים עובדי הרשות כמשמעותם בסעיף 11 לחוק, שהם עובדי המדינה;</w:t>
      </w:r>
    </w:p>
    <w:p w:rsidR="000A1939" w:rsidRDefault="000A1939" w:rsidP="00357E1A">
      <w:pPr>
        <w:pStyle w:val="P00"/>
        <w:spacing w:before="72"/>
        <w:ind w:left="0" w:right="1134"/>
        <w:rPr>
          <w:rStyle w:val="default"/>
          <w:rFonts w:cs="FrankRuehl" w:hint="cs"/>
          <w:sz w:val="20"/>
          <w:rtl/>
        </w:rPr>
      </w:pPr>
      <w:r>
        <w:rPr>
          <w:rStyle w:val="default"/>
          <w:rFonts w:cs="FrankRuehl" w:hint="cs"/>
          <w:sz w:val="20"/>
          <w:rtl/>
        </w:rPr>
        <w:tab/>
        <w:t xml:space="preserve">"מנהל הרשות" </w:t>
      </w:r>
      <w:r>
        <w:rPr>
          <w:rStyle w:val="default"/>
          <w:rFonts w:cs="FrankRuehl"/>
          <w:sz w:val="20"/>
          <w:rtl/>
        </w:rPr>
        <w:t>–</w:t>
      </w:r>
      <w:r>
        <w:rPr>
          <w:rStyle w:val="default"/>
          <w:rFonts w:cs="FrankRuehl" w:hint="cs"/>
          <w:sz w:val="20"/>
          <w:rtl/>
        </w:rPr>
        <w:t xml:space="preserve"> כהגדרתו בסעיף 5 לחוק או מי שהוא הסמיכו לעניין תקנות אלה;</w:t>
      </w:r>
    </w:p>
    <w:p w:rsidR="000A1939" w:rsidRDefault="000A1939" w:rsidP="00357E1A">
      <w:pPr>
        <w:pStyle w:val="P00"/>
        <w:spacing w:before="72"/>
        <w:ind w:left="0" w:right="1134"/>
        <w:rPr>
          <w:rStyle w:val="default"/>
          <w:rFonts w:cs="FrankRuehl" w:hint="cs"/>
          <w:sz w:val="20"/>
          <w:rtl/>
        </w:rPr>
      </w:pPr>
      <w:r>
        <w:rPr>
          <w:rStyle w:val="default"/>
          <w:rFonts w:cs="FrankRuehl" w:hint="cs"/>
          <w:sz w:val="20"/>
          <w:rtl/>
        </w:rPr>
        <w:tab/>
        <w:t xml:space="preserve">"נציב השירות" </w:t>
      </w:r>
      <w:r>
        <w:rPr>
          <w:rStyle w:val="default"/>
          <w:rFonts w:cs="FrankRuehl"/>
          <w:sz w:val="20"/>
          <w:rtl/>
        </w:rPr>
        <w:t>–</w:t>
      </w:r>
      <w:r>
        <w:rPr>
          <w:rStyle w:val="default"/>
          <w:rFonts w:cs="FrankRuehl" w:hint="cs"/>
          <w:sz w:val="20"/>
          <w:rtl/>
        </w:rPr>
        <w:t xml:space="preserve"> נציב שירות המדינה כמשמעותו בסעיף 6 לחוק המינויים או מי שהוא הסמיכו לעניין תקנות אלה.</w:t>
      </w:r>
    </w:p>
    <w:p w:rsidR="000179E7" w:rsidRDefault="000179E7" w:rsidP="000A1939">
      <w:pPr>
        <w:pStyle w:val="P00"/>
        <w:spacing w:before="72"/>
        <w:ind w:left="0" w:right="1134"/>
        <w:rPr>
          <w:rStyle w:val="default"/>
          <w:rFonts w:cs="FrankRuehl" w:hint="cs"/>
          <w:sz w:val="20"/>
          <w:rtl/>
        </w:rPr>
      </w:pPr>
      <w:bookmarkStart w:id="1" w:name="Seif2"/>
      <w:bookmarkEnd w:id="1"/>
      <w:r w:rsidRPr="00536FF0">
        <w:rPr>
          <w:rFonts w:cs="Miriam"/>
          <w:lang w:val="he-IL"/>
        </w:rPr>
        <w:pict>
          <v:rect id="_x0000_s1413" style="position:absolute;left:0;text-align:left;margin-left:464.35pt;margin-top:7.1pt;width:75.05pt;height:25.05pt;z-index:251657216" o:allowincell="f" filled="f" stroked="f" strokecolor="lime" strokeweight=".25pt">
            <v:textbox style="mso-next-textbox:#_x0000_s1413" inset="0,0,0,0">
              <w:txbxContent>
                <w:p w:rsidR="00CB07BE" w:rsidRDefault="000A1939" w:rsidP="000179E7">
                  <w:pPr>
                    <w:spacing w:line="160" w:lineRule="exact"/>
                    <w:rPr>
                      <w:rFonts w:cs="Miriam"/>
                      <w:noProof/>
                      <w:sz w:val="18"/>
                      <w:szCs w:val="18"/>
                      <w:rtl/>
                    </w:rPr>
                  </w:pPr>
                  <w:r>
                    <w:rPr>
                      <w:rFonts w:cs="Miriam" w:hint="cs"/>
                      <w:sz w:val="18"/>
                      <w:szCs w:val="18"/>
                      <w:rtl/>
                    </w:rPr>
                    <w:t>העסקה לתקופה קצובה</w:t>
                  </w:r>
                </w:p>
                <w:p w:rsidR="00F926A0" w:rsidRDefault="00F926A0" w:rsidP="000179E7">
                  <w:pPr>
                    <w:spacing w:line="160" w:lineRule="exact"/>
                    <w:rPr>
                      <w:rFonts w:cs="Miriam" w:hint="cs"/>
                      <w:noProof/>
                      <w:sz w:val="18"/>
                      <w:szCs w:val="18"/>
                      <w:rtl/>
                    </w:rPr>
                  </w:pPr>
                  <w:r>
                    <w:rPr>
                      <w:rFonts w:cs="Miriam" w:hint="cs"/>
                      <w:noProof/>
                      <w:sz w:val="18"/>
                      <w:szCs w:val="18"/>
                      <w:rtl/>
                    </w:rPr>
                    <w:t>תק' תשע"ח-2018</w:t>
                  </w:r>
                </w:p>
              </w:txbxContent>
            </v:textbox>
            <w10:anchorlock/>
          </v:rect>
        </w:pict>
      </w:r>
      <w:r w:rsidRPr="00536FF0">
        <w:rPr>
          <w:rStyle w:val="big-number"/>
          <w:rFonts w:cs="Miriam" w:hint="cs"/>
          <w:sz w:val="20"/>
          <w:rtl/>
        </w:rPr>
        <w:t>2</w:t>
      </w:r>
      <w:r w:rsidRPr="00536FF0">
        <w:rPr>
          <w:rStyle w:val="big-number"/>
          <w:rFonts w:cs="FrankRuehl"/>
          <w:sz w:val="20"/>
          <w:szCs w:val="26"/>
          <w:rtl/>
        </w:rPr>
        <w:t>.</w:t>
      </w:r>
      <w:r w:rsidRPr="00536FF0">
        <w:rPr>
          <w:rStyle w:val="big-number"/>
          <w:rFonts w:cs="FrankRuehl"/>
          <w:sz w:val="20"/>
          <w:szCs w:val="26"/>
          <w:rtl/>
        </w:rPr>
        <w:tab/>
      </w:r>
      <w:r w:rsidR="000A1939">
        <w:rPr>
          <w:rStyle w:val="default"/>
          <w:rFonts w:cs="FrankRuehl" w:hint="cs"/>
          <w:sz w:val="20"/>
          <w:rtl/>
        </w:rPr>
        <w:t xml:space="preserve">מנהל הרשות רשאי, באישור נציב השירות, להעסיק את מאבטחי הרשות בחוזה מיוחד לתקופה קצובה, </w:t>
      </w:r>
      <w:r w:rsidR="00F926A0" w:rsidRPr="00F926A0">
        <w:rPr>
          <w:rStyle w:val="default"/>
          <w:rFonts w:cs="FrankRuehl" w:hint="cs"/>
          <w:sz w:val="20"/>
          <w:rtl/>
        </w:rPr>
        <w:t>ורשאי הוא להאריך את תקופת העסקתו של מאבטח ברשות לתקופות נוספות, ובלבד שתקופת ההעסקה הכוללת לפי חוזה כאמור לא תעלה על תשע שנים</w:t>
      </w:r>
      <w:r w:rsidR="00F926A0">
        <w:rPr>
          <w:rStyle w:val="default"/>
          <w:rFonts w:cs="FrankRuehl" w:hint="cs"/>
          <w:sz w:val="20"/>
          <w:rtl/>
        </w:rPr>
        <w:t>.</w:t>
      </w:r>
    </w:p>
    <w:p w:rsidR="003A25AA" w:rsidRPr="00F926A0" w:rsidRDefault="003A25AA" w:rsidP="003A25AA">
      <w:pPr>
        <w:pStyle w:val="P00"/>
        <w:spacing w:before="0"/>
        <w:ind w:left="0" w:right="1134"/>
        <w:rPr>
          <w:rStyle w:val="default"/>
          <w:rFonts w:cs="FrankRuehl"/>
          <w:vanish/>
          <w:color w:val="FF0000"/>
          <w:sz w:val="20"/>
          <w:szCs w:val="20"/>
          <w:shd w:val="clear" w:color="auto" w:fill="FFFF99"/>
          <w:rtl/>
        </w:rPr>
      </w:pPr>
      <w:bookmarkStart w:id="2" w:name="Rov6"/>
      <w:r w:rsidRPr="00F926A0">
        <w:rPr>
          <w:rStyle w:val="default"/>
          <w:rFonts w:cs="FrankRuehl" w:hint="cs"/>
          <w:vanish/>
          <w:color w:val="FF0000"/>
          <w:sz w:val="20"/>
          <w:szCs w:val="20"/>
          <w:shd w:val="clear" w:color="auto" w:fill="FFFF99"/>
          <w:rtl/>
        </w:rPr>
        <w:t>מיום 27.8.2018</w:t>
      </w:r>
    </w:p>
    <w:p w:rsidR="003A25AA" w:rsidRPr="00F926A0" w:rsidRDefault="003A25AA" w:rsidP="003A25AA">
      <w:pPr>
        <w:pStyle w:val="P00"/>
        <w:spacing w:before="0"/>
        <w:ind w:left="0" w:right="1134"/>
        <w:rPr>
          <w:rStyle w:val="default"/>
          <w:rFonts w:cs="FrankRuehl"/>
          <w:vanish/>
          <w:sz w:val="20"/>
          <w:szCs w:val="20"/>
          <w:shd w:val="clear" w:color="auto" w:fill="FFFF99"/>
          <w:rtl/>
        </w:rPr>
      </w:pPr>
      <w:r w:rsidRPr="00F926A0">
        <w:rPr>
          <w:rStyle w:val="default"/>
          <w:rFonts w:cs="FrankRuehl" w:hint="cs"/>
          <w:b/>
          <w:bCs/>
          <w:vanish/>
          <w:sz w:val="20"/>
          <w:szCs w:val="20"/>
          <w:shd w:val="clear" w:color="auto" w:fill="FFFF99"/>
          <w:rtl/>
        </w:rPr>
        <w:t>תק' תשע"ח-2018</w:t>
      </w:r>
    </w:p>
    <w:p w:rsidR="003A25AA" w:rsidRPr="00F926A0" w:rsidRDefault="003A25AA" w:rsidP="003A25AA">
      <w:pPr>
        <w:pStyle w:val="P00"/>
        <w:spacing w:before="0"/>
        <w:ind w:left="0" w:right="1134"/>
        <w:rPr>
          <w:rStyle w:val="default"/>
          <w:rFonts w:cs="FrankRuehl"/>
          <w:vanish/>
          <w:sz w:val="20"/>
          <w:szCs w:val="20"/>
          <w:shd w:val="clear" w:color="auto" w:fill="FFFF99"/>
          <w:rtl/>
        </w:rPr>
      </w:pPr>
      <w:hyperlink r:id="rId7" w:history="1">
        <w:r w:rsidRPr="00F926A0">
          <w:rPr>
            <w:rStyle w:val="Hyperlink"/>
            <w:rFonts w:cs="FrankRuehl" w:hint="cs"/>
            <w:vanish/>
            <w:szCs w:val="20"/>
            <w:shd w:val="clear" w:color="auto" w:fill="FFFF99"/>
            <w:rtl/>
          </w:rPr>
          <w:t>ק"ת תשע"ח מס' 8066</w:t>
        </w:r>
      </w:hyperlink>
      <w:r w:rsidRPr="00F926A0">
        <w:rPr>
          <w:rStyle w:val="default"/>
          <w:rFonts w:cs="FrankRuehl" w:hint="cs"/>
          <w:vanish/>
          <w:sz w:val="20"/>
          <w:szCs w:val="20"/>
          <w:shd w:val="clear" w:color="auto" w:fill="FFFF99"/>
          <w:rtl/>
        </w:rPr>
        <w:t xml:space="preserve"> מיום 27.8.2018 עמ' 2750</w:t>
      </w:r>
    </w:p>
    <w:p w:rsidR="003A25AA" w:rsidRPr="00F926A0" w:rsidRDefault="003A25AA" w:rsidP="00F926A0">
      <w:pPr>
        <w:pStyle w:val="P00"/>
        <w:ind w:left="0" w:right="1134"/>
        <w:rPr>
          <w:rStyle w:val="default"/>
          <w:rFonts w:cs="FrankRuehl" w:hint="cs"/>
          <w:strike/>
          <w:vanish/>
          <w:sz w:val="16"/>
          <w:szCs w:val="22"/>
          <w:shd w:val="clear" w:color="auto" w:fill="FFFF99"/>
          <w:rtl/>
        </w:rPr>
      </w:pPr>
      <w:r w:rsidRPr="00F926A0">
        <w:rPr>
          <w:rStyle w:val="default"/>
          <w:rFonts w:cs="FrankRuehl" w:hint="cs"/>
          <w:vanish/>
          <w:sz w:val="16"/>
          <w:szCs w:val="22"/>
          <w:shd w:val="clear" w:color="auto" w:fill="FFFF99"/>
          <w:rtl/>
        </w:rPr>
        <w:t>2</w:t>
      </w:r>
      <w:r w:rsidRPr="00F926A0">
        <w:rPr>
          <w:rStyle w:val="default"/>
          <w:rFonts w:cs="FrankRuehl"/>
          <w:vanish/>
          <w:sz w:val="16"/>
          <w:szCs w:val="22"/>
          <w:shd w:val="clear" w:color="auto" w:fill="FFFF99"/>
          <w:rtl/>
        </w:rPr>
        <w:t>.</w:t>
      </w:r>
      <w:r w:rsidRPr="00F926A0">
        <w:rPr>
          <w:rStyle w:val="default"/>
          <w:rFonts w:cs="FrankRuehl"/>
          <w:vanish/>
          <w:sz w:val="16"/>
          <w:szCs w:val="22"/>
          <w:shd w:val="clear" w:color="auto" w:fill="FFFF99"/>
          <w:rtl/>
        </w:rPr>
        <w:tab/>
      </w:r>
      <w:r w:rsidRPr="00F926A0">
        <w:rPr>
          <w:rStyle w:val="default"/>
          <w:rFonts w:cs="FrankRuehl" w:hint="cs"/>
          <w:vanish/>
          <w:sz w:val="16"/>
          <w:szCs w:val="22"/>
          <w:shd w:val="clear" w:color="auto" w:fill="FFFF99"/>
          <w:rtl/>
        </w:rPr>
        <w:t xml:space="preserve">מנהל הרשות רשאי, באישור נציב השירות, להעסיק את מאבטחי הרשות בחוזה מיוחד לתקופה קצובה, </w:t>
      </w:r>
      <w:r w:rsidRPr="00F926A0">
        <w:rPr>
          <w:rStyle w:val="default"/>
          <w:rFonts w:cs="FrankRuehl" w:hint="cs"/>
          <w:strike/>
          <w:vanish/>
          <w:sz w:val="16"/>
          <w:szCs w:val="22"/>
          <w:shd w:val="clear" w:color="auto" w:fill="FFFF99"/>
          <w:rtl/>
        </w:rPr>
        <w:t>כלהלן:</w:t>
      </w:r>
    </w:p>
    <w:p w:rsidR="003A25AA" w:rsidRPr="00F926A0" w:rsidRDefault="003A25AA" w:rsidP="00F926A0">
      <w:pPr>
        <w:pStyle w:val="P00"/>
        <w:spacing w:before="0"/>
        <w:ind w:left="624" w:right="1134"/>
        <w:rPr>
          <w:rStyle w:val="default"/>
          <w:rFonts w:cs="FrankRuehl" w:hint="cs"/>
          <w:strike/>
          <w:vanish/>
          <w:sz w:val="16"/>
          <w:szCs w:val="22"/>
          <w:shd w:val="clear" w:color="auto" w:fill="FFFF99"/>
          <w:rtl/>
        </w:rPr>
      </w:pPr>
      <w:r w:rsidRPr="00F926A0">
        <w:rPr>
          <w:rStyle w:val="default"/>
          <w:rFonts w:cs="FrankRuehl" w:hint="cs"/>
          <w:strike/>
          <w:vanish/>
          <w:sz w:val="16"/>
          <w:szCs w:val="22"/>
          <w:shd w:val="clear" w:color="auto" w:fill="FFFF99"/>
          <w:rtl/>
        </w:rPr>
        <w:t>(1)</w:t>
      </w:r>
      <w:r w:rsidRPr="00F926A0">
        <w:rPr>
          <w:rStyle w:val="default"/>
          <w:rFonts w:cs="FrankRuehl" w:hint="cs"/>
          <w:strike/>
          <w:vanish/>
          <w:sz w:val="16"/>
          <w:szCs w:val="22"/>
          <w:shd w:val="clear" w:color="auto" w:fill="FFFF99"/>
          <w:rtl/>
        </w:rPr>
        <w:tab/>
        <w:t xml:space="preserve">מאבטח ברשות </w:t>
      </w:r>
      <w:r w:rsidRPr="00F926A0">
        <w:rPr>
          <w:rStyle w:val="default"/>
          <w:rFonts w:cs="FrankRuehl"/>
          <w:strike/>
          <w:vanish/>
          <w:sz w:val="16"/>
          <w:szCs w:val="22"/>
          <w:shd w:val="clear" w:color="auto" w:fill="FFFF99"/>
          <w:rtl/>
        </w:rPr>
        <w:t>–</w:t>
      </w:r>
      <w:r w:rsidRPr="00F926A0">
        <w:rPr>
          <w:rStyle w:val="default"/>
          <w:rFonts w:cs="FrankRuehl" w:hint="cs"/>
          <w:strike/>
          <w:vanish/>
          <w:sz w:val="16"/>
          <w:szCs w:val="22"/>
          <w:shd w:val="clear" w:color="auto" w:fill="FFFF99"/>
          <w:rtl/>
        </w:rPr>
        <w:t xml:space="preserve"> עד 5 שנים; ואולם מנהל הרשות רשאי להאריך את תקופת העסקתו, מטעמים מיוחדים שיירשמו, לתקופות נוספות שלא יעלו, במצטבר, על שנתיים;</w:t>
      </w:r>
    </w:p>
    <w:p w:rsidR="003A25AA" w:rsidRPr="00F926A0" w:rsidRDefault="003A25AA" w:rsidP="00F926A0">
      <w:pPr>
        <w:pStyle w:val="P00"/>
        <w:spacing w:before="0"/>
        <w:ind w:left="624" w:right="1134"/>
        <w:rPr>
          <w:rStyle w:val="default"/>
          <w:rFonts w:cs="FrankRuehl"/>
          <w:vanish/>
          <w:sz w:val="16"/>
          <w:szCs w:val="22"/>
          <w:shd w:val="clear" w:color="auto" w:fill="FFFF99"/>
          <w:rtl/>
        </w:rPr>
      </w:pPr>
      <w:r w:rsidRPr="00F926A0">
        <w:rPr>
          <w:rStyle w:val="default"/>
          <w:rFonts w:cs="FrankRuehl" w:hint="cs"/>
          <w:strike/>
          <w:vanish/>
          <w:sz w:val="16"/>
          <w:szCs w:val="22"/>
          <w:shd w:val="clear" w:color="auto" w:fill="FFFF99"/>
          <w:rtl/>
        </w:rPr>
        <w:t>(2)</w:t>
      </w:r>
      <w:r w:rsidRPr="00F926A0">
        <w:rPr>
          <w:rStyle w:val="default"/>
          <w:rFonts w:cs="FrankRuehl" w:hint="cs"/>
          <w:strike/>
          <w:vanish/>
          <w:sz w:val="16"/>
          <w:szCs w:val="22"/>
          <w:shd w:val="clear" w:color="auto" w:fill="FFFF99"/>
          <w:rtl/>
        </w:rPr>
        <w:tab/>
        <w:t xml:space="preserve">מאבטח ברשות אשר מונה לתפקיד פיקודי ברשות, כפי שייקבע בתקן המשרה לפי סעיפים 13 ו-14 לחוק המינויים </w:t>
      </w:r>
      <w:r w:rsidRPr="00F926A0">
        <w:rPr>
          <w:rStyle w:val="default"/>
          <w:rFonts w:cs="FrankRuehl"/>
          <w:strike/>
          <w:vanish/>
          <w:sz w:val="16"/>
          <w:szCs w:val="22"/>
          <w:shd w:val="clear" w:color="auto" w:fill="FFFF99"/>
          <w:rtl/>
        </w:rPr>
        <w:t>–</w:t>
      </w:r>
      <w:r w:rsidRPr="00F926A0">
        <w:rPr>
          <w:rStyle w:val="default"/>
          <w:rFonts w:cs="FrankRuehl" w:hint="cs"/>
          <w:strike/>
          <w:vanish/>
          <w:sz w:val="16"/>
          <w:szCs w:val="22"/>
          <w:shd w:val="clear" w:color="auto" w:fill="FFFF99"/>
          <w:rtl/>
        </w:rPr>
        <w:t xml:space="preserve"> עד 7 שנים; ואולם מנהל הרשות רשאי להאריך את תקופת העסקתו, מטעמים מיוחדים שיירשמו, לתקופות נוספות שלא יעלו, במצטבר, על שנתיים.</w:t>
      </w:r>
    </w:p>
    <w:p w:rsidR="00F926A0" w:rsidRPr="00F926A0" w:rsidRDefault="00F926A0" w:rsidP="00F926A0">
      <w:pPr>
        <w:pStyle w:val="P00"/>
        <w:spacing w:before="0"/>
        <w:ind w:left="0" w:right="1134"/>
        <w:rPr>
          <w:rStyle w:val="default"/>
          <w:rFonts w:cs="FrankRuehl"/>
          <w:sz w:val="2"/>
          <w:szCs w:val="2"/>
          <w:rtl/>
        </w:rPr>
      </w:pPr>
      <w:r w:rsidRPr="00F926A0">
        <w:rPr>
          <w:rStyle w:val="default"/>
          <w:rFonts w:cs="FrankRuehl" w:hint="cs"/>
          <w:vanish/>
          <w:sz w:val="16"/>
          <w:szCs w:val="22"/>
          <w:u w:val="single"/>
          <w:shd w:val="clear" w:color="auto" w:fill="FFFF99"/>
          <w:rtl/>
        </w:rPr>
        <w:t>ורשאי הוא להאריך את תקופת העסקתו של מאבטח ברשות לתקופות נוספות, ובלבד שתקופת ההעסקה הכוללת לפי חוזה כאמור לא תעלה על תשע שנים.</w:t>
      </w:r>
      <w:bookmarkEnd w:id="2"/>
    </w:p>
    <w:p w:rsidR="000179E7" w:rsidRDefault="000179E7" w:rsidP="000A1939">
      <w:pPr>
        <w:pStyle w:val="P00"/>
        <w:spacing w:before="72"/>
        <w:ind w:left="0" w:right="1134"/>
        <w:rPr>
          <w:rStyle w:val="default"/>
          <w:rFonts w:cs="FrankRuehl" w:hint="cs"/>
          <w:sz w:val="20"/>
          <w:rtl/>
        </w:rPr>
      </w:pPr>
      <w:bookmarkStart w:id="3" w:name="Seif3"/>
      <w:bookmarkEnd w:id="3"/>
      <w:r w:rsidRPr="00536FF0">
        <w:rPr>
          <w:rFonts w:cs="Miriam"/>
          <w:lang w:val="he-IL"/>
        </w:rPr>
        <w:pict>
          <v:rect id="_x0000_s1414" style="position:absolute;left:0;text-align:left;margin-left:464.35pt;margin-top:7.1pt;width:75.05pt;height:10.65pt;z-index:251658240" o:allowincell="f" filled="f" stroked="f" strokecolor="lime" strokeweight=".25pt">
            <v:textbox style="mso-next-textbox:#_x0000_s1414" inset="0,0,0,0">
              <w:txbxContent>
                <w:p w:rsidR="00CB07BE" w:rsidRDefault="000A1939" w:rsidP="000179E7">
                  <w:pPr>
                    <w:spacing w:line="160" w:lineRule="exact"/>
                    <w:rPr>
                      <w:rFonts w:cs="Miriam" w:hint="cs"/>
                      <w:noProof/>
                      <w:sz w:val="18"/>
                      <w:szCs w:val="18"/>
                      <w:rtl/>
                    </w:rPr>
                  </w:pPr>
                  <w:r>
                    <w:rPr>
                      <w:rFonts w:cs="Miriam" w:hint="cs"/>
                      <w:sz w:val="18"/>
                      <w:szCs w:val="18"/>
                      <w:rtl/>
                    </w:rPr>
                    <w:t>תחילה</w:t>
                  </w:r>
                </w:p>
              </w:txbxContent>
            </v:textbox>
            <w10:anchorlock/>
          </v:rect>
        </w:pict>
      </w:r>
      <w:r w:rsidRPr="00536FF0">
        <w:rPr>
          <w:rStyle w:val="big-number"/>
          <w:rFonts w:cs="Miriam" w:hint="cs"/>
          <w:sz w:val="20"/>
          <w:rtl/>
        </w:rPr>
        <w:t>3</w:t>
      </w:r>
      <w:r w:rsidRPr="00536FF0">
        <w:rPr>
          <w:rStyle w:val="big-number"/>
          <w:rFonts w:cs="FrankRuehl"/>
          <w:sz w:val="20"/>
          <w:szCs w:val="26"/>
          <w:rtl/>
        </w:rPr>
        <w:t>.</w:t>
      </w:r>
      <w:r w:rsidRPr="00536FF0">
        <w:rPr>
          <w:rStyle w:val="big-number"/>
          <w:rFonts w:cs="FrankRuehl"/>
          <w:sz w:val="20"/>
          <w:szCs w:val="26"/>
          <w:rtl/>
        </w:rPr>
        <w:tab/>
      </w:r>
      <w:r w:rsidR="000A1939">
        <w:rPr>
          <w:rStyle w:val="default"/>
          <w:rFonts w:cs="FrankRuehl" w:hint="cs"/>
          <w:sz w:val="20"/>
          <w:rtl/>
        </w:rPr>
        <w:t xml:space="preserve">תחילתן של תקנות אלה 90 ימים מיום פרסומן (להלן </w:t>
      </w:r>
      <w:r w:rsidR="000A1939">
        <w:rPr>
          <w:rStyle w:val="default"/>
          <w:rFonts w:cs="FrankRuehl"/>
          <w:sz w:val="20"/>
          <w:rtl/>
        </w:rPr>
        <w:t>–</w:t>
      </w:r>
      <w:r w:rsidR="000A1939">
        <w:rPr>
          <w:rStyle w:val="default"/>
          <w:rFonts w:cs="FrankRuehl" w:hint="cs"/>
          <w:sz w:val="20"/>
          <w:rtl/>
        </w:rPr>
        <w:t xml:space="preserve"> יום התחילה)</w:t>
      </w:r>
      <w:r w:rsidR="003F3F64">
        <w:rPr>
          <w:rStyle w:val="default"/>
          <w:rFonts w:cs="FrankRuehl" w:hint="cs"/>
          <w:sz w:val="20"/>
          <w:rtl/>
        </w:rPr>
        <w:t>.</w:t>
      </w:r>
    </w:p>
    <w:p w:rsidR="000179E7" w:rsidRDefault="000179E7" w:rsidP="000A1939">
      <w:pPr>
        <w:pStyle w:val="P00"/>
        <w:spacing w:before="72"/>
        <w:ind w:left="0" w:right="1134"/>
        <w:rPr>
          <w:rStyle w:val="default"/>
          <w:rFonts w:cs="FrankRuehl" w:hint="cs"/>
          <w:sz w:val="20"/>
          <w:rtl/>
        </w:rPr>
      </w:pPr>
      <w:r w:rsidRPr="00536FF0">
        <w:rPr>
          <w:rFonts w:cs="Miriam"/>
          <w:lang w:val="he-IL"/>
        </w:rPr>
        <w:pict>
          <v:rect id="_x0000_s1415" style="position:absolute;left:0;text-align:left;margin-left:464.35pt;margin-top:7.1pt;width:75.05pt;height:11.25pt;z-index:251659264" o:allowincell="f" filled="f" stroked="f" strokecolor="lime" strokeweight=".25pt">
            <v:textbox style="mso-next-textbox:#_x0000_s1415" inset="0,0,0,0">
              <w:txbxContent>
                <w:p w:rsidR="008F44E6" w:rsidRDefault="00F926A0" w:rsidP="000179E7">
                  <w:pPr>
                    <w:spacing w:line="160" w:lineRule="exact"/>
                    <w:rPr>
                      <w:rFonts w:cs="Miriam" w:hint="cs"/>
                      <w:noProof/>
                      <w:sz w:val="18"/>
                      <w:szCs w:val="18"/>
                      <w:rtl/>
                    </w:rPr>
                  </w:pPr>
                  <w:r>
                    <w:rPr>
                      <w:rFonts w:cs="Miriam" w:hint="cs"/>
                      <w:sz w:val="18"/>
                      <w:szCs w:val="18"/>
                      <w:rtl/>
                    </w:rPr>
                    <w:t>תק' תשע"ח-2018</w:t>
                  </w:r>
                </w:p>
              </w:txbxContent>
            </v:textbox>
            <w10:anchorlock/>
          </v:rect>
        </w:pict>
      </w:r>
      <w:r w:rsidRPr="00536FF0">
        <w:rPr>
          <w:rStyle w:val="big-number"/>
          <w:rFonts w:cs="Miriam" w:hint="cs"/>
          <w:sz w:val="20"/>
          <w:rtl/>
        </w:rPr>
        <w:t>4</w:t>
      </w:r>
      <w:r w:rsidRPr="00536FF0">
        <w:rPr>
          <w:rStyle w:val="big-number"/>
          <w:rFonts w:cs="FrankRuehl"/>
          <w:sz w:val="20"/>
          <w:szCs w:val="26"/>
          <w:rtl/>
        </w:rPr>
        <w:t>.</w:t>
      </w:r>
      <w:r w:rsidRPr="00536FF0">
        <w:rPr>
          <w:rStyle w:val="big-number"/>
          <w:rFonts w:cs="FrankRuehl"/>
          <w:sz w:val="20"/>
          <w:szCs w:val="26"/>
          <w:rtl/>
        </w:rPr>
        <w:tab/>
      </w:r>
      <w:r w:rsidR="00F926A0">
        <w:rPr>
          <w:rStyle w:val="default"/>
          <w:rFonts w:cs="FrankRuehl" w:hint="cs"/>
          <w:sz w:val="20"/>
          <w:rtl/>
        </w:rPr>
        <w:t>(בוטלה)</w:t>
      </w:r>
      <w:r w:rsidR="003F3F64">
        <w:rPr>
          <w:rStyle w:val="default"/>
          <w:rFonts w:cs="FrankRuehl" w:hint="cs"/>
          <w:sz w:val="20"/>
          <w:rtl/>
        </w:rPr>
        <w:t>.</w:t>
      </w:r>
    </w:p>
    <w:p w:rsidR="008F44E6" w:rsidRPr="00F926A0" w:rsidRDefault="008F44E6" w:rsidP="008F44E6">
      <w:pPr>
        <w:pStyle w:val="P00"/>
        <w:spacing w:before="0"/>
        <w:ind w:left="0" w:right="1134"/>
        <w:rPr>
          <w:rStyle w:val="default"/>
          <w:rFonts w:cs="FrankRuehl" w:hint="cs"/>
          <w:vanish/>
          <w:color w:val="FF0000"/>
          <w:sz w:val="20"/>
          <w:szCs w:val="20"/>
          <w:shd w:val="clear" w:color="auto" w:fill="FFFF99"/>
          <w:rtl/>
        </w:rPr>
      </w:pPr>
      <w:bookmarkStart w:id="4" w:name="Rov7"/>
      <w:r w:rsidRPr="00F926A0">
        <w:rPr>
          <w:rStyle w:val="default"/>
          <w:rFonts w:cs="FrankRuehl" w:hint="cs"/>
          <w:vanish/>
          <w:color w:val="FF0000"/>
          <w:sz w:val="20"/>
          <w:szCs w:val="20"/>
          <w:shd w:val="clear" w:color="auto" w:fill="FFFF99"/>
          <w:rtl/>
        </w:rPr>
        <w:t>מיום 3.9.2017</w:t>
      </w:r>
    </w:p>
    <w:p w:rsidR="008F44E6" w:rsidRPr="00F926A0" w:rsidRDefault="008F44E6" w:rsidP="008F44E6">
      <w:pPr>
        <w:pStyle w:val="P00"/>
        <w:spacing w:before="0"/>
        <w:ind w:left="0" w:right="1134"/>
        <w:rPr>
          <w:rStyle w:val="default"/>
          <w:rFonts w:cs="FrankRuehl" w:hint="cs"/>
          <w:vanish/>
          <w:sz w:val="20"/>
          <w:szCs w:val="20"/>
          <w:shd w:val="clear" w:color="auto" w:fill="FFFF99"/>
          <w:rtl/>
        </w:rPr>
      </w:pPr>
      <w:r w:rsidRPr="00F926A0">
        <w:rPr>
          <w:rStyle w:val="default"/>
          <w:rFonts w:cs="FrankRuehl" w:hint="cs"/>
          <w:b/>
          <w:bCs/>
          <w:vanish/>
          <w:sz w:val="20"/>
          <w:szCs w:val="20"/>
          <w:shd w:val="clear" w:color="auto" w:fill="FFFF99"/>
          <w:rtl/>
        </w:rPr>
        <w:t>תק' תשע"ז-2017</w:t>
      </w:r>
    </w:p>
    <w:p w:rsidR="008F44E6" w:rsidRPr="00F926A0" w:rsidRDefault="008F44E6" w:rsidP="008F44E6">
      <w:pPr>
        <w:pStyle w:val="P00"/>
        <w:spacing w:before="0"/>
        <w:ind w:left="0" w:right="1134"/>
        <w:rPr>
          <w:rStyle w:val="default"/>
          <w:rFonts w:cs="FrankRuehl" w:hint="cs"/>
          <w:vanish/>
          <w:sz w:val="20"/>
          <w:szCs w:val="20"/>
          <w:shd w:val="clear" w:color="auto" w:fill="FFFF99"/>
          <w:rtl/>
        </w:rPr>
      </w:pPr>
      <w:hyperlink r:id="rId8" w:history="1">
        <w:r w:rsidRPr="00F926A0">
          <w:rPr>
            <w:rStyle w:val="Hyperlink"/>
            <w:rFonts w:cs="FrankRuehl" w:hint="cs"/>
            <w:vanish/>
            <w:szCs w:val="20"/>
            <w:shd w:val="clear" w:color="auto" w:fill="FFFF99"/>
            <w:rtl/>
          </w:rPr>
          <w:t>ק"ת תשע"ז מס' 7858</w:t>
        </w:r>
      </w:hyperlink>
      <w:r w:rsidRPr="00F926A0">
        <w:rPr>
          <w:rStyle w:val="default"/>
          <w:rFonts w:cs="FrankRuehl" w:hint="cs"/>
          <w:vanish/>
          <w:sz w:val="20"/>
          <w:szCs w:val="20"/>
          <w:shd w:val="clear" w:color="auto" w:fill="FFFF99"/>
          <w:rtl/>
        </w:rPr>
        <w:t xml:space="preserve"> מיום 3.9.2017 עמ' 1722</w:t>
      </w:r>
    </w:p>
    <w:p w:rsidR="008F44E6" w:rsidRPr="00F926A0" w:rsidRDefault="008F44E6" w:rsidP="008F44E6">
      <w:pPr>
        <w:pStyle w:val="P00"/>
        <w:ind w:left="0" w:right="1134"/>
        <w:rPr>
          <w:rStyle w:val="default"/>
          <w:rFonts w:cs="FrankRuehl"/>
          <w:vanish/>
          <w:sz w:val="22"/>
          <w:szCs w:val="22"/>
          <w:shd w:val="clear" w:color="auto" w:fill="FFFF99"/>
          <w:rtl/>
        </w:rPr>
      </w:pPr>
      <w:r w:rsidRPr="00F926A0">
        <w:rPr>
          <w:rStyle w:val="default"/>
          <w:rFonts w:cs="FrankRuehl" w:hint="cs"/>
          <w:vanish/>
          <w:sz w:val="22"/>
          <w:szCs w:val="22"/>
          <w:shd w:val="clear" w:color="auto" w:fill="FFFF99"/>
          <w:rtl/>
        </w:rPr>
        <w:t>4</w:t>
      </w:r>
      <w:r w:rsidRPr="00F926A0">
        <w:rPr>
          <w:rStyle w:val="default"/>
          <w:rFonts w:cs="FrankRuehl"/>
          <w:vanish/>
          <w:sz w:val="22"/>
          <w:szCs w:val="22"/>
          <w:shd w:val="clear" w:color="auto" w:fill="FFFF99"/>
          <w:rtl/>
        </w:rPr>
        <w:t>.</w:t>
      </w:r>
      <w:r w:rsidRPr="00F926A0">
        <w:rPr>
          <w:rStyle w:val="default"/>
          <w:rFonts w:cs="FrankRuehl"/>
          <w:vanish/>
          <w:sz w:val="22"/>
          <w:szCs w:val="22"/>
          <w:shd w:val="clear" w:color="auto" w:fill="FFFF99"/>
          <w:rtl/>
        </w:rPr>
        <w:tab/>
      </w:r>
      <w:r w:rsidRPr="00F926A0">
        <w:rPr>
          <w:rStyle w:val="default"/>
          <w:rFonts w:cs="FrankRuehl" w:hint="cs"/>
          <w:vanish/>
          <w:sz w:val="22"/>
          <w:szCs w:val="22"/>
          <w:shd w:val="clear" w:color="auto" w:fill="FFFF99"/>
          <w:rtl/>
        </w:rPr>
        <w:t xml:space="preserve">הוראות תקנות אלה יחולו גם על מאבטח ברשות אשר ערב יום התחילה הועסק ברשות בחוזה מיוחד מכוח סעיף 40 לחוק המינויים ואשר נקבע בו כי העסקתו תהיה לתקופה קצובה, ותקופת העסקתו בחוזה מיוחד כאמור תבוא במניין השנים להעסקתו לפי תקנות אלה; ואולם מאבטח כאמור אשר חוזה העסקתו נקצב לתקופה קצובה הארוכה מן התקופות המנויות בתקנה 2, יהיה ניתן להעסיקו עד תום התקופה הקצובה הקבועה בחוזה העסקתו, </w:t>
      </w:r>
      <w:r w:rsidRPr="00F926A0">
        <w:rPr>
          <w:rStyle w:val="default"/>
          <w:rFonts w:cs="FrankRuehl" w:hint="cs"/>
          <w:vanish/>
          <w:sz w:val="22"/>
          <w:szCs w:val="22"/>
          <w:u w:val="single"/>
          <w:shd w:val="clear" w:color="auto" w:fill="FFFF99"/>
          <w:rtl/>
        </w:rPr>
        <w:t>ומנהל הרשות יהיה רשאי להאריך את תקופת העסקתו לתקופות נוספות, ובלבד שתקופת ההעסקה הכוללת לפי חוזה העסקתו לא תעלה על תשע שנים מיום תחילת חוזה העסקתו,</w:t>
      </w:r>
      <w:r w:rsidRPr="00F926A0">
        <w:rPr>
          <w:rStyle w:val="default"/>
          <w:rFonts w:cs="FrankRuehl" w:hint="cs"/>
          <w:vanish/>
          <w:sz w:val="22"/>
          <w:szCs w:val="22"/>
          <w:shd w:val="clear" w:color="auto" w:fill="FFFF99"/>
          <w:rtl/>
        </w:rPr>
        <w:t xml:space="preserve"> אף בלא טעמים מיוחדים.</w:t>
      </w:r>
    </w:p>
    <w:p w:rsidR="00F926A0" w:rsidRPr="00F926A0" w:rsidRDefault="00F926A0" w:rsidP="00F926A0">
      <w:pPr>
        <w:pStyle w:val="P00"/>
        <w:spacing w:before="0"/>
        <w:ind w:left="0" w:right="1134"/>
        <w:rPr>
          <w:rStyle w:val="default"/>
          <w:rFonts w:cs="FrankRuehl"/>
          <w:vanish/>
          <w:sz w:val="20"/>
          <w:szCs w:val="20"/>
          <w:shd w:val="clear" w:color="auto" w:fill="FFFF99"/>
          <w:rtl/>
        </w:rPr>
      </w:pPr>
    </w:p>
    <w:p w:rsidR="00F926A0" w:rsidRPr="00F926A0" w:rsidRDefault="00F926A0" w:rsidP="00F926A0">
      <w:pPr>
        <w:pStyle w:val="P00"/>
        <w:spacing w:before="0"/>
        <w:ind w:left="0" w:right="1134"/>
        <w:rPr>
          <w:rStyle w:val="default"/>
          <w:rFonts w:cs="FrankRuehl"/>
          <w:vanish/>
          <w:color w:val="FF0000"/>
          <w:sz w:val="20"/>
          <w:szCs w:val="20"/>
          <w:shd w:val="clear" w:color="auto" w:fill="FFFF99"/>
          <w:rtl/>
        </w:rPr>
      </w:pPr>
      <w:r w:rsidRPr="00F926A0">
        <w:rPr>
          <w:rStyle w:val="default"/>
          <w:rFonts w:cs="FrankRuehl" w:hint="cs"/>
          <w:vanish/>
          <w:color w:val="FF0000"/>
          <w:sz w:val="20"/>
          <w:szCs w:val="20"/>
          <w:shd w:val="clear" w:color="auto" w:fill="FFFF99"/>
          <w:rtl/>
        </w:rPr>
        <w:t>מיום 27.8.2018</w:t>
      </w:r>
    </w:p>
    <w:p w:rsidR="00F926A0" w:rsidRPr="00F926A0" w:rsidRDefault="00F926A0" w:rsidP="00F926A0">
      <w:pPr>
        <w:pStyle w:val="P00"/>
        <w:spacing w:before="0"/>
        <w:ind w:left="0" w:right="1134"/>
        <w:rPr>
          <w:rStyle w:val="default"/>
          <w:rFonts w:cs="FrankRuehl"/>
          <w:vanish/>
          <w:sz w:val="20"/>
          <w:szCs w:val="20"/>
          <w:shd w:val="clear" w:color="auto" w:fill="FFFF99"/>
          <w:rtl/>
        </w:rPr>
      </w:pPr>
      <w:r w:rsidRPr="00F926A0">
        <w:rPr>
          <w:rStyle w:val="default"/>
          <w:rFonts w:cs="FrankRuehl" w:hint="cs"/>
          <w:b/>
          <w:bCs/>
          <w:vanish/>
          <w:sz w:val="20"/>
          <w:szCs w:val="20"/>
          <w:shd w:val="clear" w:color="auto" w:fill="FFFF99"/>
          <w:rtl/>
        </w:rPr>
        <w:t>תק' תשע"ח-2018</w:t>
      </w:r>
    </w:p>
    <w:p w:rsidR="00F926A0" w:rsidRPr="00F926A0" w:rsidRDefault="00F926A0" w:rsidP="00F926A0">
      <w:pPr>
        <w:pStyle w:val="P00"/>
        <w:spacing w:before="0"/>
        <w:ind w:left="0" w:right="1134"/>
        <w:rPr>
          <w:rStyle w:val="default"/>
          <w:rFonts w:cs="FrankRuehl"/>
          <w:vanish/>
          <w:sz w:val="20"/>
          <w:szCs w:val="20"/>
          <w:shd w:val="clear" w:color="auto" w:fill="FFFF99"/>
          <w:rtl/>
        </w:rPr>
      </w:pPr>
      <w:hyperlink r:id="rId9" w:history="1">
        <w:r w:rsidRPr="00F926A0">
          <w:rPr>
            <w:rStyle w:val="Hyperlink"/>
            <w:rFonts w:cs="FrankRuehl" w:hint="cs"/>
            <w:vanish/>
            <w:szCs w:val="20"/>
            <w:shd w:val="clear" w:color="auto" w:fill="FFFF99"/>
            <w:rtl/>
          </w:rPr>
          <w:t>ק"ת תשע"ח מס' 8066</w:t>
        </w:r>
      </w:hyperlink>
      <w:r w:rsidRPr="00F926A0">
        <w:rPr>
          <w:rStyle w:val="default"/>
          <w:rFonts w:cs="FrankRuehl" w:hint="cs"/>
          <w:vanish/>
          <w:sz w:val="20"/>
          <w:szCs w:val="20"/>
          <w:shd w:val="clear" w:color="auto" w:fill="FFFF99"/>
          <w:rtl/>
        </w:rPr>
        <w:t xml:space="preserve"> מיום 27.8.2018 עמ' 2750</w:t>
      </w:r>
    </w:p>
    <w:p w:rsidR="00F926A0" w:rsidRPr="00F926A0" w:rsidRDefault="00F926A0" w:rsidP="00F926A0">
      <w:pPr>
        <w:pStyle w:val="P00"/>
        <w:spacing w:before="0"/>
        <w:ind w:left="0" w:right="1134"/>
        <w:rPr>
          <w:rStyle w:val="default"/>
          <w:rFonts w:cs="FrankRuehl"/>
          <w:vanish/>
          <w:sz w:val="20"/>
          <w:szCs w:val="20"/>
          <w:shd w:val="clear" w:color="auto" w:fill="FFFF99"/>
          <w:rtl/>
        </w:rPr>
      </w:pPr>
      <w:r w:rsidRPr="00F926A0">
        <w:rPr>
          <w:rStyle w:val="default"/>
          <w:rFonts w:cs="FrankRuehl" w:hint="cs"/>
          <w:b/>
          <w:bCs/>
          <w:vanish/>
          <w:sz w:val="20"/>
          <w:szCs w:val="20"/>
          <w:shd w:val="clear" w:color="auto" w:fill="FFFF99"/>
          <w:rtl/>
        </w:rPr>
        <w:t>ביטול תקנה 4</w:t>
      </w:r>
    </w:p>
    <w:p w:rsidR="00F926A0" w:rsidRPr="00F926A0" w:rsidRDefault="00F926A0" w:rsidP="00F926A0">
      <w:pPr>
        <w:pStyle w:val="P00"/>
        <w:ind w:left="0" w:right="1134"/>
        <w:rPr>
          <w:rStyle w:val="default"/>
          <w:rFonts w:cs="FrankRuehl"/>
          <w:vanish/>
          <w:sz w:val="20"/>
          <w:szCs w:val="20"/>
          <w:shd w:val="clear" w:color="auto" w:fill="FFFF99"/>
          <w:rtl/>
        </w:rPr>
      </w:pPr>
      <w:r w:rsidRPr="00F926A0">
        <w:rPr>
          <w:rStyle w:val="default"/>
          <w:rFonts w:cs="FrankRuehl" w:hint="cs"/>
          <w:vanish/>
          <w:sz w:val="20"/>
          <w:szCs w:val="20"/>
          <w:shd w:val="clear" w:color="auto" w:fill="FFFF99"/>
          <w:rtl/>
        </w:rPr>
        <w:t>הנוסח הקודם:</w:t>
      </w:r>
    </w:p>
    <w:p w:rsidR="00F926A0" w:rsidRPr="00F926A0" w:rsidRDefault="00F926A0" w:rsidP="00F926A0">
      <w:pPr>
        <w:pStyle w:val="P00"/>
        <w:spacing w:before="20"/>
        <w:ind w:left="0" w:right="1134"/>
        <w:rPr>
          <w:rStyle w:val="default"/>
          <w:rFonts w:ascii="Miriam" w:hAnsi="Miriam" w:cs="Miriam"/>
          <w:strike/>
          <w:vanish/>
          <w:sz w:val="16"/>
          <w:szCs w:val="16"/>
          <w:shd w:val="clear" w:color="auto" w:fill="FFFF99"/>
          <w:rtl/>
        </w:rPr>
      </w:pPr>
      <w:r w:rsidRPr="00F926A0">
        <w:rPr>
          <w:rStyle w:val="default"/>
          <w:rFonts w:ascii="Miriam" w:hAnsi="Miriam" w:cs="Miriam"/>
          <w:strike/>
          <w:vanish/>
          <w:sz w:val="16"/>
          <w:szCs w:val="16"/>
          <w:shd w:val="clear" w:color="auto" w:fill="FFFF99"/>
          <w:rtl/>
        </w:rPr>
        <w:t>הוראת מעבר</w:t>
      </w:r>
    </w:p>
    <w:p w:rsidR="00F926A0" w:rsidRPr="00F926A0" w:rsidRDefault="00F926A0" w:rsidP="00F926A0">
      <w:pPr>
        <w:pStyle w:val="P00"/>
        <w:spacing w:before="0"/>
        <w:ind w:left="0" w:right="1134"/>
        <w:rPr>
          <w:rStyle w:val="default"/>
          <w:rFonts w:cs="FrankRuehl" w:hint="cs"/>
          <w:strike/>
          <w:sz w:val="2"/>
          <w:szCs w:val="2"/>
          <w:shd w:val="clear" w:color="auto" w:fill="FFFF99"/>
          <w:rtl/>
        </w:rPr>
      </w:pPr>
      <w:r w:rsidRPr="00F926A0">
        <w:rPr>
          <w:rStyle w:val="default"/>
          <w:rFonts w:cs="FrankRuehl" w:hint="cs"/>
          <w:strike/>
          <w:vanish/>
          <w:sz w:val="22"/>
          <w:szCs w:val="22"/>
          <w:shd w:val="clear" w:color="auto" w:fill="FFFF99"/>
          <w:rtl/>
        </w:rPr>
        <w:t>4</w:t>
      </w:r>
      <w:r w:rsidRPr="00F926A0">
        <w:rPr>
          <w:rStyle w:val="default"/>
          <w:rFonts w:cs="FrankRuehl"/>
          <w:strike/>
          <w:vanish/>
          <w:sz w:val="22"/>
          <w:szCs w:val="22"/>
          <w:shd w:val="clear" w:color="auto" w:fill="FFFF99"/>
          <w:rtl/>
        </w:rPr>
        <w:t>.</w:t>
      </w:r>
      <w:r w:rsidRPr="00F926A0">
        <w:rPr>
          <w:rStyle w:val="default"/>
          <w:rFonts w:cs="FrankRuehl"/>
          <w:strike/>
          <w:vanish/>
          <w:sz w:val="22"/>
          <w:szCs w:val="22"/>
          <w:shd w:val="clear" w:color="auto" w:fill="FFFF99"/>
          <w:rtl/>
        </w:rPr>
        <w:tab/>
      </w:r>
      <w:r w:rsidRPr="00F926A0">
        <w:rPr>
          <w:rStyle w:val="default"/>
          <w:rFonts w:cs="FrankRuehl" w:hint="cs"/>
          <w:strike/>
          <w:vanish/>
          <w:sz w:val="22"/>
          <w:szCs w:val="22"/>
          <w:shd w:val="clear" w:color="auto" w:fill="FFFF99"/>
          <w:rtl/>
        </w:rPr>
        <w:t>הוראות תקנות אלה יחולו גם על מאבטח ברשות אשר ערב יום התחילה הועסק ברשות בחוזה מיוחד מכוח סעיף 40 לחוק המינויים ואשר נקבע בו כי העסקתו תהיה לתקופה קצובה, ותקופת העסקתו בחוזה מיוחד כאמור תבוא במניין השנים להעסקתו לפי תקנות אלה; ואולם מאבטח כאמור אשר חוזה העסקתו נקצב לתקופה קצובה הארוכה מן התקופות המנויות בתקנה 2, יהיה ניתן להעסיקו עד תום התקופה הקצובה הקבועה בחוזה העסקתו, ומנהל הרשות יהיה רשאי להאריך את תקופת העסקתו לתקופות נוספות, ובלבד שתקופת ההעסקה הכוללת לפי חוזה העסקתו לא תעלה על תשע שנים מיום תחילת חוזה העסקתו, אף בלא טעמים מיוחדים.</w:t>
      </w:r>
      <w:bookmarkEnd w:id="4"/>
    </w:p>
    <w:p w:rsidR="008F44E6" w:rsidRPr="00536FF0" w:rsidRDefault="008F44E6">
      <w:pPr>
        <w:pStyle w:val="P00"/>
        <w:spacing w:before="72"/>
        <w:ind w:left="0" w:right="1134"/>
        <w:rPr>
          <w:rStyle w:val="default"/>
          <w:rFonts w:cs="FrankRuehl" w:hint="cs"/>
          <w:sz w:val="20"/>
          <w:rtl/>
        </w:rPr>
      </w:pPr>
    </w:p>
    <w:p w:rsidR="00006CAF" w:rsidRPr="00536FF0" w:rsidRDefault="00006CAF">
      <w:pPr>
        <w:pStyle w:val="P00"/>
        <w:spacing w:before="72"/>
        <w:ind w:left="0" w:right="1134"/>
        <w:rPr>
          <w:rStyle w:val="default"/>
          <w:rFonts w:cs="FrankRuehl" w:hint="cs"/>
          <w:sz w:val="20"/>
          <w:rtl/>
        </w:rPr>
      </w:pPr>
    </w:p>
    <w:p w:rsidR="00FA0F95" w:rsidRPr="00536FF0" w:rsidRDefault="000A1939" w:rsidP="000A1939">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Fonts w:cs="FrankRuehl" w:hint="cs"/>
          <w:rtl/>
        </w:rPr>
        <w:t>י"ט באדר התשע"ה (10 במרס 2015</w:t>
      </w:r>
      <w:r w:rsidR="007A3435" w:rsidRPr="00536FF0">
        <w:rPr>
          <w:rFonts w:cs="FrankRuehl" w:hint="cs"/>
          <w:rtl/>
        </w:rPr>
        <w:t>)</w:t>
      </w:r>
      <w:r w:rsidR="00FA0F95" w:rsidRPr="00536FF0">
        <w:rPr>
          <w:rFonts w:cs="FrankRuehl" w:hint="cs"/>
          <w:rtl/>
        </w:rPr>
        <w:tab/>
      </w:r>
      <w:r w:rsidR="003F3F64">
        <w:rPr>
          <w:rFonts w:cs="FrankRuehl" w:hint="cs"/>
          <w:rtl/>
        </w:rPr>
        <w:t>יצחק אהרונוביץ'</w:t>
      </w:r>
    </w:p>
    <w:p w:rsidR="00877509" w:rsidRPr="00536FF0" w:rsidRDefault="00FA0F95" w:rsidP="000A1939">
      <w:pPr>
        <w:pStyle w:val="sig-0"/>
        <w:tabs>
          <w:tab w:val="clear" w:pos="4820"/>
          <w:tab w:val="center" w:pos="5670"/>
        </w:tabs>
        <w:spacing w:before="0"/>
        <w:ind w:left="0" w:right="1134"/>
        <w:rPr>
          <w:rFonts w:cs="FrankRuehl" w:hint="cs"/>
          <w:szCs w:val="22"/>
          <w:rtl/>
        </w:rPr>
      </w:pPr>
      <w:r w:rsidRPr="00536FF0">
        <w:rPr>
          <w:rFonts w:cs="FrankRuehl" w:hint="cs"/>
          <w:szCs w:val="22"/>
          <w:rtl/>
        </w:rPr>
        <w:tab/>
      </w:r>
      <w:r w:rsidR="003F3F64">
        <w:rPr>
          <w:rFonts w:cs="FrankRuehl" w:hint="cs"/>
          <w:szCs w:val="22"/>
          <w:rtl/>
        </w:rPr>
        <w:t>השר לביטחון הפנים</w:t>
      </w:r>
    </w:p>
    <w:p w:rsidR="00D078B6" w:rsidRPr="00536FF0" w:rsidRDefault="00D078B6">
      <w:pPr>
        <w:pStyle w:val="sig-0"/>
        <w:tabs>
          <w:tab w:val="clear" w:pos="4820"/>
          <w:tab w:val="center" w:pos="5670"/>
        </w:tabs>
        <w:ind w:left="0" w:right="1134"/>
        <w:rPr>
          <w:rFonts w:cs="FrankRuehl" w:hint="cs"/>
          <w:rtl/>
        </w:rPr>
      </w:pPr>
    </w:p>
    <w:p w:rsidR="009B4BC1" w:rsidRDefault="009B4BC1">
      <w:pPr>
        <w:pStyle w:val="sig-0"/>
        <w:ind w:left="0" w:right="1134"/>
        <w:rPr>
          <w:rFonts w:cs="FrankRuehl"/>
          <w:rtl/>
        </w:rPr>
      </w:pPr>
    </w:p>
    <w:p w:rsidR="00512956" w:rsidRDefault="00512956">
      <w:pPr>
        <w:pStyle w:val="sig-0"/>
        <w:ind w:left="0" w:right="1134"/>
        <w:rPr>
          <w:rFonts w:cs="FrankRuehl"/>
          <w:rtl/>
        </w:rPr>
      </w:pPr>
    </w:p>
    <w:p w:rsidR="00512956" w:rsidRDefault="00512956" w:rsidP="00512956">
      <w:pPr>
        <w:pStyle w:val="sig-0"/>
        <w:ind w:left="0" w:right="1134"/>
        <w:jc w:val="center"/>
        <w:rPr>
          <w:rFonts w:cs="David"/>
          <w:color w:val="0000FF"/>
          <w:szCs w:val="24"/>
          <w:u w:val="single"/>
          <w:rtl/>
        </w:rPr>
      </w:pPr>
      <w:hyperlink r:id="rId10" w:history="1">
        <w:r>
          <w:rPr>
            <w:rFonts w:cs="David"/>
            <w:color w:val="0000FF"/>
            <w:szCs w:val="24"/>
            <w:u w:val="single"/>
            <w:rtl/>
          </w:rPr>
          <w:t>הודעה למנויים על עריכה ושינויים במסמכי פסיקה, חקיקה ועוד באתר נבו - הקש כאן</w:t>
        </w:r>
      </w:hyperlink>
    </w:p>
    <w:p w:rsidR="00217132" w:rsidRDefault="00217132" w:rsidP="00512956">
      <w:pPr>
        <w:pStyle w:val="sig-0"/>
        <w:ind w:left="0" w:right="1134"/>
        <w:jc w:val="center"/>
        <w:rPr>
          <w:rFonts w:cs="David"/>
          <w:color w:val="0000FF"/>
          <w:szCs w:val="24"/>
          <w:u w:val="single"/>
          <w:rtl/>
        </w:rPr>
      </w:pPr>
    </w:p>
    <w:p w:rsidR="00217132" w:rsidRDefault="00217132" w:rsidP="00512956">
      <w:pPr>
        <w:pStyle w:val="sig-0"/>
        <w:ind w:left="0" w:right="1134"/>
        <w:jc w:val="center"/>
        <w:rPr>
          <w:rFonts w:cs="David"/>
          <w:color w:val="0000FF"/>
          <w:szCs w:val="24"/>
          <w:u w:val="single"/>
          <w:rtl/>
        </w:rPr>
      </w:pPr>
    </w:p>
    <w:p w:rsidR="00217132" w:rsidRDefault="00217132" w:rsidP="00217132">
      <w:pPr>
        <w:pStyle w:val="sig-0"/>
        <w:ind w:left="0" w:right="1134"/>
        <w:jc w:val="center"/>
        <w:rPr>
          <w:rFonts w:cs="David"/>
          <w:color w:val="0000FF"/>
          <w:szCs w:val="24"/>
          <w:u w:val="single"/>
          <w:rtl/>
        </w:rPr>
      </w:pPr>
      <w:hyperlink r:id="rId11" w:history="1">
        <w:r>
          <w:rPr>
            <w:rStyle w:val="Hyperlink"/>
            <w:noProof w:val="0"/>
            <w:sz w:val="24"/>
            <w:szCs w:val="24"/>
            <w:rtl/>
          </w:rPr>
          <w:t>הודעה למנויים על עריכה ושינויים במסמכי פסיקה, חקיקה ועוד באתר נבו - הקש כאן</w:t>
        </w:r>
      </w:hyperlink>
    </w:p>
    <w:p w:rsidR="005D1457" w:rsidRPr="00217132" w:rsidRDefault="005D1457" w:rsidP="00217132">
      <w:pPr>
        <w:pStyle w:val="sig-0"/>
        <w:ind w:left="0" w:right="1134"/>
        <w:jc w:val="center"/>
        <w:rPr>
          <w:rFonts w:cs="David"/>
          <w:color w:val="0000FF"/>
          <w:szCs w:val="24"/>
          <w:u w:val="single"/>
          <w:rtl/>
        </w:rPr>
      </w:pPr>
    </w:p>
    <w:sectPr w:rsidR="005D1457" w:rsidRPr="00217132">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7268" w:rsidRDefault="00D77268">
      <w:r>
        <w:separator/>
      </w:r>
    </w:p>
  </w:endnote>
  <w:endnote w:type="continuationSeparator" w:id="0">
    <w:p w:rsidR="00D77268" w:rsidRDefault="00D77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07BE" w:rsidRDefault="00CB07B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B07BE" w:rsidRDefault="00CB07B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B07BE" w:rsidRDefault="00CB07B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B4BC1">
      <w:rPr>
        <w:rFonts w:cs="TopType Jerushalmi"/>
        <w:noProof/>
        <w:color w:val="000000"/>
        <w:sz w:val="14"/>
        <w:szCs w:val="14"/>
      </w:rPr>
      <w:t>Y:\0000-law\yael\10-06-02\hak100531\tav\500_320.doc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07BE" w:rsidRDefault="00CB07B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17132">
      <w:rPr>
        <w:rFonts w:hAnsi="FrankRuehl" w:cs="FrankRuehl"/>
        <w:noProof/>
        <w:sz w:val="24"/>
        <w:szCs w:val="24"/>
        <w:rtl/>
      </w:rPr>
      <w:t>2</w:t>
    </w:r>
    <w:r>
      <w:rPr>
        <w:rFonts w:hAnsi="FrankRuehl" w:cs="FrankRuehl"/>
        <w:sz w:val="24"/>
        <w:szCs w:val="24"/>
        <w:rtl/>
      </w:rPr>
      <w:fldChar w:fldCharType="end"/>
    </w:r>
  </w:p>
  <w:p w:rsidR="00CB07BE" w:rsidRDefault="00CB07B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B07BE" w:rsidRDefault="00CB07B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B4BC1">
      <w:rPr>
        <w:rFonts w:cs="TopType Jerushalmi"/>
        <w:noProof/>
        <w:color w:val="000000"/>
        <w:sz w:val="14"/>
        <w:szCs w:val="14"/>
      </w:rPr>
      <w:t>Y:\0000-law\yael\10-06-02\hak100531\tav\500_320.doc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7268" w:rsidRDefault="00D77268">
      <w:r>
        <w:separator/>
      </w:r>
    </w:p>
  </w:footnote>
  <w:footnote w:type="continuationSeparator" w:id="0">
    <w:p w:rsidR="00D77268" w:rsidRDefault="00D77268">
      <w:r>
        <w:continuationSeparator/>
      </w:r>
    </w:p>
  </w:footnote>
  <w:footnote w:id="1">
    <w:p w:rsidR="00867869" w:rsidRDefault="00CB07BE" w:rsidP="008678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6229C3">
        <w:rPr>
          <w:rFonts w:cs="FrankRuehl" w:hint="cs"/>
          <w:rtl/>
        </w:rPr>
        <w:t xml:space="preserve"> פורסמו</w:t>
      </w:r>
      <w:r>
        <w:rPr>
          <w:rFonts w:cs="FrankRuehl" w:hint="cs"/>
          <w:rtl/>
        </w:rPr>
        <w:t xml:space="preserve"> </w:t>
      </w:r>
      <w:hyperlink r:id="rId1" w:history="1">
        <w:r w:rsidRPr="00867869">
          <w:rPr>
            <w:rStyle w:val="Hyperlink"/>
            <w:rFonts w:cs="FrankRuehl" w:hint="cs"/>
            <w:rtl/>
          </w:rPr>
          <w:t>ק"ת תשע</w:t>
        </w:r>
        <w:r w:rsidR="004016D7" w:rsidRPr="00867869">
          <w:rPr>
            <w:rStyle w:val="Hyperlink"/>
            <w:rFonts w:cs="FrankRuehl" w:hint="cs"/>
            <w:rtl/>
          </w:rPr>
          <w:t>"ה</w:t>
        </w:r>
        <w:r w:rsidRPr="00867869">
          <w:rPr>
            <w:rStyle w:val="Hyperlink"/>
            <w:rFonts w:cs="FrankRuehl" w:hint="cs"/>
            <w:rtl/>
          </w:rPr>
          <w:t xml:space="preserve"> מס' </w:t>
        </w:r>
        <w:r w:rsidR="004016D7" w:rsidRPr="00867869">
          <w:rPr>
            <w:rStyle w:val="Hyperlink"/>
            <w:rFonts w:cs="FrankRuehl" w:hint="cs"/>
            <w:rtl/>
          </w:rPr>
          <w:t>7512</w:t>
        </w:r>
      </w:hyperlink>
      <w:r>
        <w:rPr>
          <w:rFonts w:cs="FrankRuehl" w:hint="cs"/>
          <w:rtl/>
        </w:rPr>
        <w:t xml:space="preserve"> מיום </w:t>
      </w:r>
      <w:r w:rsidR="004016D7">
        <w:rPr>
          <w:rFonts w:cs="FrankRuehl" w:hint="cs"/>
          <w:rtl/>
        </w:rPr>
        <w:t>7.5.2015</w:t>
      </w:r>
      <w:r>
        <w:rPr>
          <w:rFonts w:cs="FrankRuehl" w:hint="cs"/>
          <w:rtl/>
        </w:rPr>
        <w:t xml:space="preserve"> עמ' </w:t>
      </w:r>
      <w:r w:rsidR="004016D7">
        <w:rPr>
          <w:rFonts w:cs="FrankRuehl" w:hint="cs"/>
          <w:rtl/>
        </w:rPr>
        <w:t>1230</w:t>
      </w:r>
      <w:r>
        <w:rPr>
          <w:rFonts w:cs="FrankRuehl" w:hint="cs"/>
          <w:rtl/>
        </w:rPr>
        <w:t>.</w:t>
      </w:r>
    </w:p>
    <w:p w:rsidR="00493D79" w:rsidRDefault="008F44E6" w:rsidP="00493D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Pr="00493D79">
          <w:rPr>
            <w:rStyle w:val="Hyperlink"/>
            <w:rFonts w:cs="FrankRuehl" w:hint="cs"/>
            <w:rtl/>
          </w:rPr>
          <w:t>ק"ת תשע"ז מס' 7858</w:t>
        </w:r>
      </w:hyperlink>
      <w:r>
        <w:rPr>
          <w:rFonts w:cs="FrankRuehl" w:hint="cs"/>
          <w:rtl/>
        </w:rPr>
        <w:t xml:space="preserve"> מיום 3.9.2017 עמ' 1722 </w:t>
      </w:r>
      <w:r>
        <w:rPr>
          <w:rFonts w:cs="FrankRuehl"/>
          <w:rtl/>
        </w:rPr>
        <w:t>–</w:t>
      </w:r>
      <w:r>
        <w:rPr>
          <w:rFonts w:cs="FrankRuehl" w:hint="cs"/>
          <w:rtl/>
        </w:rPr>
        <w:t xml:space="preserve"> תק' תשע"ז-2017.</w:t>
      </w:r>
    </w:p>
    <w:p w:rsidR="00C61BB2" w:rsidRDefault="00C61BB2" w:rsidP="00C61B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3A25AA" w:rsidRPr="00C61BB2">
          <w:rPr>
            <w:rStyle w:val="Hyperlink"/>
            <w:rFonts w:cs="FrankRuehl" w:hint="cs"/>
            <w:rtl/>
          </w:rPr>
          <w:t>ק"ת תשע"ח מס' 8066</w:t>
        </w:r>
      </w:hyperlink>
      <w:r w:rsidR="003A25AA">
        <w:rPr>
          <w:rFonts w:cs="FrankRuehl" w:hint="cs"/>
          <w:rtl/>
        </w:rPr>
        <w:t xml:space="preserve"> מיום 27.8.2018 עמ' 2750 </w:t>
      </w:r>
      <w:r w:rsidR="003A25AA">
        <w:rPr>
          <w:rFonts w:cs="FrankRuehl"/>
          <w:rtl/>
        </w:rPr>
        <w:t>–</w:t>
      </w:r>
      <w:r w:rsidR="003A25AA">
        <w:rPr>
          <w:rFonts w:cs="FrankRuehl" w:hint="cs"/>
          <w:rtl/>
        </w:rPr>
        <w:t xml:space="preserve"> תק' תשע"ח-2018.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07BE" w:rsidRDefault="00CB07B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CB07BE" w:rsidRDefault="00CB07B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B07BE" w:rsidRDefault="00CB07B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07BE" w:rsidRDefault="009B07E1" w:rsidP="004016D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764060">
      <w:rPr>
        <w:rFonts w:hAnsi="FrankRuehl" w:cs="FrankRuehl" w:hint="cs"/>
        <w:color w:val="000000"/>
        <w:sz w:val="28"/>
        <w:szCs w:val="28"/>
        <w:rtl/>
      </w:rPr>
      <w:t>להגנה על עדים (</w:t>
    </w:r>
    <w:r w:rsidR="004016D7">
      <w:rPr>
        <w:rFonts w:hAnsi="FrankRuehl" w:cs="FrankRuehl" w:hint="cs"/>
        <w:color w:val="000000"/>
        <w:sz w:val="28"/>
        <w:szCs w:val="28"/>
        <w:rtl/>
      </w:rPr>
      <w:t>העסקה לתקופה קצובה), תשע"ה-2015</w:t>
    </w:r>
  </w:p>
  <w:p w:rsidR="00CB07BE" w:rsidRDefault="00CB07B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B07BE" w:rsidRDefault="00CB07BE">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189760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8B6"/>
    <w:rsid w:val="00006CAF"/>
    <w:rsid w:val="00013636"/>
    <w:rsid w:val="00015D0A"/>
    <w:rsid w:val="0001709D"/>
    <w:rsid w:val="00017430"/>
    <w:rsid w:val="000179E7"/>
    <w:rsid w:val="0002606E"/>
    <w:rsid w:val="00026B93"/>
    <w:rsid w:val="0004753B"/>
    <w:rsid w:val="00056DDA"/>
    <w:rsid w:val="0006308F"/>
    <w:rsid w:val="0006314F"/>
    <w:rsid w:val="00063303"/>
    <w:rsid w:val="00067925"/>
    <w:rsid w:val="00067E14"/>
    <w:rsid w:val="00081F43"/>
    <w:rsid w:val="00084084"/>
    <w:rsid w:val="00086891"/>
    <w:rsid w:val="00086ADC"/>
    <w:rsid w:val="00090966"/>
    <w:rsid w:val="00091C02"/>
    <w:rsid w:val="000A1939"/>
    <w:rsid w:val="000A46CA"/>
    <w:rsid w:val="000B35BC"/>
    <w:rsid w:val="000B35D5"/>
    <w:rsid w:val="000B4D7F"/>
    <w:rsid w:val="000C0308"/>
    <w:rsid w:val="000C19EE"/>
    <w:rsid w:val="000C7553"/>
    <w:rsid w:val="000D2439"/>
    <w:rsid w:val="000D597E"/>
    <w:rsid w:val="000D5D2E"/>
    <w:rsid w:val="000E4A75"/>
    <w:rsid w:val="000E4B71"/>
    <w:rsid w:val="000E6A68"/>
    <w:rsid w:val="000E76AF"/>
    <w:rsid w:val="000F1022"/>
    <w:rsid w:val="000F608F"/>
    <w:rsid w:val="0011633A"/>
    <w:rsid w:val="0012012E"/>
    <w:rsid w:val="00123701"/>
    <w:rsid w:val="00126E84"/>
    <w:rsid w:val="00130230"/>
    <w:rsid w:val="0013086C"/>
    <w:rsid w:val="0014555D"/>
    <w:rsid w:val="00150D0A"/>
    <w:rsid w:val="00151314"/>
    <w:rsid w:val="00153B53"/>
    <w:rsid w:val="001656C1"/>
    <w:rsid w:val="001670C1"/>
    <w:rsid w:val="00167F7D"/>
    <w:rsid w:val="00172D22"/>
    <w:rsid w:val="00183086"/>
    <w:rsid w:val="00184C3A"/>
    <w:rsid w:val="00187D2C"/>
    <w:rsid w:val="00192FD0"/>
    <w:rsid w:val="00194A90"/>
    <w:rsid w:val="00195009"/>
    <w:rsid w:val="00195336"/>
    <w:rsid w:val="001977BF"/>
    <w:rsid w:val="001A0191"/>
    <w:rsid w:val="001A2280"/>
    <w:rsid w:val="001B185E"/>
    <w:rsid w:val="001B4B20"/>
    <w:rsid w:val="001C1F49"/>
    <w:rsid w:val="001C59FC"/>
    <w:rsid w:val="001E28A8"/>
    <w:rsid w:val="001E54FC"/>
    <w:rsid w:val="001E5820"/>
    <w:rsid w:val="001E6289"/>
    <w:rsid w:val="001F2CA1"/>
    <w:rsid w:val="001F7259"/>
    <w:rsid w:val="001F78D7"/>
    <w:rsid w:val="00204151"/>
    <w:rsid w:val="00216D1A"/>
    <w:rsid w:val="00217132"/>
    <w:rsid w:val="00245AB7"/>
    <w:rsid w:val="0024698C"/>
    <w:rsid w:val="00251EC0"/>
    <w:rsid w:val="00272D70"/>
    <w:rsid w:val="002731A1"/>
    <w:rsid w:val="00274F4B"/>
    <w:rsid w:val="00291EEB"/>
    <w:rsid w:val="0029668C"/>
    <w:rsid w:val="002D2E32"/>
    <w:rsid w:val="002D49B4"/>
    <w:rsid w:val="002E72D0"/>
    <w:rsid w:val="002E7915"/>
    <w:rsid w:val="002F0F63"/>
    <w:rsid w:val="002F2344"/>
    <w:rsid w:val="002F7A25"/>
    <w:rsid w:val="003033D8"/>
    <w:rsid w:val="00306897"/>
    <w:rsid w:val="0031066C"/>
    <w:rsid w:val="00310BBF"/>
    <w:rsid w:val="0032603F"/>
    <w:rsid w:val="003265EE"/>
    <w:rsid w:val="00330591"/>
    <w:rsid w:val="00331A47"/>
    <w:rsid w:val="00335782"/>
    <w:rsid w:val="00355575"/>
    <w:rsid w:val="00357E1A"/>
    <w:rsid w:val="0036078D"/>
    <w:rsid w:val="00365037"/>
    <w:rsid w:val="00365377"/>
    <w:rsid w:val="0037387D"/>
    <w:rsid w:val="003817B6"/>
    <w:rsid w:val="0038647F"/>
    <w:rsid w:val="0039533D"/>
    <w:rsid w:val="003A1AA1"/>
    <w:rsid w:val="003A25AA"/>
    <w:rsid w:val="003C0065"/>
    <w:rsid w:val="003C66D9"/>
    <w:rsid w:val="003D3207"/>
    <w:rsid w:val="003E2E2A"/>
    <w:rsid w:val="003E3F4F"/>
    <w:rsid w:val="003E42FF"/>
    <w:rsid w:val="003F3F64"/>
    <w:rsid w:val="004016D7"/>
    <w:rsid w:val="00405724"/>
    <w:rsid w:val="00405C48"/>
    <w:rsid w:val="004100C3"/>
    <w:rsid w:val="00411F72"/>
    <w:rsid w:val="00414DD2"/>
    <w:rsid w:val="0041549C"/>
    <w:rsid w:val="00426CB3"/>
    <w:rsid w:val="00430502"/>
    <w:rsid w:val="00432BCA"/>
    <w:rsid w:val="00433362"/>
    <w:rsid w:val="00442966"/>
    <w:rsid w:val="004441C3"/>
    <w:rsid w:val="00445F2A"/>
    <w:rsid w:val="004515D8"/>
    <w:rsid w:val="00453AE6"/>
    <w:rsid w:val="004578C5"/>
    <w:rsid w:val="004643DF"/>
    <w:rsid w:val="004719B8"/>
    <w:rsid w:val="00482C12"/>
    <w:rsid w:val="00483473"/>
    <w:rsid w:val="0048594B"/>
    <w:rsid w:val="00491D56"/>
    <w:rsid w:val="00493D79"/>
    <w:rsid w:val="004A1C6D"/>
    <w:rsid w:val="004B182E"/>
    <w:rsid w:val="004B695B"/>
    <w:rsid w:val="004E328D"/>
    <w:rsid w:val="004E520E"/>
    <w:rsid w:val="004F37B4"/>
    <w:rsid w:val="005028E3"/>
    <w:rsid w:val="00504FC6"/>
    <w:rsid w:val="00510C3B"/>
    <w:rsid w:val="00510C7E"/>
    <w:rsid w:val="00511F52"/>
    <w:rsid w:val="00512956"/>
    <w:rsid w:val="0052016A"/>
    <w:rsid w:val="00520C6E"/>
    <w:rsid w:val="00526FE4"/>
    <w:rsid w:val="00532D6F"/>
    <w:rsid w:val="00536049"/>
    <w:rsid w:val="00536FF0"/>
    <w:rsid w:val="00543E37"/>
    <w:rsid w:val="0054777C"/>
    <w:rsid w:val="005570AF"/>
    <w:rsid w:val="00562D87"/>
    <w:rsid w:val="00564525"/>
    <w:rsid w:val="00566EEC"/>
    <w:rsid w:val="00573797"/>
    <w:rsid w:val="00573ED9"/>
    <w:rsid w:val="005823D2"/>
    <w:rsid w:val="005833B6"/>
    <w:rsid w:val="00590B12"/>
    <w:rsid w:val="00591188"/>
    <w:rsid w:val="0059240C"/>
    <w:rsid w:val="005A01DC"/>
    <w:rsid w:val="005A7BA2"/>
    <w:rsid w:val="005B7DC1"/>
    <w:rsid w:val="005C4B85"/>
    <w:rsid w:val="005D1457"/>
    <w:rsid w:val="005E68F9"/>
    <w:rsid w:val="005F35DF"/>
    <w:rsid w:val="005F47C3"/>
    <w:rsid w:val="005F75BE"/>
    <w:rsid w:val="006012A4"/>
    <w:rsid w:val="006035BA"/>
    <w:rsid w:val="00605968"/>
    <w:rsid w:val="006111BF"/>
    <w:rsid w:val="006179D1"/>
    <w:rsid w:val="006229C3"/>
    <w:rsid w:val="00634E56"/>
    <w:rsid w:val="006357C1"/>
    <w:rsid w:val="00635F18"/>
    <w:rsid w:val="006411A2"/>
    <w:rsid w:val="00642EE2"/>
    <w:rsid w:val="00644325"/>
    <w:rsid w:val="00644ADC"/>
    <w:rsid w:val="006469BE"/>
    <w:rsid w:val="00656E1B"/>
    <w:rsid w:val="00666CAD"/>
    <w:rsid w:val="00672B61"/>
    <w:rsid w:val="0067307D"/>
    <w:rsid w:val="00681197"/>
    <w:rsid w:val="00683E2F"/>
    <w:rsid w:val="006926F5"/>
    <w:rsid w:val="00696823"/>
    <w:rsid w:val="006B0008"/>
    <w:rsid w:val="006B018D"/>
    <w:rsid w:val="006C51AF"/>
    <w:rsid w:val="006D1759"/>
    <w:rsid w:val="006D18A1"/>
    <w:rsid w:val="006D5034"/>
    <w:rsid w:val="006E1D7B"/>
    <w:rsid w:val="006E46A1"/>
    <w:rsid w:val="0070082F"/>
    <w:rsid w:val="007101DB"/>
    <w:rsid w:val="0071067A"/>
    <w:rsid w:val="0071272E"/>
    <w:rsid w:val="00716691"/>
    <w:rsid w:val="00734A5E"/>
    <w:rsid w:val="00740ABF"/>
    <w:rsid w:val="007561A0"/>
    <w:rsid w:val="00760401"/>
    <w:rsid w:val="007613DA"/>
    <w:rsid w:val="00764060"/>
    <w:rsid w:val="007654C4"/>
    <w:rsid w:val="007671F4"/>
    <w:rsid w:val="007771F5"/>
    <w:rsid w:val="00787A63"/>
    <w:rsid w:val="007907E1"/>
    <w:rsid w:val="00797948"/>
    <w:rsid w:val="007979D8"/>
    <w:rsid w:val="007A1EA9"/>
    <w:rsid w:val="007A3435"/>
    <w:rsid w:val="007A5885"/>
    <w:rsid w:val="007A6C2E"/>
    <w:rsid w:val="007B3E87"/>
    <w:rsid w:val="007C14C9"/>
    <w:rsid w:val="007C43E9"/>
    <w:rsid w:val="007D21BC"/>
    <w:rsid w:val="007D6492"/>
    <w:rsid w:val="007D706A"/>
    <w:rsid w:val="007D795B"/>
    <w:rsid w:val="007E521F"/>
    <w:rsid w:val="007E665F"/>
    <w:rsid w:val="007E7CC3"/>
    <w:rsid w:val="007F7EBA"/>
    <w:rsid w:val="00804E10"/>
    <w:rsid w:val="008056F1"/>
    <w:rsid w:val="00814B63"/>
    <w:rsid w:val="00815F6D"/>
    <w:rsid w:val="00817CB7"/>
    <w:rsid w:val="00820EEB"/>
    <w:rsid w:val="008300E7"/>
    <w:rsid w:val="00833CDB"/>
    <w:rsid w:val="008456AF"/>
    <w:rsid w:val="008462F4"/>
    <w:rsid w:val="00860895"/>
    <w:rsid w:val="00860EE0"/>
    <w:rsid w:val="00861E17"/>
    <w:rsid w:val="008661DA"/>
    <w:rsid w:val="00866905"/>
    <w:rsid w:val="00867869"/>
    <w:rsid w:val="00877509"/>
    <w:rsid w:val="00877DB0"/>
    <w:rsid w:val="0088677D"/>
    <w:rsid w:val="008963F5"/>
    <w:rsid w:val="008A19EC"/>
    <w:rsid w:val="008A71D3"/>
    <w:rsid w:val="008C2F0D"/>
    <w:rsid w:val="008C54C0"/>
    <w:rsid w:val="008D0F32"/>
    <w:rsid w:val="008D2001"/>
    <w:rsid w:val="008D2195"/>
    <w:rsid w:val="008E4FF7"/>
    <w:rsid w:val="008E60C6"/>
    <w:rsid w:val="008E793A"/>
    <w:rsid w:val="008F1B18"/>
    <w:rsid w:val="008F44E6"/>
    <w:rsid w:val="008F69D2"/>
    <w:rsid w:val="00906ABF"/>
    <w:rsid w:val="00907F4F"/>
    <w:rsid w:val="00910942"/>
    <w:rsid w:val="009122D7"/>
    <w:rsid w:val="0092438F"/>
    <w:rsid w:val="0093080E"/>
    <w:rsid w:val="00936AD0"/>
    <w:rsid w:val="0094088E"/>
    <w:rsid w:val="00944B62"/>
    <w:rsid w:val="0096256E"/>
    <w:rsid w:val="009651EE"/>
    <w:rsid w:val="00966C88"/>
    <w:rsid w:val="00972E11"/>
    <w:rsid w:val="009736CD"/>
    <w:rsid w:val="00977451"/>
    <w:rsid w:val="00981E02"/>
    <w:rsid w:val="00982A9D"/>
    <w:rsid w:val="009865E2"/>
    <w:rsid w:val="00990BA0"/>
    <w:rsid w:val="009958E6"/>
    <w:rsid w:val="00997838"/>
    <w:rsid w:val="009B07E1"/>
    <w:rsid w:val="009B39A2"/>
    <w:rsid w:val="009B4BC1"/>
    <w:rsid w:val="009C29D3"/>
    <w:rsid w:val="009C34F8"/>
    <w:rsid w:val="009D4948"/>
    <w:rsid w:val="009E52FE"/>
    <w:rsid w:val="00A0199B"/>
    <w:rsid w:val="00A07169"/>
    <w:rsid w:val="00A36CC6"/>
    <w:rsid w:val="00A4286F"/>
    <w:rsid w:val="00A44F59"/>
    <w:rsid w:val="00A46F2B"/>
    <w:rsid w:val="00A50C88"/>
    <w:rsid w:val="00A54F7E"/>
    <w:rsid w:val="00A56A67"/>
    <w:rsid w:val="00A6011E"/>
    <w:rsid w:val="00A616B9"/>
    <w:rsid w:val="00A652C4"/>
    <w:rsid w:val="00A749A5"/>
    <w:rsid w:val="00A76899"/>
    <w:rsid w:val="00A779FD"/>
    <w:rsid w:val="00A836C4"/>
    <w:rsid w:val="00A911CB"/>
    <w:rsid w:val="00A91FA7"/>
    <w:rsid w:val="00A967FB"/>
    <w:rsid w:val="00AA3064"/>
    <w:rsid w:val="00AA415B"/>
    <w:rsid w:val="00AB6DAD"/>
    <w:rsid w:val="00AD58A6"/>
    <w:rsid w:val="00AD5CCD"/>
    <w:rsid w:val="00AD7099"/>
    <w:rsid w:val="00AE16AE"/>
    <w:rsid w:val="00AE33FD"/>
    <w:rsid w:val="00AE7BCE"/>
    <w:rsid w:val="00AF080A"/>
    <w:rsid w:val="00AF5C35"/>
    <w:rsid w:val="00B01519"/>
    <w:rsid w:val="00B01FE0"/>
    <w:rsid w:val="00B02F46"/>
    <w:rsid w:val="00B138CE"/>
    <w:rsid w:val="00B13B5B"/>
    <w:rsid w:val="00B155E6"/>
    <w:rsid w:val="00B1659F"/>
    <w:rsid w:val="00B17DE6"/>
    <w:rsid w:val="00B21207"/>
    <w:rsid w:val="00B25958"/>
    <w:rsid w:val="00B337E5"/>
    <w:rsid w:val="00B33D47"/>
    <w:rsid w:val="00B54DEC"/>
    <w:rsid w:val="00B61915"/>
    <w:rsid w:val="00B62608"/>
    <w:rsid w:val="00B72FD7"/>
    <w:rsid w:val="00B75213"/>
    <w:rsid w:val="00B7664A"/>
    <w:rsid w:val="00B870DA"/>
    <w:rsid w:val="00B93CA7"/>
    <w:rsid w:val="00B960C8"/>
    <w:rsid w:val="00BA5D96"/>
    <w:rsid w:val="00BB08AF"/>
    <w:rsid w:val="00BB7764"/>
    <w:rsid w:val="00BC09D6"/>
    <w:rsid w:val="00BD163C"/>
    <w:rsid w:val="00BD6839"/>
    <w:rsid w:val="00BE7617"/>
    <w:rsid w:val="00BE7C33"/>
    <w:rsid w:val="00BF06B7"/>
    <w:rsid w:val="00BF7B1A"/>
    <w:rsid w:val="00C057F1"/>
    <w:rsid w:val="00C10AB3"/>
    <w:rsid w:val="00C11C9E"/>
    <w:rsid w:val="00C14731"/>
    <w:rsid w:val="00C1490A"/>
    <w:rsid w:val="00C227D2"/>
    <w:rsid w:val="00C250EA"/>
    <w:rsid w:val="00C263D5"/>
    <w:rsid w:val="00C36B0F"/>
    <w:rsid w:val="00C37F93"/>
    <w:rsid w:val="00C457F8"/>
    <w:rsid w:val="00C53A30"/>
    <w:rsid w:val="00C61BB2"/>
    <w:rsid w:val="00C66394"/>
    <w:rsid w:val="00C770E3"/>
    <w:rsid w:val="00C83D57"/>
    <w:rsid w:val="00CA76D4"/>
    <w:rsid w:val="00CB07BE"/>
    <w:rsid w:val="00CC1B20"/>
    <w:rsid w:val="00CD1E6D"/>
    <w:rsid w:val="00CD2A4A"/>
    <w:rsid w:val="00CD333B"/>
    <w:rsid w:val="00CD683A"/>
    <w:rsid w:val="00D078B6"/>
    <w:rsid w:val="00D26B9A"/>
    <w:rsid w:val="00D40A5B"/>
    <w:rsid w:val="00D41DC4"/>
    <w:rsid w:val="00D432A0"/>
    <w:rsid w:val="00D43C79"/>
    <w:rsid w:val="00D46923"/>
    <w:rsid w:val="00D51CE6"/>
    <w:rsid w:val="00D54050"/>
    <w:rsid w:val="00D6143E"/>
    <w:rsid w:val="00D66639"/>
    <w:rsid w:val="00D73E59"/>
    <w:rsid w:val="00D77268"/>
    <w:rsid w:val="00D833B4"/>
    <w:rsid w:val="00D8677E"/>
    <w:rsid w:val="00D86909"/>
    <w:rsid w:val="00DA366B"/>
    <w:rsid w:val="00DA5D61"/>
    <w:rsid w:val="00DB7C36"/>
    <w:rsid w:val="00DC3D1F"/>
    <w:rsid w:val="00DD09EE"/>
    <w:rsid w:val="00DE47F7"/>
    <w:rsid w:val="00DE56ED"/>
    <w:rsid w:val="00DE7147"/>
    <w:rsid w:val="00DF0350"/>
    <w:rsid w:val="00E04CD0"/>
    <w:rsid w:val="00E11341"/>
    <w:rsid w:val="00E144CE"/>
    <w:rsid w:val="00E341CA"/>
    <w:rsid w:val="00E42F7C"/>
    <w:rsid w:val="00E508C9"/>
    <w:rsid w:val="00E516EE"/>
    <w:rsid w:val="00E55773"/>
    <w:rsid w:val="00E55C78"/>
    <w:rsid w:val="00E55DA2"/>
    <w:rsid w:val="00E62E84"/>
    <w:rsid w:val="00E6334A"/>
    <w:rsid w:val="00E65ADA"/>
    <w:rsid w:val="00E7167B"/>
    <w:rsid w:val="00E72BC1"/>
    <w:rsid w:val="00E73030"/>
    <w:rsid w:val="00E746C4"/>
    <w:rsid w:val="00E757F4"/>
    <w:rsid w:val="00E77D1A"/>
    <w:rsid w:val="00E83BD8"/>
    <w:rsid w:val="00E87870"/>
    <w:rsid w:val="00E918B7"/>
    <w:rsid w:val="00E94D8A"/>
    <w:rsid w:val="00EA1843"/>
    <w:rsid w:val="00EA45AC"/>
    <w:rsid w:val="00EA68CC"/>
    <w:rsid w:val="00EA7A93"/>
    <w:rsid w:val="00EB0D03"/>
    <w:rsid w:val="00EC0F51"/>
    <w:rsid w:val="00EC7DED"/>
    <w:rsid w:val="00ED0A4A"/>
    <w:rsid w:val="00ED1DDE"/>
    <w:rsid w:val="00EE2B5A"/>
    <w:rsid w:val="00EE648F"/>
    <w:rsid w:val="00EE7942"/>
    <w:rsid w:val="00EF4FAC"/>
    <w:rsid w:val="00F00481"/>
    <w:rsid w:val="00F05456"/>
    <w:rsid w:val="00F11675"/>
    <w:rsid w:val="00F20274"/>
    <w:rsid w:val="00F32DB5"/>
    <w:rsid w:val="00F36C13"/>
    <w:rsid w:val="00F40E35"/>
    <w:rsid w:val="00F474BB"/>
    <w:rsid w:val="00F55731"/>
    <w:rsid w:val="00F639CF"/>
    <w:rsid w:val="00F74900"/>
    <w:rsid w:val="00F83C98"/>
    <w:rsid w:val="00F926A0"/>
    <w:rsid w:val="00F95DC1"/>
    <w:rsid w:val="00F9682A"/>
    <w:rsid w:val="00FA0871"/>
    <w:rsid w:val="00FA0F95"/>
    <w:rsid w:val="00FA4749"/>
    <w:rsid w:val="00FA49BF"/>
    <w:rsid w:val="00FA6819"/>
    <w:rsid w:val="00FB27D0"/>
    <w:rsid w:val="00FB4052"/>
    <w:rsid w:val="00FB690E"/>
    <w:rsid w:val="00FD2228"/>
    <w:rsid w:val="00FD758A"/>
    <w:rsid w:val="00FE1765"/>
    <w:rsid w:val="00FE5CD9"/>
    <w:rsid w:val="00FF3A08"/>
    <w:rsid w:val="00FF64B1"/>
    <w:rsid w:val="00FF79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D3FD6BE-13A3-47E7-A7FB-1D2282DD9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table" w:styleId="aa">
    <w:name w:val="Table Grid"/>
    <w:basedOn w:val="a1"/>
    <w:rsid w:val="0054777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017430"/>
    <w:pPr>
      <w:keepNext/>
      <w:keepLines/>
      <w:tabs>
        <w:tab w:val="clear" w:pos="6259"/>
      </w:tabs>
      <w:spacing w:before="240"/>
      <w:jc w:val="center"/>
    </w:pPr>
    <w:rPr>
      <w:szCs w:val="20"/>
    </w:rPr>
  </w:style>
  <w:style w:type="character" w:customStyle="1" w:styleId="UnresolvedMention">
    <w:name w:val="Unresolved Mention"/>
    <w:uiPriority w:val="99"/>
    <w:semiHidden/>
    <w:unhideWhenUsed/>
    <w:rsid w:val="003A25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858.pdf"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nevo.co.il/law_word/law06/tak-8066.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_word/law06/tak-8066.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8066.pdf" TargetMode="External"/><Relationship Id="rId2" Type="http://schemas.openxmlformats.org/officeDocument/2006/relationships/hyperlink" Target="http://www.nevo.co.il/Law_word/law06/tak-7858.pdf" TargetMode="External"/><Relationship Id="rId1" Type="http://schemas.openxmlformats.org/officeDocument/2006/relationships/hyperlink" Target="http://www.nevo.co.il/Law_word/law06/tak-751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3962</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393283</vt:i4>
      </vt:variant>
      <vt:variant>
        <vt:i4>27</vt:i4>
      </vt:variant>
      <vt:variant>
        <vt:i4>0</vt:i4>
      </vt:variant>
      <vt:variant>
        <vt:i4>5</vt:i4>
      </vt:variant>
      <vt:variant>
        <vt:lpwstr>http://www.nevo.co.il/advertisements/nevo-100.doc</vt:lpwstr>
      </vt:variant>
      <vt:variant>
        <vt:lpwstr/>
      </vt:variant>
      <vt:variant>
        <vt:i4>7798798</vt:i4>
      </vt:variant>
      <vt:variant>
        <vt:i4>24</vt:i4>
      </vt:variant>
      <vt:variant>
        <vt:i4>0</vt:i4>
      </vt:variant>
      <vt:variant>
        <vt:i4>5</vt:i4>
      </vt:variant>
      <vt:variant>
        <vt:lpwstr>http://www.nevo.co.il/law_word/law06/tak-8066.pdf</vt:lpwstr>
      </vt:variant>
      <vt:variant>
        <vt:lpwstr/>
      </vt:variant>
      <vt:variant>
        <vt:i4>8060936</vt:i4>
      </vt:variant>
      <vt:variant>
        <vt:i4>21</vt:i4>
      </vt:variant>
      <vt:variant>
        <vt:i4>0</vt:i4>
      </vt:variant>
      <vt:variant>
        <vt:i4>5</vt:i4>
      </vt:variant>
      <vt:variant>
        <vt:lpwstr>http://www.nevo.co.il/Law_word/law06/tak-7858.pdf</vt:lpwstr>
      </vt:variant>
      <vt:variant>
        <vt:lpwstr/>
      </vt:variant>
      <vt:variant>
        <vt:i4>7798798</vt:i4>
      </vt:variant>
      <vt:variant>
        <vt:i4>18</vt:i4>
      </vt:variant>
      <vt:variant>
        <vt:i4>0</vt:i4>
      </vt:variant>
      <vt:variant>
        <vt:i4>5</vt:i4>
      </vt:variant>
      <vt:variant>
        <vt:lpwstr>http://www.nevo.co.il/law_word/law06/tak-8066.pdf</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7798798</vt:i4>
      </vt:variant>
      <vt:variant>
        <vt:i4>6</vt:i4>
      </vt:variant>
      <vt:variant>
        <vt:i4>0</vt:i4>
      </vt:variant>
      <vt:variant>
        <vt:i4>5</vt:i4>
      </vt:variant>
      <vt:variant>
        <vt:lpwstr>http://www.nevo.co.il/Law_word/law06/TAK-8066.pdf</vt:lpwstr>
      </vt:variant>
      <vt:variant>
        <vt:lpwstr/>
      </vt:variant>
      <vt:variant>
        <vt:i4>8060936</vt:i4>
      </vt:variant>
      <vt:variant>
        <vt:i4>3</vt:i4>
      </vt:variant>
      <vt:variant>
        <vt:i4>0</vt:i4>
      </vt:variant>
      <vt:variant>
        <vt:i4>5</vt:i4>
      </vt:variant>
      <vt:variant>
        <vt:lpwstr>http://www.nevo.co.il/Law_word/law06/tak-7858.pdf</vt:lpwstr>
      </vt:variant>
      <vt:variant>
        <vt:lpwstr/>
      </vt:variant>
      <vt:variant>
        <vt:i4>8323087</vt:i4>
      </vt:variant>
      <vt:variant>
        <vt:i4>0</vt:i4>
      </vt:variant>
      <vt:variant>
        <vt:i4>0</vt:i4>
      </vt:variant>
      <vt:variant>
        <vt:i4>5</vt:i4>
      </vt:variant>
      <vt:variant>
        <vt:lpwstr>http://www.nevo.co.il/Law_word/law06/tak-7512.pdf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להגנה על עדים (העסקה לתקופה קצובה), תשע"ה-2015</vt:lpwstr>
  </property>
  <property fmtid="{D5CDD505-2E9C-101B-9397-08002B2CF9AE}" pid="4" name="LAWNUMBER">
    <vt:lpwstr>0221</vt:lpwstr>
  </property>
  <property fmtid="{D5CDD505-2E9C-101B-9397-08002B2CF9AE}" pid="5" name="TYPE">
    <vt:lpwstr>01</vt:lpwstr>
  </property>
  <property fmtid="{D5CDD505-2E9C-101B-9397-08002B2CF9AE}" pid="6" name="CHNAME">
    <vt:lpwstr>סדר דין פלילי</vt:lpwstr>
  </property>
  <property fmtid="{D5CDD505-2E9C-101B-9397-08002B2CF9AE}" pid="7" name="LINKK2">
    <vt:lpwstr>http://www.nevo.co.il/Law_word/law06/tak-7858.pdf;‎רשומות - תקנות כלליות#תוקנו ק"ת תשע"ז ‏מס' 7858 #מיום 3.9.2017 עמ' 1722 – תק' תשע"ז-2017‏</vt:lpwstr>
  </property>
  <property fmtid="{D5CDD505-2E9C-101B-9397-08002B2CF9AE}" pid="8" name="LINKK3">
    <vt:lpwstr>http://www.nevo.co.il/Law_word/law06/TAK-8066.pdf;‎רשומות - תקנות כלליות#ק"ת תשע"ח מס' ‏‏8066 #מיום 27.8.2018 עמ' 2750 – תק' תשע"ח-2018‏</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חוק להגנה על עדים</vt:lpwstr>
  </property>
  <property fmtid="{D5CDD505-2E9C-101B-9397-08002B2CF9AE}" pid="22" name="MEKOR_SAIF1">
    <vt:lpwstr>10XבX</vt:lpwstr>
  </property>
  <property fmtid="{D5CDD505-2E9C-101B-9397-08002B2CF9AE}" pid="23" name="NOSE12">
    <vt:lpwstr>עונשין ומשפט פלילי</vt:lpwstr>
  </property>
  <property fmtid="{D5CDD505-2E9C-101B-9397-08002B2CF9AE}" pid="24" name="NOSE22">
    <vt:lpwstr>סדר דין פלילי</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NOSE11">
    <vt:lpwstr>בתי משפט וסדרי דין</vt:lpwstr>
  </property>
  <property fmtid="{D5CDD505-2E9C-101B-9397-08002B2CF9AE}" pid="60" name="NOSE21">
    <vt:lpwstr>סדר דין פלילי</vt:lpwstr>
  </property>
  <property fmtid="{D5CDD505-2E9C-101B-9397-08002B2CF9AE}" pid="61" name="NOSE31">
    <vt:lpwstr>עדות</vt:lpwstr>
  </property>
  <property fmtid="{D5CDD505-2E9C-101B-9397-08002B2CF9AE}" pid="62" name="NOSE41">
    <vt:lpwstr/>
  </property>
  <property fmtid="{D5CDD505-2E9C-101B-9397-08002B2CF9AE}" pid="63" name="MEKORSAMCHUT">
    <vt:lpwstr/>
  </property>
  <property fmtid="{D5CDD505-2E9C-101B-9397-08002B2CF9AE}" pid="64" name="LINKK1">
    <vt:lpwstr>http://www.nevo.co.il/Law_word/law06/tak-7512.pdf;‎רשומות - תקנות כלליות#פורסמו ק"ת ‏תשע"ה מס' 7512 #מיום 7.5.2015 עמ' 1230‏</vt:lpwstr>
  </property>
</Properties>
</file>