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0AB" w:rsidRDefault="00F420AB" w:rsidP="003B6BC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להשבחת ייצור חקלאי (בעלי חיים) (דבורים), תשכ"ח</w:t>
      </w:r>
      <w:r w:rsidR="003B6BC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1968</w:t>
      </w:r>
    </w:p>
    <w:p w:rsidR="006A31BE" w:rsidRDefault="006A31BE" w:rsidP="006A31BE">
      <w:pPr>
        <w:spacing w:line="320" w:lineRule="auto"/>
        <w:jc w:val="left"/>
        <w:rPr>
          <w:rFonts w:cs="FrankRuehl" w:hint="cs"/>
          <w:szCs w:val="26"/>
          <w:rtl/>
        </w:rPr>
      </w:pPr>
    </w:p>
    <w:p w:rsidR="00407B5F" w:rsidRPr="006A31BE" w:rsidRDefault="00407B5F" w:rsidP="006A31BE">
      <w:pPr>
        <w:spacing w:line="320" w:lineRule="auto"/>
        <w:jc w:val="left"/>
        <w:rPr>
          <w:rFonts w:cs="FrankRuehl" w:hint="cs"/>
          <w:szCs w:val="26"/>
          <w:rtl/>
        </w:rPr>
      </w:pPr>
    </w:p>
    <w:p w:rsidR="006A31BE" w:rsidRPr="006A31BE" w:rsidRDefault="006A31BE" w:rsidP="006A31BE">
      <w:pPr>
        <w:spacing w:line="320" w:lineRule="auto"/>
        <w:jc w:val="left"/>
        <w:rPr>
          <w:rFonts w:cs="Miriam" w:hint="cs"/>
          <w:szCs w:val="22"/>
          <w:rtl/>
        </w:rPr>
      </w:pPr>
      <w:r w:rsidRPr="006A31BE">
        <w:rPr>
          <w:rFonts w:cs="Miriam"/>
          <w:szCs w:val="22"/>
          <w:rtl/>
        </w:rPr>
        <w:t>חקלאות טבע וסביבה</w:t>
      </w:r>
      <w:r w:rsidRPr="006A31BE">
        <w:rPr>
          <w:rFonts w:cs="FrankRuehl"/>
          <w:szCs w:val="26"/>
          <w:rtl/>
        </w:rPr>
        <w:t xml:space="preserve"> – בע"ח – השבחת ייצור חקלאי</w:t>
      </w:r>
    </w:p>
    <w:p w:rsidR="00F420AB" w:rsidRDefault="00F420A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ראשון: פרשנות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ראשון: פרשנות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שני: הקמת מכוורת והחזקתה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שני: הקמת מכוורת והחזקתה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הקמת מכוורת והחזקתה ללא היתר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יסור הקמת מכוורת והחזקתה ללא היתר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היתר להקמת מכוורת והחזקתה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יתר להקמת מכוורת והחזקתה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על העברת מכוורת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יסור על העברת מכוורת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שלישי: שטחי מרעה לדבורים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שלישי: שטחי מרעה לדבורים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רעיית דבורים ללא אישור מרעה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איסור רעיית דבורים ללא אישור מרעה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אישור לרעיית דבורים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אישור לרעיית דבורים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בקשה לאישור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בקשה לאישור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רביעי: מכוורת רביה ומכוורת טיפוח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רביעי: מכוורת רביה ומכוורת טיפוח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רשיון למכוורת רביה ומכוורת טיפוח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רשיון למכוורת רביה ומכוורת טיפוח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הקמת מכוורת רביה ומכוורת טיפוח והחזקתן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איסור הקמת מכוורת רביה ומכוורת טיפוח והחזקתן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תנאים לקבלת רשיון למכוורת רביה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תנאים לקבלת רשיון למכוורת רביה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תנאים לקבלת רשיון למכוורת טיפוח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תנאים לקבלת רשיון למכוורת טיפוח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יומנים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יומנים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מכירת חומר רביה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איסור מכירת חומר רביה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רכישת חומר רביה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איסור רכישת חומר רביה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רכישה של מכוורת רביה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רכישה של מכוורת רביה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מקור חומר רביה במכוורת טיפוח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מקור חומר רביה במכוורת טיפוח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רכישת חומר רביה בדרך אחרת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רכישת חומר רביה בדרך אחרת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חמישי: שונות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4" w:tooltip="פרק חמישי: שונות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סימון הדבוריות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סימון הדבוריות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הגבלה לרכישת דבורים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הגבלה לרכישת דבורים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יבוא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איסור יבוא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 והתליה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ביטול והתליה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העברת היתר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איסור העברת היתר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החזקת מכוורת שנתפסה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החזקת מכוורת שנתפסה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ביטול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326B2" w:rsidRPr="008326B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השם" w:history="1">
              <w:r w:rsidRPr="008326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326B2" w:rsidRPr="008326B2" w:rsidRDefault="008326B2" w:rsidP="008326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F420AB" w:rsidRDefault="00F420AB">
      <w:pPr>
        <w:pStyle w:val="big-header"/>
        <w:ind w:left="0" w:right="1134"/>
        <w:rPr>
          <w:rFonts w:cs="FrankRuehl"/>
          <w:sz w:val="32"/>
          <w:rtl/>
        </w:rPr>
      </w:pPr>
    </w:p>
    <w:p w:rsidR="00F420AB" w:rsidRPr="006A31BE" w:rsidRDefault="00F420AB" w:rsidP="006A31BE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להשבחת ייצור חקלאי (בעלי חיים) (דבורים), תשכ"ח</w:t>
      </w:r>
      <w:r w:rsidR="003B6BC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1968</w:t>
      </w:r>
      <w:r w:rsidR="003B6BC4" w:rsidRPr="003B6BC4">
        <w:rPr>
          <w:rStyle w:val="default"/>
          <w:rtl/>
        </w:rPr>
        <w:footnoteReference w:customMarkFollows="1" w:id="1"/>
        <w:t>*</w:t>
      </w:r>
    </w:p>
    <w:p w:rsidR="00F420AB" w:rsidRDefault="00F420AB" w:rsidP="003B6B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 לחוק להשבחת ייצור חקלאי (בעלי חיים), תשי"ב</w:t>
      </w:r>
      <w:r w:rsidR="003B6BC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1952, </w:t>
      </w:r>
      <w:r>
        <w:rPr>
          <w:rStyle w:val="default"/>
          <w:rFonts w:cs="FrankRuehl" w:hint="cs"/>
          <w:rtl/>
        </w:rPr>
        <w:t>ולאחר התייעצות בועדה מייעצת, אני מתקין 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נות אלה:</w:t>
      </w:r>
    </w:p>
    <w:p w:rsidR="00F420AB" w:rsidRDefault="00F420AB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0" w:name="med0"/>
      <w:bookmarkEnd w:id="0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ראשון: פרשנות</w:t>
      </w:r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11pt;z-index:251643904" o:allowincell="f" filled="f" stroked="f" strokecolor="lime" strokeweight=".25pt">
            <v:textbox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</w:t>
      </w:r>
      <w:r w:rsidR="003B6BC4">
        <w:rPr>
          <w:rStyle w:val="default"/>
          <w:rFonts w:cs="FrankRuehl"/>
          <w:rtl/>
        </w:rPr>
        <w:t xml:space="preserve"> –</w:t>
      </w:r>
    </w:p>
    <w:p w:rsidR="00F420AB" w:rsidRDefault="00F420AB" w:rsidP="003B6B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מנהל" </w:t>
      </w:r>
      <w:r w:rsidR="00407B5F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מנהל המחלקה לדבורים במשרד החקלאות;</w:t>
      </w:r>
    </w:p>
    <w:p w:rsidR="00F420AB" w:rsidRDefault="00F420AB" w:rsidP="003B6B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"כ</w:t>
      </w:r>
      <w:r>
        <w:rPr>
          <w:rStyle w:val="default"/>
          <w:rFonts w:cs="FrankRuehl" w:hint="cs"/>
          <w:rtl/>
        </w:rPr>
        <w:t xml:space="preserve">וורת" </w:t>
      </w:r>
      <w:r w:rsidR="00407B5F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ארגז, תבנית, כלי קיבול וכל מבנה אחר שמשתמשים בו לגידול דבורים;</w:t>
      </w:r>
    </w:p>
    <w:p w:rsidR="00F420AB" w:rsidRDefault="00F420AB" w:rsidP="003B6B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"ד</w:t>
      </w:r>
      <w:r>
        <w:rPr>
          <w:rStyle w:val="default"/>
          <w:rFonts w:cs="FrankRuehl" w:hint="cs"/>
          <w:rtl/>
        </w:rPr>
        <w:t xml:space="preserve">בורית" </w:t>
      </w:r>
      <w:r w:rsidR="00407B5F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כוורת מאוכלסת משפחה של דבורים;</w:t>
      </w:r>
    </w:p>
    <w:p w:rsidR="00F420AB" w:rsidRDefault="00F420AB" w:rsidP="003B6B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כוורת" </w:t>
      </w:r>
      <w:r w:rsidR="00407B5F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דבורית אחת או קבוצת דבוריות המוצבות במקום אחד;</w:t>
      </w:r>
    </w:p>
    <w:p w:rsidR="00F420AB" w:rsidRDefault="00F420AB" w:rsidP="003B6B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ומר רביה" </w:t>
      </w:r>
      <w:r w:rsidR="00407B5F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ולד, לרבות ביצים</w:t>
      </w:r>
      <w:r>
        <w:rPr>
          <w:rStyle w:val="default"/>
          <w:rFonts w:cs="FrankRuehl"/>
          <w:rtl/>
        </w:rPr>
        <w:t>, מ</w:t>
      </w:r>
      <w:r>
        <w:rPr>
          <w:rStyle w:val="default"/>
          <w:rFonts w:cs="FrankRuehl" w:hint="cs"/>
          <w:rtl/>
        </w:rPr>
        <w:t>לכונים, מלכות דבורים וכן דבוריות, שלא לצורך עצמי;</w:t>
      </w:r>
    </w:p>
    <w:p w:rsidR="00F420AB" w:rsidRDefault="00F420AB" w:rsidP="003B6B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כוורת רביה" </w:t>
      </w:r>
      <w:r w:rsidR="00407B5F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מכוורת שבה מגדלים חומר רביה שלא לצורך עצמי בלבד;</w:t>
      </w:r>
    </w:p>
    <w:p w:rsidR="00F420AB" w:rsidRDefault="00F420AB" w:rsidP="003B6B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כוורת טיפוח" </w:t>
      </w:r>
      <w:r w:rsidR="00407B5F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מכוורת שבה מטפחים חומר רביה מבורר ובדוק, שלא לצורך עצמי בלבד, ומתנהל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לגביה ספר יוחסין;</w:t>
      </w:r>
    </w:p>
    <w:p w:rsidR="00F420AB" w:rsidRDefault="00F420AB" w:rsidP="003B6B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"ג</w:t>
      </w:r>
      <w:r>
        <w:rPr>
          <w:rStyle w:val="default"/>
          <w:rFonts w:cs="FrankRuehl" w:hint="cs"/>
          <w:rtl/>
        </w:rPr>
        <w:t xml:space="preserve">זע דבורים" </w:t>
      </w:r>
      <w:r w:rsidR="00407B5F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דבורים שיש להן ת</w:t>
      </w:r>
      <w:r>
        <w:rPr>
          <w:rStyle w:val="default"/>
          <w:rFonts w:cs="FrankRuehl"/>
          <w:rtl/>
        </w:rPr>
        <w:t>כו</w:t>
      </w:r>
      <w:r>
        <w:rPr>
          <w:rStyle w:val="default"/>
          <w:rFonts w:cs="FrankRuehl" w:hint="cs"/>
          <w:rtl/>
        </w:rPr>
        <w:t>נות תורשתיות אופייניות המגדירות גזע מסויים;</w:t>
      </w:r>
    </w:p>
    <w:p w:rsidR="00F420AB" w:rsidRDefault="00F420AB" w:rsidP="003B6B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רעה לדבורים" </w:t>
      </w:r>
      <w:r w:rsidR="00407B5F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שטח שיש בו צמחיה שפריחתה מספקת מזון לדבורים;</w:t>
      </w:r>
    </w:p>
    <w:p w:rsidR="00F420AB" w:rsidRDefault="00F420AB" w:rsidP="003B6B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כישה" </w:t>
      </w:r>
      <w:r w:rsidR="00407B5F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קניה או החזקה, למעט החזקה של חומר רביה מייצור עצמי;</w:t>
      </w:r>
    </w:p>
    <w:p w:rsidR="00F420AB" w:rsidRDefault="00F420AB" w:rsidP="003B6B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"ס</w:t>
      </w:r>
      <w:r>
        <w:rPr>
          <w:rStyle w:val="default"/>
          <w:rFonts w:cs="FrankRuehl" w:hint="cs"/>
          <w:rtl/>
        </w:rPr>
        <w:t xml:space="preserve">פר יוחסין" </w:t>
      </w:r>
      <w:r w:rsidR="00407B5F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רישום המעיד על מו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א גנטי של חומר רביה;</w:t>
      </w:r>
    </w:p>
    <w:p w:rsidR="00F420AB" w:rsidRDefault="00F420AB" w:rsidP="003B6B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3.15pt;z-index:251644928" o:allowincell="f" filled="f" stroked="f" strokecolor="lime" strokeweight=".25pt">
            <v:textbox inset="0,0,0,0">
              <w:txbxContent>
                <w:p w:rsidR="00F420AB" w:rsidRDefault="00F420AB" w:rsidP="003B6B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תשל"א</w:t>
                  </w:r>
                  <w:r w:rsidR="003B6BC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1971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רשות המבצעת" </w:t>
      </w:r>
      <w:r w:rsidR="00407B5F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כמשמעותה ב</w:t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הפיקוח על מצרכים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שירותים (ייצור דבש ומכירתו), תשכ"ט</w:t>
      </w:r>
      <w:r w:rsidR="003B6BC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1969 (</w:t>
      </w:r>
      <w:r>
        <w:rPr>
          <w:rStyle w:val="default"/>
          <w:rFonts w:cs="FrankRuehl" w:hint="cs"/>
          <w:rtl/>
        </w:rPr>
        <w:t xml:space="preserve">להלן </w:t>
      </w:r>
      <w:r w:rsidR="00407B5F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הצו).</w:t>
      </w:r>
    </w:p>
    <w:p w:rsidR="00854659" w:rsidRPr="00407B5F" w:rsidRDefault="00854659" w:rsidP="008546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33"/>
      <w:r w:rsidRPr="00407B5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18.2.1971</w:t>
      </w:r>
    </w:p>
    <w:p w:rsidR="00854659" w:rsidRPr="00407B5F" w:rsidRDefault="00854659" w:rsidP="008546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7B5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תשל"א-1971</w:t>
      </w:r>
    </w:p>
    <w:p w:rsidR="00854659" w:rsidRPr="00407B5F" w:rsidRDefault="00854659" w:rsidP="008546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407B5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תשל"א מס' 2666</w:t>
        </w:r>
      </w:hyperlink>
      <w:r w:rsidRPr="00407B5F">
        <w:rPr>
          <w:rFonts w:cs="FrankRuehl" w:hint="cs"/>
          <w:vanish/>
          <w:szCs w:val="20"/>
          <w:shd w:val="clear" w:color="auto" w:fill="FFFF99"/>
          <w:rtl/>
        </w:rPr>
        <w:t xml:space="preserve"> מיום 18.2.1971 עמ' 574</w:t>
      </w:r>
    </w:p>
    <w:p w:rsidR="00854659" w:rsidRPr="003243D0" w:rsidRDefault="00854659" w:rsidP="003243D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407B5F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הוספת הגדרת "הרשות המבצעת" </w:t>
      </w:r>
      <w:bookmarkEnd w:id="2"/>
    </w:p>
    <w:p w:rsidR="00F420AB" w:rsidRDefault="00F420AB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3" w:name="med1"/>
      <w:bookmarkEnd w:id="3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 xml:space="preserve">ק שני: הקמת </w:t>
      </w:r>
      <w:r>
        <w:rPr>
          <w:rFonts w:cs="FrankRuehl"/>
          <w:noProof/>
          <w:rtl/>
        </w:rPr>
        <w:t>מכ</w:t>
      </w:r>
      <w:r>
        <w:rPr>
          <w:rFonts w:cs="FrankRuehl" w:hint="cs"/>
          <w:noProof/>
          <w:rtl/>
        </w:rPr>
        <w:t>וורת והחזקתה</w:t>
      </w:r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1028" style="position:absolute;left:0;text-align:left;margin-left:464.5pt;margin-top:8.05pt;width:75.05pt;height:30.5pt;z-index:251645952" o:allowincell="f" filled="f" stroked="f" strokecolor="lime" strokeweight=".25pt">
            <v:textbox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הקמת מכוורת והחזקתה ללא היתר</w:t>
                  </w:r>
                </w:p>
                <w:p w:rsidR="00F420AB" w:rsidRDefault="00F420AB" w:rsidP="003B6B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תשל"א</w:t>
                  </w:r>
                  <w:r w:rsidR="003B6BC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יקים אדם ולא יחזיק מכוורת, אלא אם קיבל רשיון ייצור לפי סעיף 2 לצו וניתן לו היתר בכתב לכך מאת הרשות המבצעת ובהתאם לתנאיו.</w:t>
      </w:r>
    </w:p>
    <w:p w:rsidR="00F420AB" w:rsidRDefault="003B6B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470.25pt;margin-top:7.1pt;width:1in;height:12.5pt;z-index:251671552" filled="f" stroked="f">
            <v:textbox inset="1mm,0,1mm,0">
              <w:txbxContent>
                <w:p w:rsidR="003B6BC4" w:rsidRDefault="003B6BC4" w:rsidP="003B6B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1971</w:t>
                  </w:r>
                </w:p>
              </w:txbxContent>
            </v:textbox>
          </v:shape>
        </w:pict>
      </w:r>
      <w:r w:rsidR="00F420AB">
        <w:rPr>
          <w:rFonts w:cs="FrankRuehl"/>
          <w:sz w:val="26"/>
          <w:rtl/>
        </w:rPr>
        <w:tab/>
      </w:r>
      <w:r w:rsidR="00F420AB">
        <w:rPr>
          <w:rStyle w:val="default"/>
          <w:rFonts w:cs="FrankRuehl"/>
          <w:rtl/>
        </w:rPr>
        <w:t>(ב</w:t>
      </w:r>
      <w:r w:rsidR="00F420AB">
        <w:rPr>
          <w:rStyle w:val="default"/>
          <w:rFonts w:cs="FrankRuehl" w:hint="cs"/>
          <w:rtl/>
        </w:rPr>
        <w:t>)</w:t>
      </w:r>
      <w:r w:rsidR="00F420AB">
        <w:rPr>
          <w:rStyle w:val="default"/>
          <w:rFonts w:cs="FrankRuehl"/>
          <w:rtl/>
        </w:rPr>
        <w:tab/>
        <w:t>ל</w:t>
      </w:r>
      <w:r w:rsidR="00F420AB">
        <w:rPr>
          <w:rStyle w:val="default"/>
          <w:rFonts w:cs="FrankRuehl" w:hint="cs"/>
          <w:rtl/>
        </w:rPr>
        <w:t>א ישנה אדם את מספר הדבוריות שבמכוורת אלא אם ניתן לו היתר בכתב לכך מאת הרשות המבצעת.</w:t>
      </w:r>
    </w:p>
    <w:p w:rsidR="00854659" w:rsidRPr="00407B5F" w:rsidRDefault="00854659" w:rsidP="008546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5" w:name="Rov34"/>
      <w:r w:rsidRPr="00407B5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18.2.1971</w:t>
      </w:r>
    </w:p>
    <w:p w:rsidR="00854659" w:rsidRPr="00407B5F" w:rsidRDefault="00854659" w:rsidP="0085465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7B5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תשל"א-1971</w:t>
      </w:r>
    </w:p>
    <w:p w:rsidR="00854659" w:rsidRPr="00407B5F" w:rsidRDefault="00854659" w:rsidP="0085465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407B5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תשל"א מס' 2666</w:t>
        </w:r>
      </w:hyperlink>
      <w:r w:rsidRPr="00407B5F">
        <w:rPr>
          <w:rFonts w:cs="FrankRuehl" w:hint="cs"/>
          <w:vanish/>
          <w:szCs w:val="20"/>
          <w:shd w:val="clear" w:color="auto" w:fill="FFFF99"/>
          <w:rtl/>
        </w:rPr>
        <w:t xml:space="preserve"> מיום 18.2.1971 עמ' 574</w:t>
      </w:r>
    </w:p>
    <w:p w:rsidR="00854659" w:rsidRPr="00407B5F" w:rsidRDefault="00854659" w:rsidP="00E44192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7B5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407B5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לא יקים אדם ולא יחזיק מכוורת, אלא אם ניתן לו היתר בכתב לכך מאת המנהל ובהתאם לתנאיו.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854659" w:rsidRPr="00407B5F" w:rsidRDefault="00854659" w:rsidP="00854659">
      <w:pPr>
        <w:pStyle w:val="P00"/>
        <w:tabs>
          <w:tab w:val="clear" w:pos="6259"/>
        </w:tabs>
        <w:spacing w:before="0"/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7B5F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407B5F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לא יקים אדם ולא יחזיק מכוורת, אלא אם קיבל רשיון ייצור לפי סעיף 2 לצו וניתן לו היתר בכתב לכך מאת הרשות המבצעת ובהתאם לתנאיו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</w:p>
    <w:p w:rsidR="00854659" w:rsidRPr="003243D0" w:rsidRDefault="00854659" w:rsidP="003243D0">
      <w:pPr>
        <w:pStyle w:val="P00"/>
        <w:tabs>
          <w:tab w:val="clear" w:pos="6259"/>
        </w:tabs>
        <w:spacing w:before="0"/>
        <w:ind w:left="0" w:right="1138"/>
        <w:rPr>
          <w:rStyle w:val="default"/>
          <w:rFonts w:cs="FrankRuehl" w:hint="cs"/>
          <w:sz w:val="2"/>
          <w:szCs w:val="2"/>
          <w:rtl/>
        </w:rPr>
      </w:pP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לא ישנה אםד את מספר הדבוריות שבמכוורת אלא אם ניתן לו היתר בכתב </w:t>
      </w:r>
      <w:r w:rsidRPr="00407B5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מאת המנהל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  <w:r w:rsidRPr="00407B5F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לכך מאת הרשות המבצעת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  <w:bookmarkEnd w:id="5"/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pict>
          <v:rect id="_x0000_s1029" style="position:absolute;left:0;text-align:left;margin-left:464.5pt;margin-top:8.05pt;width:75.05pt;height:27.8pt;z-index:251646976" o:allowincell="f" filled="f" stroked="f" strokecolor="lime" strokeweight=".25pt">
            <v:textbox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תר להקמת מכוורת והחזקתה</w:t>
                  </w:r>
                </w:p>
                <w:p w:rsidR="00F420AB" w:rsidRDefault="00F420AB" w:rsidP="003B6B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תשל"א</w:t>
                  </w:r>
                  <w:r w:rsidR="003B6BC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רשות המבצע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רשאית לתת היתרים בכתב להקמת מכוורת והחזקתה, בהם יפורטו מספר הדבוריות שלגביהן ניתן כל היתר ו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ן המקום בו רשאים להחזיקן.</w:t>
      </w:r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דם שקיבל היתר חייב לחדשו בראשון לינואר של כל שנה.</w:t>
      </w:r>
    </w:p>
    <w:p w:rsidR="00883585" w:rsidRPr="00407B5F" w:rsidRDefault="00883585" w:rsidP="0088358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7" w:name="Rov35"/>
      <w:r w:rsidRPr="00407B5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18.2.1971</w:t>
      </w:r>
    </w:p>
    <w:p w:rsidR="00883585" w:rsidRPr="00407B5F" w:rsidRDefault="00883585" w:rsidP="0088358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7B5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תשל"א-1971</w:t>
      </w:r>
    </w:p>
    <w:p w:rsidR="00883585" w:rsidRPr="00407B5F" w:rsidRDefault="00883585" w:rsidP="0088358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407B5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תשל"א מס' 2666</w:t>
        </w:r>
      </w:hyperlink>
      <w:r w:rsidRPr="00407B5F">
        <w:rPr>
          <w:rFonts w:cs="FrankRuehl" w:hint="cs"/>
          <w:vanish/>
          <w:szCs w:val="20"/>
          <w:shd w:val="clear" w:color="auto" w:fill="FFFF99"/>
          <w:rtl/>
        </w:rPr>
        <w:t xml:space="preserve"> מיום 18.2.1971 עמ' 574</w:t>
      </w:r>
    </w:p>
    <w:p w:rsidR="00883585" w:rsidRPr="003243D0" w:rsidRDefault="00883585" w:rsidP="00E44192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sz w:val="2"/>
          <w:szCs w:val="2"/>
          <w:rtl/>
        </w:rPr>
      </w:pP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7B5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 רשאי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B399A" w:rsidRPr="00407B5F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הרשות המבצעת רשאית</w:t>
      </w:r>
      <w:r w:rsidR="005B399A"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לתת היתרים בכתב להקמת מכוורת והחזקתה, בהם יפורטו מספר הדבוריות שלגביהן ניתן כל היתר וכן המקום בו רשאים להחזיקן. </w:t>
      </w:r>
      <w:bookmarkEnd w:id="7"/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4"/>
      <w:bookmarkEnd w:id="8"/>
      <w:r>
        <w:rPr>
          <w:lang w:val="he-IL"/>
        </w:rPr>
        <w:pict>
          <v:rect id="_x0000_s1030" style="position:absolute;left:0;text-align:left;margin-left:464.5pt;margin-top:8.05pt;width:75.05pt;height:27.7pt;z-index:251648000" o:allowincell="f" filled="f" stroked="f" strokecolor="lime" strokeweight=".25pt">
            <v:textbox style="mso-next-textbox:#_x0000_s1030" inset="0,0,0,0">
              <w:txbxContent>
                <w:p w:rsidR="00F420AB" w:rsidRDefault="00F420AB" w:rsidP="003B6B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על</w:t>
                  </w:r>
                  <w:r w:rsidR="003B6BC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ברת מכוורת</w:t>
                  </w:r>
                </w:p>
                <w:p w:rsidR="00F420AB" w:rsidRDefault="00F420AB" w:rsidP="003B6B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תשל"א</w:t>
                  </w:r>
                  <w:r w:rsidR="003B6BC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יעביר אדם את מכוורתו למקום אחר מזה שפורט בהיתר, אלא אם קיבל מראש אישור בכ</w:t>
      </w:r>
      <w:r>
        <w:rPr>
          <w:rStyle w:val="default"/>
          <w:rFonts w:cs="FrankRuehl"/>
          <w:rtl/>
        </w:rPr>
        <w:t>תב</w:t>
      </w:r>
      <w:r>
        <w:rPr>
          <w:rStyle w:val="default"/>
          <w:rFonts w:cs="FrankRuehl" w:hint="cs"/>
          <w:rtl/>
        </w:rPr>
        <w:t xml:space="preserve"> לכך מאת הרשות המבצעת.</w:t>
      </w:r>
    </w:p>
    <w:p w:rsidR="005B399A" w:rsidRPr="00407B5F" w:rsidRDefault="005B399A" w:rsidP="005B399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9" w:name="Rov36"/>
      <w:r w:rsidRPr="00407B5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18.2.1971</w:t>
      </w:r>
    </w:p>
    <w:p w:rsidR="005B399A" w:rsidRPr="00407B5F" w:rsidRDefault="005B399A" w:rsidP="005B399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7B5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תשל"א-1971</w:t>
      </w:r>
    </w:p>
    <w:p w:rsidR="005B399A" w:rsidRPr="00407B5F" w:rsidRDefault="005B399A" w:rsidP="005B399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407B5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תשל"א מס' 2666</w:t>
        </w:r>
      </w:hyperlink>
      <w:r w:rsidRPr="00407B5F">
        <w:rPr>
          <w:rFonts w:cs="FrankRuehl" w:hint="cs"/>
          <w:vanish/>
          <w:szCs w:val="20"/>
          <w:shd w:val="clear" w:color="auto" w:fill="FFFF99"/>
          <w:rtl/>
        </w:rPr>
        <w:t xml:space="preserve"> מיום 18.2.1971 עמ' 574</w:t>
      </w:r>
    </w:p>
    <w:p w:rsidR="005B399A" w:rsidRPr="003243D0" w:rsidRDefault="005B399A" w:rsidP="00407B5F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sz w:val="2"/>
          <w:szCs w:val="2"/>
          <w:rtl/>
        </w:rPr>
      </w:pP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לא יעביר אדם את מכוורתו למקום אחר מזה שפורט בהיתר, אלא אם קיבל מראש אישור בכתב לכך מאת </w:t>
      </w:r>
      <w:r w:rsidRPr="00407B5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7B5F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הרשות המבצעת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9"/>
    </w:p>
    <w:p w:rsidR="00F420AB" w:rsidRDefault="00F420AB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0" w:name="med2"/>
      <w:bookmarkEnd w:id="10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שלישי: שטחי מרעה לדבורים</w:t>
      </w:r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5"/>
      <w:bookmarkEnd w:id="11"/>
      <w:r>
        <w:rPr>
          <w:lang w:val="he-IL"/>
        </w:rPr>
        <w:pict>
          <v:rect id="_x0000_s1031" style="position:absolute;left:0;text-align:left;margin-left:464.5pt;margin-top:8.05pt;width:75.05pt;height:30.55pt;z-index:251649024" o:allowincell="f" filled="f" stroked="f" strokecolor="lime" strokeweight=".25pt">
            <v:textbox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עיית דבורים ללא אישור מרעה</w:t>
                  </w:r>
                </w:p>
                <w:p w:rsidR="00F420AB" w:rsidRDefault="00F420AB" w:rsidP="003B6B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תשל"א</w:t>
                  </w:r>
                  <w:r w:rsidR="003B6BC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יעמיד אדם ולא יחזיק את מכוורתו בשטח מרעה לדבורים, למעט השטח שאושר לו להקמת מכוורת והחזקתה, אלא אם קיבל מראש אישור בכתב לכך מאת הרשות המבצעת ובהתאם לתנאיו.</w:t>
      </w:r>
    </w:p>
    <w:p w:rsidR="005B399A" w:rsidRPr="00407B5F" w:rsidRDefault="005B399A" w:rsidP="005B399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2" w:name="Rov37"/>
      <w:r w:rsidRPr="00407B5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18.2.1971</w:t>
      </w:r>
    </w:p>
    <w:p w:rsidR="005B399A" w:rsidRPr="00407B5F" w:rsidRDefault="005B399A" w:rsidP="005B399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7B5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תשל"א-1971</w:t>
      </w:r>
    </w:p>
    <w:p w:rsidR="005B399A" w:rsidRPr="00407B5F" w:rsidRDefault="005B399A" w:rsidP="005B399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407B5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תשל"א מס' 2666</w:t>
        </w:r>
      </w:hyperlink>
      <w:r w:rsidRPr="00407B5F">
        <w:rPr>
          <w:rFonts w:cs="FrankRuehl" w:hint="cs"/>
          <w:vanish/>
          <w:szCs w:val="20"/>
          <w:shd w:val="clear" w:color="auto" w:fill="FFFF99"/>
          <w:rtl/>
        </w:rPr>
        <w:t xml:space="preserve"> מיום 18.2.1971 עמ' 574</w:t>
      </w:r>
    </w:p>
    <w:p w:rsidR="005B399A" w:rsidRPr="003243D0" w:rsidRDefault="005B399A" w:rsidP="00407B5F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sz w:val="2"/>
          <w:szCs w:val="2"/>
          <w:rtl/>
        </w:rPr>
      </w:pP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לא יעמיד אדם ולא יחזיק את מכוורתו בשטח מרעה לדבורים, למעט השטח שאושר לו להקמת מכוורת והחזקתה, אלא אם קיבל מראש אישור בכתב לכך מאת </w:t>
      </w:r>
      <w:r w:rsidRPr="00407B5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7B5F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הרשות המבצעת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ובהתאם לתנאיו.</w:t>
      </w:r>
      <w:bookmarkEnd w:id="12"/>
    </w:p>
    <w:p w:rsidR="00F420AB" w:rsidRDefault="00F420AB" w:rsidP="003B6B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6"/>
      <w:bookmarkEnd w:id="13"/>
      <w:r>
        <w:rPr>
          <w:lang w:val="he-IL"/>
        </w:rPr>
        <w:pict>
          <v:rect id="_x0000_s1032" style="position:absolute;left:0;text-align:left;margin-left:464.5pt;margin-top:8.05pt;width:75.05pt;height:30.45pt;z-index:251650048" o:allowincell="f" filled="f" stroked="f" strokecolor="lime" strokeweight=".25pt">
            <v:textbox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לרעיית דבורים</w:t>
                  </w:r>
                </w:p>
                <w:p w:rsidR="00F420AB" w:rsidRDefault="00F420AB" w:rsidP="003B6B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תשל"א</w:t>
                  </w:r>
                  <w:r w:rsidR="003B6BC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הרש</w:t>
      </w:r>
      <w:r>
        <w:rPr>
          <w:rStyle w:val="default"/>
          <w:rFonts w:cs="FrankRuehl" w:hint="cs"/>
          <w:rtl/>
        </w:rPr>
        <w:t xml:space="preserve">ות המבצעת רשאית לתת אישורים בכתב </w:t>
      </w:r>
      <w:r>
        <w:rPr>
          <w:rStyle w:val="default"/>
          <w:rFonts w:cs="FrankRuehl"/>
          <w:rtl/>
        </w:rPr>
        <w:t>לר</w:t>
      </w:r>
      <w:r>
        <w:rPr>
          <w:rStyle w:val="default"/>
          <w:rFonts w:cs="FrankRuehl" w:hint="cs"/>
          <w:rtl/>
        </w:rPr>
        <w:t xml:space="preserve">עיית דבורים (להלן </w:t>
      </w:r>
      <w:r w:rsidR="00407B5F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אישור מרעה), בהם תפורט התקופה ומספר הדבוריות שלגביהן ניתן כל אישור וכן המקום בו רשאים להחזיקן.</w:t>
      </w:r>
    </w:p>
    <w:p w:rsidR="005B399A" w:rsidRPr="00407B5F" w:rsidRDefault="005B399A" w:rsidP="005B399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4" w:name="Rov38"/>
      <w:r w:rsidRPr="00407B5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18.2.1971</w:t>
      </w:r>
    </w:p>
    <w:p w:rsidR="005B399A" w:rsidRPr="00407B5F" w:rsidRDefault="005B399A" w:rsidP="005B399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7B5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תשל"א-1971</w:t>
      </w:r>
    </w:p>
    <w:p w:rsidR="005B399A" w:rsidRPr="00407B5F" w:rsidRDefault="005B399A" w:rsidP="005B399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407B5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תשל"א מס' 2666</w:t>
        </w:r>
      </w:hyperlink>
      <w:r w:rsidRPr="00407B5F">
        <w:rPr>
          <w:rFonts w:cs="FrankRuehl" w:hint="cs"/>
          <w:vanish/>
          <w:szCs w:val="20"/>
          <w:shd w:val="clear" w:color="auto" w:fill="FFFF99"/>
          <w:rtl/>
        </w:rPr>
        <w:t xml:space="preserve"> מיום 18.2.1971 עמ' 574</w:t>
      </w:r>
    </w:p>
    <w:p w:rsidR="005B399A" w:rsidRPr="003243D0" w:rsidRDefault="005B399A" w:rsidP="00407B5F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sz w:val="2"/>
          <w:szCs w:val="2"/>
          <w:rtl/>
        </w:rPr>
      </w:pP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7B5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 רשאי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7B5F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הרשות המבצעת רשאית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לתת אישורים בכתב לרעיית דבורים (להלן </w:t>
      </w:r>
      <w:r w:rsidRPr="00407B5F">
        <w:rPr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אישור מרעה), בהם תפורט התקופה ומספר הדבוריות שלגביהן ניתן כל אישור וכן המקום בו רשאים להחזיקן.</w:t>
      </w:r>
      <w:bookmarkEnd w:id="14"/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7"/>
      <w:bookmarkEnd w:id="15"/>
      <w:r>
        <w:rPr>
          <w:lang w:val="he-IL"/>
        </w:rPr>
        <w:pict>
          <v:rect id="_x0000_s1033" style="position:absolute;left:0;text-align:left;margin-left:464.5pt;margin-top:8.05pt;width:75.05pt;height:20.45pt;z-index:251651072" o:allowincell="f" filled="f" stroked="f" strokecolor="lime" strokeweight=".25pt">
            <v:textbox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לאישור</w:t>
                  </w:r>
                </w:p>
                <w:p w:rsidR="003B6BC4" w:rsidRDefault="003B6BC4" w:rsidP="003B6B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לאישור מרעה תוגש לרשות המבצעת בטופס שהיא קבעה.</w:t>
      </w:r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מגיש בקשה לאישור מרעה ימל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את כל הפרטים שבטופס באופן מדוייק ומפורט ויתן ת</w:t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>בות מלאות ונכונות לשאלות שבו.</w:t>
      </w:r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4" style="position:absolute;left:0;text-align:left;margin-left:464.5pt;margin-top:8.05pt;width:75.05pt;height:10.6pt;z-index:251652096" o:allowincell="f" filled="f" stroked="f" strokecolor="lime" strokeweight=".25pt">
            <v:textbox inset="0,0,0,0">
              <w:txbxContent>
                <w:p w:rsidR="00F420AB" w:rsidRDefault="00F420AB" w:rsidP="003B6B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תשל"א</w:t>
                  </w:r>
                  <w:r w:rsidR="003B6BC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1971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רשות המבצעת רשאית לדרוש ממגיש הבקשה לאישור מרעה למסור לה פרטים נוספים הדרושים לדעתה בקשר לבקשה האמורה.</w:t>
      </w:r>
    </w:p>
    <w:p w:rsidR="005B399A" w:rsidRPr="00407B5F" w:rsidRDefault="005B399A" w:rsidP="005B399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6" w:name="Rov39"/>
      <w:r w:rsidRPr="00407B5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18.2.1971</w:t>
      </w:r>
    </w:p>
    <w:p w:rsidR="005B399A" w:rsidRPr="00407B5F" w:rsidRDefault="005B399A" w:rsidP="005B399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7B5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תשל"א-1971</w:t>
      </w:r>
    </w:p>
    <w:p w:rsidR="005B399A" w:rsidRPr="00407B5F" w:rsidRDefault="005B399A" w:rsidP="005B399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407B5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תשל"א מס' 2666</w:t>
        </w:r>
      </w:hyperlink>
      <w:r w:rsidRPr="00407B5F">
        <w:rPr>
          <w:rFonts w:cs="FrankRuehl" w:hint="cs"/>
          <w:vanish/>
          <w:szCs w:val="20"/>
          <w:shd w:val="clear" w:color="auto" w:fill="FFFF99"/>
          <w:rtl/>
        </w:rPr>
        <w:t xml:space="preserve"> מיום 18.2.1971 עמ' 574</w:t>
      </w:r>
    </w:p>
    <w:p w:rsidR="005B399A" w:rsidRPr="00407B5F" w:rsidRDefault="005B399A" w:rsidP="005B399A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>7.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בקשה לאישור מרעה תוגש </w:t>
      </w:r>
      <w:r w:rsidRPr="00407B5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למנהל בטופס שהוא קבע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7B5F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לרשות המבצעת בטופס שהיא קבעה</w:t>
      </w:r>
      <w:r w:rsidR="00407B5F"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5B399A" w:rsidRPr="00407B5F" w:rsidRDefault="005B399A" w:rsidP="005B399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המגיש בקשה לאישור מרעה ימלא את כל הפרטים שבטופס באופן מדוייק ומפורט ויתן ת</w:t>
      </w:r>
      <w:r w:rsidR="00407B5F"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>שובות מלאות ונכונות לשאלות שבו.</w:t>
      </w:r>
    </w:p>
    <w:p w:rsidR="005B399A" w:rsidRPr="003243D0" w:rsidRDefault="005B399A" w:rsidP="00407B5F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(ג)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7B5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 רשאי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7B5F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הרשות המבצעת רשאית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לדרוש ממגיש בקשה לאישור מרעה למסור </w:t>
      </w:r>
      <w:r w:rsidRPr="00407B5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לו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7B5F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לה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פרטים נוספים הדרושים </w:t>
      </w:r>
      <w:r w:rsidRPr="00407B5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לדעתו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  <w:r w:rsidRPr="00407B5F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לדעתה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בקש לבקשה האמורה.</w:t>
      </w:r>
      <w:bookmarkEnd w:id="16"/>
    </w:p>
    <w:p w:rsidR="00F420AB" w:rsidRDefault="00F420AB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7" w:name="med3"/>
      <w:bookmarkEnd w:id="17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רביעי: מכוורת רביה ומכוורת טיפוח</w:t>
      </w:r>
    </w:p>
    <w:p w:rsidR="00F420AB" w:rsidRDefault="00F420AB" w:rsidP="003B6B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8" w:name="Seif8"/>
      <w:bookmarkEnd w:id="18"/>
      <w:r>
        <w:rPr>
          <w:lang w:val="he-IL"/>
        </w:rPr>
        <w:pict>
          <v:rect id="_x0000_s1035" style="position:absolute;left:0;text-align:left;margin-left:464.5pt;margin-top:8.05pt;width:75.05pt;height:28.6pt;z-index:251653120" o:allowincell="f" filled="f" stroked="f" strokecolor="lime" strokeweight=".25pt">
            <v:textbox style="mso-next-textbox:#_x0000_s1035"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 למכוורת רביה ומכוורת טיפוח</w:t>
                  </w:r>
                </w:p>
                <w:p w:rsidR="00F420AB" w:rsidRDefault="00F420AB" w:rsidP="003B6B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תשל"א</w:t>
                  </w:r>
                  <w:r w:rsidR="003B6BC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שות המבצעת, בהסכמת המנהל, רשאית לתת רשיונות בכתב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הקמה או להחזקה של מכ</w:t>
      </w:r>
      <w:r>
        <w:rPr>
          <w:rStyle w:val="default"/>
          <w:rFonts w:cs="FrankRuehl"/>
          <w:rtl/>
        </w:rPr>
        <w:t>וו</w:t>
      </w:r>
      <w:r>
        <w:rPr>
          <w:rStyle w:val="default"/>
          <w:rFonts w:cs="FrankRuehl" w:hint="cs"/>
          <w:rtl/>
        </w:rPr>
        <w:t>רת רביה או מכוורת טיפוח.</w:t>
      </w:r>
    </w:p>
    <w:p w:rsidR="005B399A" w:rsidRPr="00407B5F" w:rsidRDefault="005B399A" w:rsidP="005B399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9" w:name="Rov40"/>
      <w:r w:rsidRPr="00407B5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18.2.1971</w:t>
      </w:r>
    </w:p>
    <w:p w:rsidR="005B399A" w:rsidRPr="00407B5F" w:rsidRDefault="005B399A" w:rsidP="005B399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7B5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תשל"א-1971</w:t>
      </w:r>
    </w:p>
    <w:p w:rsidR="005B399A" w:rsidRPr="00407B5F" w:rsidRDefault="005B399A" w:rsidP="005B399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407B5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תשל"א מס' 2666</w:t>
        </w:r>
      </w:hyperlink>
      <w:r w:rsidRPr="00407B5F">
        <w:rPr>
          <w:rFonts w:cs="FrankRuehl" w:hint="cs"/>
          <w:vanish/>
          <w:szCs w:val="20"/>
          <w:shd w:val="clear" w:color="auto" w:fill="FFFF99"/>
          <w:rtl/>
        </w:rPr>
        <w:t xml:space="preserve"> מיום 18.2.1971 עמ' 574</w:t>
      </w:r>
    </w:p>
    <w:p w:rsidR="00F420AB" w:rsidRPr="003243D0" w:rsidRDefault="005B399A" w:rsidP="00407B5F">
      <w:pPr>
        <w:pStyle w:val="P00"/>
        <w:tabs>
          <w:tab w:val="clear" w:pos="6259"/>
        </w:tabs>
        <w:ind w:left="0" w:right="1138"/>
        <w:rPr>
          <w:rFonts w:cs="FrankRuehl"/>
          <w:sz w:val="2"/>
          <w:szCs w:val="2"/>
          <w:rtl/>
        </w:rPr>
      </w:pP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>8.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7B5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 רשאי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7B5F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הרשות המבצעת, בהסכמת המנהל, רשאית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לתת רשיונות בכתב </w:t>
      </w:r>
      <w:r w:rsidRPr="00407B5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להחזקת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7B5F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להקמה או להחזקה של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מכוורת רביה או מכוורת טיפוח.</w:t>
      </w:r>
      <w:bookmarkEnd w:id="19"/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0" w:name="Seif9"/>
      <w:bookmarkEnd w:id="20"/>
      <w:r>
        <w:rPr>
          <w:lang w:val="he-IL"/>
        </w:rPr>
        <w:pict>
          <v:rect id="_x0000_s1036" style="position:absolute;left:0;text-align:left;margin-left:464.5pt;margin-top:8.05pt;width:75.05pt;height:35.85pt;z-index:251654144" o:allowincell="f" filled="f" stroked="f" strokecolor="lime" strokeweight=".25pt">
            <v:textbox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הקמת מכוורת רביה ומכוורת טיפוח והחזקתן</w:t>
                  </w:r>
                </w:p>
                <w:p w:rsidR="00F420AB" w:rsidRDefault="00F420AB" w:rsidP="003B6B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תשל"א</w:t>
                  </w:r>
                  <w:r w:rsidR="003B6BC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יקים אדם ולא יחזיק מכוורת טיפוח או מכוורת רביה אלא אם קיבל רשיון לכך מאת הרשות המבצעת ובהתאם לתנאיו.</w:t>
      </w:r>
    </w:p>
    <w:p w:rsidR="005B399A" w:rsidRPr="00407B5F" w:rsidRDefault="005B399A" w:rsidP="005B399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1" w:name="Rov41"/>
      <w:r w:rsidRPr="00407B5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18.2.1971</w:t>
      </w:r>
    </w:p>
    <w:p w:rsidR="005B399A" w:rsidRPr="00407B5F" w:rsidRDefault="005B399A" w:rsidP="005B399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7B5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תשל"א-1971</w:t>
      </w:r>
    </w:p>
    <w:p w:rsidR="005B399A" w:rsidRPr="00407B5F" w:rsidRDefault="005B399A" w:rsidP="005B399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407B5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תשל"א מס' 2666</w:t>
        </w:r>
      </w:hyperlink>
      <w:r w:rsidRPr="00407B5F">
        <w:rPr>
          <w:rFonts w:cs="FrankRuehl" w:hint="cs"/>
          <w:vanish/>
          <w:szCs w:val="20"/>
          <w:shd w:val="clear" w:color="auto" w:fill="FFFF99"/>
          <w:rtl/>
        </w:rPr>
        <w:t xml:space="preserve"> מיום 18.2.1971 עמ' 574</w:t>
      </w:r>
    </w:p>
    <w:p w:rsidR="00F420AB" w:rsidRPr="003243D0" w:rsidRDefault="005B399A" w:rsidP="002C5119">
      <w:pPr>
        <w:pStyle w:val="P00"/>
        <w:tabs>
          <w:tab w:val="clear" w:pos="6259"/>
        </w:tabs>
        <w:ind w:left="0" w:right="1138"/>
        <w:rPr>
          <w:rStyle w:val="default"/>
          <w:rFonts w:cs="FrankRuehl"/>
          <w:sz w:val="2"/>
          <w:szCs w:val="2"/>
          <w:rtl/>
        </w:rPr>
      </w:pP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>9.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לא יקים אדם ולא יחזיק מכוורת טיפוח או מכוורת רביה אלא אם קיבל רשיון לכך מאת </w:t>
      </w:r>
      <w:r w:rsidRPr="00407B5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07B5F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הרשות המבצעת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ובהתאם לתנאיו.</w:t>
      </w:r>
      <w:bookmarkEnd w:id="21"/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0"/>
      <w:bookmarkEnd w:id="22"/>
      <w:r>
        <w:rPr>
          <w:lang w:val="he-IL"/>
        </w:rPr>
        <w:pict>
          <v:rect id="_x0000_s1037" style="position:absolute;left:0;text-align:left;margin-left:464.5pt;margin-top:8.05pt;width:75.05pt;height:21.4pt;z-index:251655168" o:allowincell="f" filled="f" stroked="f" strokecolor="lime" strokeweight=".25pt">
            <v:textbox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אים לקבלת רשיון למכוורת רביה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לרשיון למכוורת רביה תוגש על ידי מי שנתקיימו לגביו התנאים הבאים:</w:t>
      </w:r>
    </w:p>
    <w:p w:rsidR="00F420AB" w:rsidRDefault="00F420AB" w:rsidP="00407B5F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מכוורתו דבורים </w:t>
      </w:r>
      <w:r>
        <w:rPr>
          <w:rStyle w:val="default"/>
          <w:rFonts w:cs="FrankRuehl"/>
          <w:rtl/>
        </w:rPr>
        <w:t>מג</w:t>
      </w:r>
      <w:r>
        <w:rPr>
          <w:rStyle w:val="default"/>
          <w:rFonts w:cs="FrankRuehl" w:hint="cs"/>
          <w:rtl/>
        </w:rPr>
        <w:t>זע איטלקי או מגזע אחר שאישר המנהל, מחומר רבי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מבורר ובדוק;</w:t>
      </w:r>
    </w:p>
    <w:p w:rsidR="00F420AB" w:rsidRDefault="00F420AB" w:rsidP="00407B5F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כוורתו אינה נגועה במחלות, והיא מוחזקת בתנאים סניטריים להנחת דעתו של המנהל.</w:t>
      </w:r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11"/>
      <w:bookmarkEnd w:id="23"/>
      <w:r>
        <w:rPr>
          <w:lang w:val="he-IL"/>
        </w:rPr>
        <w:pict>
          <v:rect id="_x0000_s1038" style="position:absolute;left:0;text-align:left;margin-left:464.5pt;margin-top:8.05pt;width:75.05pt;height:20.7pt;z-index:251656192" o:allowincell="f" filled="f" stroked="f" strokecolor="lime" strokeweight=".25pt">
            <v:textbox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ם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לקבלת רשיון למכוורת טיפוח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לרשיון למכוורת טיפוח תוגש על ידי מי שנתקיימו לגביו התנאים הבאים:</w:t>
      </w:r>
    </w:p>
    <w:p w:rsidR="00F420AB" w:rsidRDefault="00F420AB" w:rsidP="00407B5F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מכוורתו דבורים מגזע איטלקי או מגזע </w:t>
      </w:r>
      <w:r>
        <w:rPr>
          <w:rStyle w:val="default"/>
          <w:rFonts w:cs="FrankRuehl"/>
          <w:rtl/>
        </w:rPr>
        <w:t>אח</w:t>
      </w:r>
      <w:r>
        <w:rPr>
          <w:rStyle w:val="default"/>
          <w:rFonts w:cs="FrankRuehl" w:hint="cs"/>
          <w:rtl/>
        </w:rPr>
        <w:t>ר שאישר המ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הל, מחומר רביה מבורר ובדוק;</w:t>
      </w:r>
    </w:p>
    <w:p w:rsidR="00F420AB" w:rsidRDefault="00F420AB" w:rsidP="00407B5F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כוורתו נקיה ממחלות והיא מוחזקת בתנאים סניטריים להנחת דעתו של המנהל;</w:t>
      </w:r>
    </w:p>
    <w:p w:rsidR="00F420AB" w:rsidRDefault="00F420AB" w:rsidP="00407B5F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מכוורתו נערכת עבודת ברירה והשבחה ומתנהל לגביה ספר יוחסין.</w:t>
      </w:r>
    </w:p>
    <w:p w:rsidR="00F420AB" w:rsidRDefault="00F420AB" w:rsidP="003B6B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12"/>
      <w:bookmarkEnd w:id="24"/>
      <w:r>
        <w:rPr>
          <w:lang w:val="he-IL"/>
        </w:rPr>
        <w:pict>
          <v:rect id="_x0000_s1039" style="position:absolute;left:0;text-align:left;margin-left:464.5pt;margin-top:8.05pt;width:75.05pt;height:14.55pt;z-index:251657216" o:allowincell="f" filled="f" stroked="f" strokecolor="lime" strokeweight=".25pt">
            <v:textbox style="mso-next-textbox:#_x0000_s1039"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מחזיק ברשיון למכוורת רביה או למכוורת טיפוח ינהל יומן (להלן </w:t>
      </w:r>
      <w:r w:rsidR="003B6BC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היומן) ו</w:t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א יגיש את היומן לבדיקה לידי המנהל או מי שהמנהל הסמיכו לכך, בכל עת שהמנהל יורה.</w:t>
      </w:r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חייב לנהל יומן, ינהל בו רישום רצוף של סוג חומר הרביה שנמכר, כמותו, שם הקונה ותאריך המכירה.</w:t>
      </w:r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13"/>
      <w:bookmarkEnd w:id="25"/>
      <w:r>
        <w:rPr>
          <w:lang w:val="he-IL"/>
        </w:rPr>
        <w:pict>
          <v:rect id="_x0000_s1040" style="position:absolute;left:0;text-align:left;margin-left:464.5pt;margin-top:8.05pt;width:75.05pt;height:19.25pt;z-index:251658240" o:allowincell="f" filled="f" stroked="f" strokecolor="lime" strokeweight=".25pt">
            <v:textbox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מכירת חומר רביה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ימכור אדם ולא יעביר לאחר בכל דרך שהיא חומר רביה, אלא אם חומר הרביה יוצ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במכוורת רביה או במכוורת טיפוח.</w:t>
      </w:r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6" w:name="Seif14"/>
      <w:bookmarkEnd w:id="26"/>
      <w:r>
        <w:rPr>
          <w:lang w:val="he-IL"/>
        </w:rPr>
        <w:pict>
          <v:rect id="_x0000_s1041" style="position:absolute;left:0;text-align:left;margin-left:464.5pt;margin-top:8.05pt;width:75.05pt;height:19.9pt;z-index:251659264" o:allowincell="f" filled="f" stroked="f" strokecolor="lime" strokeweight=".25pt">
            <v:textbox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רכישת חומר רביה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ירכוש אדם את הבעלות בחומר רביה ולא ירכוש בכל דרך את החזקה בו אלא אם חומר הרביה יוצר במכוורת רביה או במכוורת טיפוח.</w:t>
      </w:r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7" w:name="Seif15"/>
      <w:bookmarkEnd w:id="27"/>
      <w:r>
        <w:rPr>
          <w:lang w:val="he-IL"/>
        </w:rPr>
        <w:pict>
          <v:rect id="_x0000_s1042" style="position:absolute;left:0;text-align:left;margin-left:464.5pt;margin-top:8.05pt;width:75.05pt;height:16pt;z-index:251660288" o:allowincell="f" filled="f" stroked="f" strokecolor="lime" strokeweight=".25pt">
            <v:textbox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ישה של מכוורת רביה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מר רביה למכוורת רביה יירכ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 ממכוורת טיפוח בלבד.</w:t>
      </w:r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8" w:name="Seif16"/>
      <w:bookmarkEnd w:id="28"/>
      <w:r>
        <w:rPr>
          <w:lang w:val="he-IL"/>
        </w:rPr>
        <w:pict>
          <v:rect id="_x0000_s1043" style="position:absolute;left:0;text-align:left;margin-left:464.5pt;margin-top:8.05pt;width:75.05pt;height:17.5pt;z-index:251661312" o:allowincell="f" filled="f" stroked="f" strokecolor="lime" strokeweight=".25pt">
            <v:textbox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חומר רביה במכוורת טיפוח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במ</w:t>
      </w:r>
      <w:r>
        <w:rPr>
          <w:rStyle w:val="default"/>
          <w:rFonts w:cs="FrankRuehl" w:hint="cs"/>
          <w:rtl/>
        </w:rPr>
        <w:t>כוורת טיפוח יוחזק חומר רביה שמקורו בייצ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 xml:space="preserve"> עצמי בלבד.</w:t>
      </w:r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9" w:name="Seif17"/>
      <w:bookmarkEnd w:id="29"/>
      <w:r>
        <w:rPr>
          <w:lang w:val="he-IL"/>
        </w:rPr>
        <w:pict>
          <v:rect id="_x0000_s1044" style="position:absolute;left:0;text-align:left;margin-left:464.5pt;margin-top:8.05pt;width:75.05pt;height:20.15pt;z-index:251662336" o:allowincell="f" filled="f" stroked="f" strokecolor="lime" strokeweight=".25pt">
            <v:textbox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ישת חומר רביה בדרך אחרת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האמור בתקנות 13 עד 16 רשאי המנהל לאשר בכתב רכישה של חומר רביה, מכירתו והעברתו לאחרים בדרך אחרת.</w:t>
      </w:r>
    </w:p>
    <w:p w:rsidR="00F420AB" w:rsidRDefault="00F420AB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30" w:name="med4"/>
      <w:bookmarkEnd w:id="30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חמישי: שונות</w:t>
      </w:r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1" w:name="Seif18"/>
      <w:bookmarkEnd w:id="31"/>
      <w:r>
        <w:rPr>
          <w:lang w:val="he-IL"/>
        </w:rPr>
        <w:pict>
          <v:rect id="_x0000_s1045" style="position:absolute;left:0;text-align:left;margin-left:464.5pt;margin-top:8.05pt;width:75.05pt;height:10.85pt;z-index:251663360" o:allowincell="f" filled="f" stroked="f" strokecolor="lime" strokeweight=".25pt">
            <v:textbox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מון הדבוריות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אד</w:t>
      </w:r>
      <w:r>
        <w:rPr>
          <w:rStyle w:val="default"/>
          <w:rFonts w:cs="FrankRuehl" w:hint="cs"/>
          <w:rtl/>
        </w:rPr>
        <w:t>ם שקיבל היתר בכתב להקמת מכוורת והחזקתה יסמן את כל הדבוריות שבמכוורת במספר הרישום המופ</w:t>
      </w:r>
      <w:r>
        <w:rPr>
          <w:rStyle w:val="default"/>
          <w:rFonts w:cs="FrankRuehl"/>
          <w:rtl/>
        </w:rPr>
        <w:t>יע</w:t>
      </w:r>
      <w:r>
        <w:rPr>
          <w:rStyle w:val="default"/>
          <w:rFonts w:cs="FrankRuehl" w:hint="cs"/>
          <w:rtl/>
        </w:rPr>
        <w:t xml:space="preserve"> בהיתר, בספרות גדולות וברורות הניתנות לקריאה בקלות.</w:t>
      </w:r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2" w:name="Seif19"/>
      <w:bookmarkEnd w:id="32"/>
      <w:r>
        <w:rPr>
          <w:lang w:val="he-IL"/>
        </w:rPr>
        <w:pict>
          <v:rect id="_x0000_s1046" style="position:absolute;left:0;text-align:left;margin-left:464.5pt;margin-top:8.05pt;width:75.05pt;height:17.1pt;z-index:251664384" o:allowincell="f" filled="f" stroked="f" strokecolor="lime" strokeweight=".25pt">
            <v:textbox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בלה לרכישת דבורים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ירכוש אדם דבורים, ולא יעביר דבורים לאחר בכל דרך שהיא, אלא אם הן מגזע איטלקי או מגזע אחר שאישר המנהל.</w:t>
      </w:r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3" w:name="Seif20"/>
      <w:bookmarkEnd w:id="33"/>
      <w:r>
        <w:rPr>
          <w:lang w:val="he-IL"/>
        </w:rPr>
        <w:pict>
          <v:rect id="_x0000_s1047" style="position:absolute;left:0;text-align:left;margin-left:464.5pt;margin-top:8.05pt;width:75.05pt;height:23.4pt;z-index:251665408" o:allowincell="f" filled="f" stroked="f" strokecolor="lime" strokeweight=".25pt">
            <v:textbox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יבוא</w:t>
                  </w:r>
                </w:p>
                <w:p w:rsidR="00F420AB" w:rsidRDefault="00F420AB" w:rsidP="003B6B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תשל"א</w:t>
                  </w:r>
                  <w:r w:rsidR="003B6BC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ייבא אדם דבורים לצרכי רביה וחומר רביה אלא בהמלצת המנהל.</w:t>
      </w:r>
    </w:p>
    <w:p w:rsidR="00F420AB" w:rsidRPr="00407B5F" w:rsidRDefault="00F420AB" w:rsidP="00F420A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4" w:name="Rov44"/>
      <w:r w:rsidRPr="00407B5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18.2.1971</w:t>
      </w:r>
    </w:p>
    <w:p w:rsidR="00F420AB" w:rsidRPr="00407B5F" w:rsidRDefault="00F420AB" w:rsidP="00F420A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7B5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תשל"א-1971</w:t>
      </w:r>
    </w:p>
    <w:p w:rsidR="00F420AB" w:rsidRPr="00407B5F" w:rsidRDefault="00F420AB" w:rsidP="00F420A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407B5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תשל"א מס' 2666</w:t>
        </w:r>
      </w:hyperlink>
      <w:r w:rsidRPr="00407B5F">
        <w:rPr>
          <w:rFonts w:cs="FrankRuehl" w:hint="cs"/>
          <w:vanish/>
          <w:szCs w:val="20"/>
          <w:shd w:val="clear" w:color="auto" w:fill="FFFF99"/>
          <w:rtl/>
        </w:rPr>
        <w:t xml:space="preserve"> מיום 18.2.1971 עמ' 574</w:t>
      </w:r>
    </w:p>
    <w:p w:rsidR="00F420AB" w:rsidRPr="00AE3E6E" w:rsidRDefault="00F420AB" w:rsidP="00407B5F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sz w:val="2"/>
          <w:szCs w:val="2"/>
          <w:rtl/>
        </w:rPr>
      </w:pP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>20.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לא ייבא אדם דבורים לצרכי רביה וחומר רביב אלא </w:t>
      </w:r>
      <w:r w:rsidRPr="00407B5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על פי רשיון מאת המנהל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  <w:r w:rsidRPr="00407B5F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בהמלצת המנהל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34"/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5" w:name="Seif21"/>
      <w:bookmarkEnd w:id="35"/>
      <w:r>
        <w:rPr>
          <w:lang w:val="he-IL"/>
        </w:rPr>
        <w:pict>
          <v:rect id="_x0000_s1048" style="position:absolute;left:0;text-align:left;margin-left:464.5pt;margin-top:8.05pt;width:75.05pt;height:21.05pt;z-index:251666432" o:allowincell="f" filled="f" stroked="f" strokecolor="lime" strokeweight=".25pt">
            <v:textbox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והתליה</w:t>
                  </w:r>
                </w:p>
                <w:p w:rsidR="00F420AB" w:rsidRDefault="00F420AB" w:rsidP="003B6B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תשל"א</w:t>
                  </w:r>
                  <w:r w:rsidR="003B6BC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או הרשות המבצע</w:t>
      </w:r>
      <w:r>
        <w:rPr>
          <w:rStyle w:val="default"/>
          <w:rFonts w:cs="FrankRuehl"/>
          <w:rtl/>
        </w:rPr>
        <w:t xml:space="preserve">ת, </w:t>
      </w:r>
      <w:r>
        <w:rPr>
          <w:rStyle w:val="default"/>
          <w:rFonts w:cs="FrankRuehl" w:hint="cs"/>
          <w:rtl/>
        </w:rPr>
        <w:t>לפי הענין, רשאים לבטל או להתל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רשיון, היתר או אישור אם נוכחו כי הוראה מהוראות תקנות אלה אינה מתמלאת בהקפדה.</w:t>
      </w:r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שיון, היתר או אישור שהותלו או בוטלו, לא יחודשו אלא לאחר שהוכח למנהל או לרשות המבצעת, לפי הענין, כי כל הוראה בתקנות אלה בוצעה בהקפדה.</w:t>
      </w:r>
    </w:p>
    <w:p w:rsidR="005B399A" w:rsidRPr="00407B5F" w:rsidRDefault="005B399A" w:rsidP="005B399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6" w:name="Rov42"/>
      <w:r w:rsidRPr="00407B5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18.2.1971</w:t>
      </w:r>
    </w:p>
    <w:p w:rsidR="005B399A" w:rsidRPr="00407B5F" w:rsidRDefault="005B399A" w:rsidP="005B399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7B5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תשל"א-1971</w:t>
      </w:r>
    </w:p>
    <w:p w:rsidR="005B399A" w:rsidRPr="00407B5F" w:rsidRDefault="005B399A" w:rsidP="005B399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407B5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תשל"א מס' 2666</w:t>
        </w:r>
      </w:hyperlink>
      <w:r w:rsidRPr="00407B5F">
        <w:rPr>
          <w:rFonts w:cs="FrankRuehl" w:hint="cs"/>
          <w:vanish/>
          <w:szCs w:val="20"/>
          <w:shd w:val="clear" w:color="auto" w:fill="FFFF99"/>
          <w:rtl/>
        </w:rPr>
        <w:t xml:space="preserve"> מיום 18.2.1971 עמ' 574</w:t>
      </w:r>
    </w:p>
    <w:p w:rsidR="005B399A" w:rsidRPr="00407B5F" w:rsidRDefault="005B399A" w:rsidP="005B399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7B5F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21</w:t>
      </w:r>
    </w:p>
    <w:p w:rsidR="005B399A" w:rsidRPr="00407B5F" w:rsidRDefault="005B399A" w:rsidP="003243D0">
      <w:pPr>
        <w:pStyle w:val="P00"/>
        <w:tabs>
          <w:tab w:val="clear" w:pos="6259"/>
        </w:tabs>
        <w:ind w:left="0" w:right="1138"/>
        <w:rPr>
          <w:rFonts w:cs="FrankRuehl" w:hint="cs"/>
          <w:vanish/>
          <w:szCs w:val="20"/>
          <w:shd w:val="clear" w:color="auto" w:fill="FFFF99"/>
          <w:rtl/>
        </w:rPr>
      </w:pPr>
      <w:r w:rsidRPr="00407B5F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5B399A" w:rsidRPr="00407B5F" w:rsidRDefault="005B399A" w:rsidP="005B399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07B5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21.</w:t>
      </w:r>
      <w:r w:rsidRPr="00407B5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407B5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3243D0" w:rsidRPr="00407B5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המנהל רשאי לבטל או להתלות רשיון, היתר או אישור אם נוכח כי הוראה מהוראו</w:t>
      </w:r>
      <w:r w:rsidR="00407B5F" w:rsidRPr="00407B5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ת תקנות אלה אינה מתמלאת בקפידה.</w:t>
      </w:r>
    </w:p>
    <w:p w:rsidR="005B399A" w:rsidRPr="003243D0" w:rsidRDefault="003243D0" w:rsidP="00407B5F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07B5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407B5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תקפו של רשיון, היתר או אישור שהותלה לא יחודש אלא לאחר שהוכח למנהל כי כל הוראה בתקנות אלה בוצעה בהקפדה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36"/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7" w:name="Seif22"/>
      <w:bookmarkEnd w:id="37"/>
      <w:r>
        <w:rPr>
          <w:lang w:val="he-IL"/>
        </w:rPr>
        <w:pict>
          <v:rect id="_x0000_s1049" style="position:absolute;left:0;text-align:left;margin-left:464.5pt;margin-top:8.05pt;width:75.05pt;height:13pt;z-index:251667456" o:allowincell="f" filled="f" stroked="f" strokecolor="lime" strokeweight=".25pt">
            <v:textbox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העברת 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יון, היתר ואישור לפי תקנות אלה הוא אישי ואינו ניתן להעברה.</w:t>
      </w:r>
    </w:p>
    <w:p w:rsidR="00F420AB" w:rsidRDefault="00F420AB" w:rsidP="003B6B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8" w:name="Seif23"/>
      <w:bookmarkEnd w:id="38"/>
      <w:r>
        <w:rPr>
          <w:lang w:val="he-IL"/>
        </w:rPr>
        <w:pict>
          <v:rect id="_x0000_s1050" style="position:absolute;left:0;text-align:left;margin-left:464.5pt;margin-top:8.05pt;width:75.05pt;height:26.3pt;z-index:251668480" o:allowincell="f" filled="f" stroked="f" strokecolor="lime" strokeweight=".25pt">
            <v:textbox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זקת מכוורת שנתפסה</w:t>
                  </w:r>
                </w:p>
                <w:p w:rsidR="00F420AB" w:rsidRDefault="00F420AB" w:rsidP="003B6B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תשל"א</w:t>
                  </w:r>
                  <w:r w:rsidR="003B6BC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מכ</w:t>
      </w:r>
      <w:r>
        <w:rPr>
          <w:rStyle w:val="default"/>
          <w:rFonts w:cs="FrankRuehl" w:hint="cs"/>
          <w:rtl/>
        </w:rPr>
        <w:t>וורת או חומר רביה שנעברה בהם עבירה על הוראה מהוראות תקנות אלה, רשאי המפקח להורות על תפיסתם, והם יוחזקו ויטופל בהם כפי שיורו הרשות המבצעת או המנהל</w:t>
      </w:r>
      <w:r w:rsidR="003B6BC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 המקרה עד אשר יורה בית המשפט מה יי</w:t>
      </w:r>
      <w:r>
        <w:rPr>
          <w:rStyle w:val="default"/>
          <w:rFonts w:cs="FrankRuehl"/>
          <w:rtl/>
        </w:rPr>
        <w:t>עש</w:t>
      </w:r>
      <w:r>
        <w:rPr>
          <w:rStyle w:val="default"/>
          <w:rFonts w:cs="FrankRuehl" w:hint="cs"/>
          <w:rtl/>
        </w:rPr>
        <w:t>ה בהם.</w:t>
      </w:r>
    </w:p>
    <w:p w:rsidR="003243D0" w:rsidRPr="00407B5F" w:rsidRDefault="003243D0" w:rsidP="003243D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9" w:name="Rov43"/>
      <w:r w:rsidRPr="00407B5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18.2.1971</w:t>
      </w:r>
    </w:p>
    <w:p w:rsidR="003243D0" w:rsidRPr="00407B5F" w:rsidRDefault="003243D0" w:rsidP="003243D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07B5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תשל"א-1971</w:t>
      </w:r>
    </w:p>
    <w:p w:rsidR="003243D0" w:rsidRPr="00407B5F" w:rsidRDefault="003243D0" w:rsidP="003243D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407B5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תשל"א מס' 2666</w:t>
        </w:r>
      </w:hyperlink>
      <w:r w:rsidRPr="00407B5F">
        <w:rPr>
          <w:rFonts w:cs="FrankRuehl" w:hint="cs"/>
          <w:vanish/>
          <w:szCs w:val="20"/>
          <w:shd w:val="clear" w:color="auto" w:fill="FFFF99"/>
          <w:rtl/>
        </w:rPr>
        <w:t xml:space="preserve"> מיום 18.2.1971 עמ' 574</w:t>
      </w:r>
    </w:p>
    <w:p w:rsidR="003243D0" w:rsidRPr="003243D0" w:rsidRDefault="003243D0" w:rsidP="00407B5F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sz w:val="2"/>
          <w:szCs w:val="2"/>
          <w:rtl/>
        </w:rPr>
      </w:pP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>23.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מכוורת או חומר רביה שנעברה בהם עבירה על הוראה מהוראות תקנות אלה, רשאי המפקח להורות על תפיסתם, והם יוחזקו ויטופל בהם כפי </w:t>
      </w:r>
      <w:r w:rsidRPr="00407B5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שיורה המנהל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  <w:r w:rsidRPr="00407B5F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שיורו הרשות המבצעת או המנהל, לפי המקרה</w:t>
      </w:r>
      <w:r w:rsidRPr="00407B5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עד אשר יורה בית המשפט מה ייעשה בהם.</w:t>
      </w:r>
      <w:bookmarkEnd w:id="39"/>
    </w:p>
    <w:p w:rsidR="00F420AB" w:rsidRDefault="00F420AB" w:rsidP="003B6B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0" w:name="Seif24"/>
      <w:bookmarkEnd w:id="40"/>
      <w:r>
        <w:rPr>
          <w:lang w:val="he-IL"/>
        </w:rPr>
        <w:pict>
          <v:rect id="_x0000_s1051" style="position:absolute;left:0;text-align:left;margin-left:464.5pt;margin-top:8.05pt;width:75.05pt;height:15.15pt;z-index:251669504" o:allowincell="f" filled="f" stroked="f" strokecolor="lime" strokeweight=".25pt">
            <v:textbox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להשבחת ייצור חקלאי (בעלי חיים) (דבורים), תשי"ד</w:t>
      </w:r>
      <w:r w:rsidR="003B6BC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1954 </w:t>
      </w:r>
      <w:r w:rsidR="00407B5F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F420AB" w:rsidRDefault="00F420AB" w:rsidP="003B6B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1" w:name="Seif25"/>
      <w:bookmarkEnd w:id="41"/>
      <w:r>
        <w:rPr>
          <w:lang w:val="he-IL"/>
        </w:rPr>
        <w:pict>
          <v:rect id="_x0000_s1052" style="position:absolute;left:0;text-align:left;margin-left:464.5pt;margin-top:8.05pt;width:75.05pt;height:12.05pt;z-index:251670528" o:allowincell="f" filled="f" stroked="f" strokecolor="lime" strokeweight=".25pt">
            <v:textbox inset="0,0,0,0">
              <w:txbxContent>
                <w:p w:rsidR="00F420AB" w:rsidRDefault="00F420A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להשבחת ייצור חקלאי (בעלי חיים) (דבורים), תשכ"ח</w:t>
      </w:r>
      <w:r w:rsidR="003B6BC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1968".</w:t>
      </w:r>
    </w:p>
    <w:p w:rsidR="00F420AB" w:rsidRDefault="00F420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B6BC4" w:rsidRDefault="003B6B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420AB" w:rsidRDefault="00F420AB" w:rsidP="00407B5F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כ' </w:t>
      </w:r>
      <w:r>
        <w:rPr>
          <w:rFonts w:cs="FrankRuehl" w:hint="cs"/>
          <w:sz w:val="26"/>
          <w:rtl/>
        </w:rPr>
        <w:t>בניסן תשכ"ח (18 באפריל 1968)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ג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תי</w:t>
      </w:r>
    </w:p>
    <w:p w:rsidR="00F420AB" w:rsidRDefault="00F420AB" w:rsidP="00407B5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:rsidR="003B6BC4" w:rsidRPr="003B6BC4" w:rsidRDefault="003B6BC4" w:rsidP="003B6B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B6BC4" w:rsidRPr="003B6BC4" w:rsidRDefault="003B6BC4" w:rsidP="003B6BC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420AB" w:rsidRPr="003B6BC4" w:rsidRDefault="00F420AB" w:rsidP="003B6B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2" w:name="LawPartEnd"/>
    </w:p>
    <w:bookmarkEnd w:id="42"/>
    <w:p w:rsidR="00E839DF" w:rsidRDefault="00E839DF" w:rsidP="003B6BC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326B2" w:rsidRDefault="008326B2" w:rsidP="008326B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8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F420AB" w:rsidRPr="008326B2" w:rsidRDefault="00F420AB" w:rsidP="008326B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420AB" w:rsidRPr="008326B2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433D" w:rsidRDefault="0027433D">
      <w:r>
        <w:separator/>
      </w:r>
    </w:p>
  </w:endnote>
  <w:endnote w:type="continuationSeparator" w:id="0">
    <w:p w:rsidR="0027433D" w:rsidRDefault="00274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20AB" w:rsidRDefault="00F420A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420AB" w:rsidRDefault="00F420A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20AB" w:rsidRDefault="00F420A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326B2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Z:\00000000000000000000000=2014------------------------\05-May\2014-05-28\LawsForHofit\02\121_002.doc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20AB" w:rsidRDefault="00F420A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07B5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420AB" w:rsidRDefault="00F420A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20AB" w:rsidRDefault="00F420A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326B2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Z:\00000000000000000000000=2014------------------------\05-May\2014-05-28\LawsForHofit\02\121_002.doc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433D" w:rsidRDefault="0027433D" w:rsidP="003B6BC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7433D" w:rsidRDefault="0027433D">
      <w:r>
        <w:continuationSeparator/>
      </w:r>
    </w:p>
  </w:footnote>
  <w:footnote w:id="1">
    <w:p w:rsidR="003B6BC4" w:rsidRDefault="003B6BC4" w:rsidP="003B6B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3B6BC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854659">
          <w:rPr>
            <w:rStyle w:val="Hyperlink"/>
            <w:rFonts w:cs="FrankRuehl" w:hint="cs"/>
            <w:rtl/>
          </w:rPr>
          <w:t>ק"ת תשכ"ח מס' 2228</w:t>
        </w:r>
      </w:hyperlink>
      <w:r>
        <w:rPr>
          <w:rFonts w:cs="FrankRuehl" w:hint="cs"/>
          <w:rtl/>
        </w:rPr>
        <w:t xml:space="preserve"> מיום 16.5.1968 עמ' 1527.</w:t>
      </w:r>
    </w:p>
    <w:p w:rsidR="003B6BC4" w:rsidRPr="003B6BC4" w:rsidRDefault="003B6BC4" w:rsidP="003B6B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854659">
          <w:rPr>
            <w:rStyle w:val="Hyperlink"/>
            <w:rFonts w:cs="FrankRuehl" w:hint="cs"/>
            <w:rtl/>
          </w:rPr>
          <w:t>ק"ת ת</w:t>
        </w:r>
        <w:r w:rsidRPr="00854659">
          <w:rPr>
            <w:rStyle w:val="Hyperlink"/>
            <w:rFonts w:cs="FrankRuehl" w:hint="cs"/>
            <w:rtl/>
          </w:rPr>
          <w:t>של"</w:t>
        </w:r>
        <w:r w:rsidRPr="00854659">
          <w:rPr>
            <w:rStyle w:val="Hyperlink"/>
            <w:rFonts w:cs="FrankRuehl" w:hint="cs"/>
            <w:rtl/>
          </w:rPr>
          <w:t>א מס' 2666</w:t>
        </w:r>
      </w:hyperlink>
      <w:r>
        <w:rPr>
          <w:rFonts w:cs="FrankRuehl" w:hint="cs"/>
          <w:rtl/>
        </w:rPr>
        <w:t xml:space="preserve"> מיום 18.2.1971 עמ' 574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תשל"א-1971.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20AB" w:rsidRDefault="00F420A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להשבחת ייצור חקלאי (בעלי חיים) (דבורים), תשכ"ח–1968</w:t>
    </w:r>
  </w:p>
  <w:p w:rsidR="00F420AB" w:rsidRDefault="00F420A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20AB" w:rsidRDefault="00F420A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20AB" w:rsidRDefault="00F420AB" w:rsidP="003B6BC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להשבחת ייצור חקלאי (בעלי חיים) (דבורים), תשכ"ח</w:t>
    </w:r>
    <w:r w:rsidR="003B6BC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:rsidR="00F420AB" w:rsidRDefault="00F420A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20AB" w:rsidRDefault="00F420A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4659"/>
    <w:rsid w:val="0027433D"/>
    <w:rsid w:val="002C5119"/>
    <w:rsid w:val="003243D0"/>
    <w:rsid w:val="003B6BC4"/>
    <w:rsid w:val="003E13BE"/>
    <w:rsid w:val="00407B5F"/>
    <w:rsid w:val="004D1B97"/>
    <w:rsid w:val="004F6009"/>
    <w:rsid w:val="005373FA"/>
    <w:rsid w:val="005B399A"/>
    <w:rsid w:val="00601B6B"/>
    <w:rsid w:val="006A31BE"/>
    <w:rsid w:val="006E7035"/>
    <w:rsid w:val="00797CBF"/>
    <w:rsid w:val="008326B2"/>
    <w:rsid w:val="00854659"/>
    <w:rsid w:val="00883585"/>
    <w:rsid w:val="00955CF7"/>
    <w:rsid w:val="00AE3E6E"/>
    <w:rsid w:val="00D95E64"/>
    <w:rsid w:val="00DE4D1F"/>
    <w:rsid w:val="00E44192"/>
    <w:rsid w:val="00E839DF"/>
    <w:rsid w:val="00F4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5C9B5EF-CAF4-45B2-8A70-93D68DEC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854659"/>
    <w:rPr>
      <w:color w:val="800080"/>
      <w:u w:val="single"/>
    </w:rPr>
  </w:style>
  <w:style w:type="paragraph" w:styleId="a5">
    <w:name w:val="footnote text"/>
    <w:basedOn w:val="a"/>
    <w:semiHidden/>
    <w:rsid w:val="003B6BC4"/>
    <w:rPr>
      <w:sz w:val="20"/>
      <w:szCs w:val="20"/>
    </w:rPr>
  </w:style>
  <w:style w:type="character" w:styleId="a6">
    <w:name w:val="footnote reference"/>
    <w:basedOn w:val="a0"/>
    <w:semiHidden/>
    <w:rsid w:val="003B6B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2666.pdf" TargetMode="External"/><Relationship Id="rId13" Type="http://schemas.openxmlformats.org/officeDocument/2006/relationships/hyperlink" Target="http://www.nevo.co.il/Law_word/law06/TAK-2666.pdf" TargetMode="External"/><Relationship Id="rId18" Type="http://schemas.openxmlformats.org/officeDocument/2006/relationships/hyperlink" Target="http://www.nevo.co.il/advertisements/nevo-100.doc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://www.nevo.co.il/Law_word/law06/TAK-2666.pdf" TargetMode="External"/><Relationship Id="rId12" Type="http://schemas.openxmlformats.org/officeDocument/2006/relationships/hyperlink" Target="http://www.nevo.co.il/Law_word/law06/TAK-2666.pdf" TargetMode="External"/><Relationship Id="rId17" Type="http://schemas.openxmlformats.org/officeDocument/2006/relationships/hyperlink" Target="http://www.nevo.co.il/Law_word/law06/TAK-2666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2666.pdf" TargetMode="External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666.pdf" TargetMode="External"/><Relationship Id="rId11" Type="http://schemas.openxmlformats.org/officeDocument/2006/relationships/hyperlink" Target="http://www.nevo.co.il/Law_word/law06/TAK-2666.pdf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2666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evo.co.il/Law_word/law06/TAK-2666.pdf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2666.pdf" TargetMode="External"/><Relationship Id="rId14" Type="http://schemas.openxmlformats.org/officeDocument/2006/relationships/hyperlink" Target="http://www.nevo.co.il/Law_word/law06/TAK-2666.pdf" TargetMode="External"/><Relationship Id="rId22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2666.pdf" TargetMode="External"/><Relationship Id="rId1" Type="http://schemas.openxmlformats.org/officeDocument/2006/relationships/hyperlink" Target="http://www.nevo.co.il/Law_word/law06/TAK-22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12012</CharactersWithSpaces>
  <SharedDoc>false</SharedDoc>
  <HLinks>
    <vt:vector size="270" baseType="variant">
      <vt:variant>
        <vt:i4>393283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8192008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http://www.nevo.co.il/Law_word/law06/TAK-2666.pdf</vt:lpwstr>
      </vt:variant>
      <vt:variant>
        <vt:lpwstr/>
      </vt:variant>
      <vt:variant>
        <vt:i4>8192008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http://www.nevo.co.il/Law_word/law06/TAK-2666.pdf</vt:lpwstr>
      </vt:variant>
      <vt:variant>
        <vt:lpwstr/>
      </vt:variant>
      <vt:variant>
        <vt:i4>8192008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http://www.nevo.co.il/Law_word/law06/TAK-2666.pdf</vt:lpwstr>
      </vt:variant>
      <vt:variant>
        <vt:lpwstr/>
      </vt:variant>
      <vt:variant>
        <vt:i4>8192008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http://www.nevo.co.il/Law_word/law06/TAK-2666.pdf</vt:lpwstr>
      </vt:variant>
      <vt:variant>
        <vt:lpwstr/>
      </vt:variant>
      <vt:variant>
        <vt:i4>8192008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http://www.nevo.co.il/Law_word/law06/TAK-2666.pdf</vt:lpwstr>
      </vt:variant>
      <vt:variant>
        <vt:lpwstr/>
      </vt:variant>
      <vt:variant>
        <vt:i4>8192008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http://www.nevo.co.il/Law_word/law06/TAK-2666.pdf</vt:lpwstr>
      </vt:variant>
      <vt:variant>
        <vt:lpwstr/>
      </vt:variant>
      <vt:variant>
        <vt:i4>8192008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http://www.nevo.co.il/Law_word/law06/TAK-2666.pdf</vt:lpwstr>
      </vt:variant>
      <vt:variant>
        <vt:lpwstr/>
      </vt:variant>
      <vt:variant>
        <vt:i4>8192008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http://www.nevo.co.il/Law_word/law06/TAK-2666.pdf</vt:lpwstr>
      </vt:variant>
      <vt:variant>
        <vt:lpwstr/>
      </vt:variant>
      <vt:variant>
        <vt:i4>8192008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http://www.nevo.co.il/Law_word/law06/TAK-2666.pdf</vt:lpwstr>
      </vt:variant>
      <vt:variant>
        <vt:lpwstr/>
      </vt:variant>
      <vt:variant>
        <vt:i4>8192008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http://www.nevo.co.il/Law_word/law06/TAK-2666.pdf</vt:lpwstr>
      </vt:variant>
      <vt:variant>
        <vt:lpwstr/>
      </vt:variant>
      <vt:variant>
        <vt:i4>8192008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http://www.nevo.co.il/Law_word/law06/TAK-2666.pdf</vt:lpwstr>
      </vt:variant>
      <vt:variant>
        <vt:lpwstr/>
      </vt:variant>
      <vt:variant>
        <vt:i4>8192008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http://www.nevo.co.il/Law_word/law06/TAK-2666.pdf</vt:lpwstr>
      </vt:variant>
      <vt:variant>
        <vt:lpwstr/>
      </vt:variant>
      <vt:variant>
        <vt:i4>3538984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3604520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5308425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3407915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5636105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5701641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8192008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http://www.nevo.co.il/Law_word/law06/TAK-2666.pdf</vt:lpwstr>
      </vt:variant>
      <vt:variant>
        <vt:lpwstr/>
      </vt:variant>
      <vt:variant>
        <vt:i4>7929858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http://www.nevo.co.il/Law_word/law06/TAK-2228.pdf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0121</vt:lpwstr>
  </property>
  <property fmtid="{D5CDD505-2E9C-101B-9397-08002B2CF9AE}" pid="3" name="CHNAME">
    <vt:lpwstr>השבחת ייצור חקלאי</vt:lpwstr>
  </property>
  <property fmtid="{D5CDD505-2E9C-101B-9397-08002B2CF9AE}" pid="4" name="LAWNAME">
    <vt:lpwstr>תקנות להשבחת ייצור חקלאי (בעלי חיים) (דבורים), תשכ"ח-1968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בע"ח</vt:lpwstr>
  </property>
  <property fmtid="{D5CDD505-2E9C-101B-9397-08002B2CF9AE}" pid="9" name="NOSE31">
    <vt:lpwstr>השבחת ייצור חקלאי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להשבחת ייצור חקלאי (בעלי חיים)</vt:lpwstr>
  </property>
  <property fmtid="{D5CDD505-2E9C-101B-9397-08002B2CF9AE}" pid="48" name="MEKOR_SAIF1">
    <vt:lpwstr>3X</vt:lpwstr>
  </property>
</Properties>
</file>