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4EDB" w14:textId="77777777" w:rsidR="0065759C" w:rsidRDefault="0065759C">
      <w:pPr>
        <w:pStyle w:val="big-header"/>
        <w:ind w:left="0" w:right="1134"/>
        <w:rPr>
          <w:rFonts w:cs="FrankRuehl" w:hint="cs"/>
          <w:sz w:val="32"/>
          <w:rtl/>
        </w:rPr>
      </w:pPr>
      <w:r>
        <w:rPr>
          <w:rFonts w:cs="FrankRuehl"/>
          <w:sz w:val="32"/>
          <w:rtl/>
        </w:rPr>
        <w:t>תקנות לטיפול בחולי נפש (ערעור בפני בית המשפט המחוזי), תשי"ז</w:t>
      </w:r>
      <w:r>
        <w:rPr>
          <w:rFonts w:cs="FrankRuehl" w:hint="cs"/>
          <w:sz w:val="32"/>
          <w:rtl/>
        </w:rPr>
        <w:t>-</w:t>
      </w:r>
      <w:r>
        <w:rPr>
          <w:rFonts w:cs="FrankRuehl"/>
          <w:sz w:val="32"/>
          <w:rtl/>
        </w:rPr>
        <w:t>1957</w:t>
      </w:r>
    </w:p>
    <w:p w14:paraId="16A0096B" w14:textId="77777777" w:rsidR="001A3761" w:rsidRPr="001A3761" w:rsidRDefault="001A3761" w:rsidP="001A3761">
      <w:pPr>
        <w:spacing w:line="320" w:lineRule="auto"/>
        <w:jc w:val="left"/>
        <w:rPr>
          <w:rFonts w:cs="FrankRuehl"/>
          <w:szCs w:val="26"/>
          <w:rtl/>
        </w:rPr>
      </w:pPr>
    </w:p>
    <w:p w14:paraId="14960A0B" w14:textId="77777777" w:rsidR="001A3761" w:rsidRDefault="001A3761" w:rsidP="001A3761">
      <w:pPr>
        <w:spacing w:line="320" w:lineRule="auto"/>
        <w:jc w:val="left"/>
        <w:rPr>
          <w:rFonts w:cs="Miriam"/>
          <w:szCs w:val="22"/>
          <w:rtl/>
        </w:rPr>
      </w:pPr>
      <w:r w:rsidRPr="001A3761">
        <w:rPr>
          <w:rFonts w:cs="Miriam"/>
          <w:szCs w:val="22"/>
          <w:rtl/>
        </w:rPr>
        <w:t>בריאות</w:t>
      </w:r>
      <w:r w:rsidRPr="001A3761">
        <w:rPr>
          <w:rFonts w:cs="FrankRuehl"/>
          <w:szCs w:val="26"/>
          <w:rtl/>
        </w:rPr>
        <w:t xml:space="preserve"> – שרותי רווחה – חולי נפש</w:t>
      </w:r>
    </w:p>
    <w:p w14:paraId="5B0BF600" w14:textId="77777777" w:rsidR="001A3761" w:rsidRDefault="001A3761" w:rsidP="001A3761">
      <w:pPr>
        <w:spacing w:line="320" w:lineRule="auto"/>
        <w:jc w:val="left"/>
        <w:rPr>
          <w:rFonts w:cs="Miriam"/>
          <w:szCs w:val="22"/>
          <w:rtl/>
        </w:rPr>
      </w:pPr>
      <w:r w:rsidRPr="001A3761">
        <w:rPr>
          <w:rFonts w:cs="Miriam"/>
          <w:szCs w:val="22"/>
          <w:rtl/>
        </w:rPr>
        <w:t>רשויות ומשפט מנהלי</w:t>
      </w:r>
      <w:r w:rsidRPr="001A3761">
        <w:rPr>
          <w:rFonts w:cs="FrankRuehl"/>
          <w:szCs w:val="26"/>
          <w:rtl/>
        </w:rPr>
        <w:t xml:space="preserve"> – שרותי רווחה – חולי נפש</w:t>
      </w:r>
    </w:p>
    <w:p w14:paraId="74E94C11" w14:textId="77777777" w:rsidR="00146BC5" w:rsidRPr="001A3761" w:rsidRDefault="001A3761" w:rsidP="001A3761">
      <w:pPr>
        <w:spacing w:line="320" w:lineRule="auto"/>
        <w:jc w:val="left"/>
        <w:rPr>
          <w:rFonts w:cs="Miriam"/>
          <w:szCs w:val="22"/>
          <w:rtl/>
        </w:rPr>
      </w:pPr>
      <w:r w:rsidRPr="001A3761">
        <w:rPr>
          <w:rFonts w:cs="Miriam"/>
          <w:szCs w:val="22"/>
          <w:rtl/>
        </w:rPr>
        <w:t>בתי משפט וסדרי דין</w:t>
      </w:r>
      <w:r w:rsidRPr="001A3761">
        <w:rPr>
          <w:rFonts w:cs="FrankRuehl"/>
          <w:szCs w:val="26"/>
          <w:rtl/>
        </w:rPr>
        <w:t xml:space="preserve"> – סדר דין אזרחי – ערעור על ועדות</w:t>
      </w:r>
    </w:p>
    <w:p w14:paraId="351821DC" w14:textId="77777777" w:rsidR="0065759C" w:rsidRDefault="0065759C">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5759C" w14:paraId="171AA9E1" w14:textId="77777777">
        <w:tblPrEx>
          <w:tblCellMar>
            <w:top w:w="0" w:type="dxa"/>
            <w:bottom w:w="0" w:type="dxa"/>
          </w:tblCellMar>
        </w:tblPrEx>
        <w:tc>
          <w:tcPr>
            <w:tcW w:w="850" w:type="dxa"/>
          </w:tcPr>
          <w:p w14:paraId="79D7CE29"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70CE18B" w14:textId="77777777" w:rsidR="0065759C" w:rsidRDefault="0065759C">
            <w:pPr>
              <w:spacing w:line="240" w:lineRule="auto"/>
              <w:rPr>
                <w:sz w:val="24"/>
              </w:rPr>
            </w:pPr>
            <w:hyperlink w:anchor="Seif0" w:tooltip="הגדרות" w:history="1">
              <w:r>
                <w:rPr>
                  <w:rStyle w:val="Hyperlink"/>
                </w:rPr>
                <w:t>Go</w:t>
              </w:r>
            </w:hyperlink>
          </w:p>
        </w:tc>
        <w:tc>
          <w:tcPr>
            <w:tcW w:w="5669" w:type="dxa"/>
          </w:tcPr>
          <w:p w14:paraId="74358C00" w14:textId="77777777" w:rsidR="0065759C" w:rsidRDefault="0065759C">
            <w:pPr>
              <w:spacing w:line="240" w:lineRule="auto"/>
              <w:rPr>
                <w:sz w:val="24"/>
                <w:rtl/>
              </w:rPr>
            </w:pPr>
            <w:r>
              <w:rPr>
                <w:sz w:val="24"/>
                <w:rtl/>
              </w:rPr>
              <w:t>הגדרות</w:t>
            </w:r>
          </w:p>
        </w:tc>
        <w:tc>
          <w:tcPr>
            <w:tcW w:w="1247" w:type="dxa"/>
          </w:tcPr>
          <w:p w14:paraId="4548DB87" w14:textId="77777777" w:rsidR="0065759C" w:rsidRDefault="0065759C">
            <w:pPr>
              <w:spacing w:line="240" w:lineRule="auto"/>
              <w:rPr>
                <w:sz w:val="24"/>
              </w:rPr>
            </w:pPr>
            <w:r>
              <w:rPr>
                <w:sz w:val="24"/>
                <w:rtl/>
              </w:rPr>
              <w:t xml:space="preserve">סעיף 1 </w:t>
            </w:r>
          </w:p>
        </w:tc>
      </w:tr>
      <w:tr w:rsidR="0065759C" w14:paraId="2536F7A4" w14:textId="77777777">
        <w:tblPrEx>
          <w:tblCellMar>
            <w:top w:w="0" w:type="dxa"/>
            <w:bottom w:w="0" w:type="dxa"/>
          </w:tblCellMar>
        </w:tblPrEx>
        <w:tc>
          <w:tcPr>
            <w:tcW w:w="850" w:type="dxa"/>
          </w:tcPr>
          <w:p w14:paraId="74F3DC6D"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A5C2A92" w14:textId="77777777" w:rsidR="0065759C" w:rsidRDefault="0065759C">
            <w:pPr>
              <w:spacing w:line="240" w:lineRule="auto"/>
              <w:rPr>
                <w:sz w:val="24"/>
              </w:rPr>
            </w:pPr>
            <w:hyperlink w:anchor="Seif1" w:tooltip="מקום הגשת הערעור" w:history="1">
              <w:r>
                <w:rPr>
                  <w:rStyle w:val="Hyperlink"/>
                </w:rPr>
                <w:t>Go</w:t>
              </w:r>
            </w:hyperlink>
          </w:p>
        </w:tc>
        <w:tc>
          <w:tcPr>
            <w:tcW w:w="5669" w:type="dxa"/>
          </w:tcPr>
          <w:p w14:paraId="4CDA0F4F" w14:textId="77777777" w:rsidR="0065759C" w:rsidRDefault="0065759C">
            <w:pPr>
              <w:spacing w:line="240" w:lineRule="auto"/>
              <w:rPr>
                <w:sz w:val="24"/>
                <w:rtl/>
              </w:rPr>
            </w:pPr>
            <w:r>
              <w:rPr>
                <w:sz w:val="24"/>
                <w:rtl/>
              </w:rPr>
              <w:t>מקום הגשת הערעור</w:t>
            </w:r>
          </w:p>
        </w:tc>
        <w:tc>
          <w:tcPr>
            <w:tcW w:w="1247" w:type="dxa"/>
          </w:tcPr>
          <w:p w14:paraId="648A3598" w14:textId="77777777" w:rsidR="0065759C" w:rsidRDefault="0065759C">
            <w:pPr>
              <w:spacing w:line="240" w:lineRule="auto"/>
              <w:rPr>
                <w:sz w:val="24"/>
              </w:rPr>
            </w:pPr>
            <w:r>
              <w:rPr>
                <w:sz w:val="24"/>
                <w:rtl/>
              </w:rPr>
              <w:t xml:space="preserve">סעיף 2 </w:t>
            </w:r>
          </w:p>
        </w:tc>
      </w:tr>
      <w:tr w:rsidR="0065759C" w14:paraId="076B85F3" w14:textId="77777777">
        <w:tblPrEx>
          <w:tblCellMar>
            <w:top w:w="0" w:type="dxa"/>
            <w:bottom w:w="0" w:type="dxa"/>
          </w:tblCellMar>
        </w:tblPrEx>
        <w:tc>
          <w:tcPr>
            <w:tcW w:w="850" w:type="dxa"/>
          </w:tcPr>
          <w:p w14:paraId="48C705E0"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393E2A" w14:textId="77777777" w:rsidR="0065759C" w:rsidRDefault="0065759C">
            <w:pPr>
              <w:spacing w:line="240" w:lineRule="auto"/>
              <w:rPr>
                <w:sz w:val="24"/>
              </w:rPr>
            </w:pPr>
            <w:hyperlink w:anchor="Seif2" w:tooltip="מועד להגשת הערעור" w:history="1">
              <w:r>
                <w:rPr>
                  <w:rStyle w:val="Hyperlink"/>
                </w:rPr>
                <w:t>Go</w:t>
              </w:r>
            </w:hyperlink>
          </w:p>
        </w:tc>
        <w:tc>
          <w:tcPr>
            <w:tcW w:w="5669" w:type="dxa"/>
          </w:tcPr>
          <w:p w14:paraId="2D12984B" w14:textId="77777777" w:rsidR="0065759C" w:rsidRDefault="0065759C">
            <w:pPr>
              <w:spacing w:line="240" w:lineRule="auto"/>
              <w:rPr>
                <w:sz w:val="24"/>
                <w:rtl/>
              </w:rPr>
            </w:pPr>
            <w:r>
              <w:rPr>
                <w:sz w:val="24"/>
                <w:rtl/>
              </w:rPr>
              <w:t>מועד להגשת הערעור</w:t>
            </w:r>
          </w:p>
        </w:tc>
        <w:tc>
          <w:tcPr>
            <w:tcW w:w="1247" w:type="dxa"/>
          </w:tcPr>
          <w:p w14:paraId="3D693037" w14:textId="77777777" w:rsidR="0065759C" w:rsidRDefault="0065759C">
            <w:pPr>
              <w:spacing w:line="240" w:lineRule="auto"/>
              <w:rPr>
                <w:sz w:val="24"/>
              </w:rPr>
            </w:pPr>
            <w:r>
              <w:rPr>
                <w:sz w:val="24"/>
                <w:rtl/>
              </w:rPr>
              <w:t xml:space="preserve">סעיף 3 </w:t>
            </w:r>
          </w:p>
        </w:tc>
      </w:tr>
      <w:tr w:rsidR="0065759C" w14:paraId="446661E8" w14:textId="77777777">
        <w:tblPrEx>
          <w:tblCellMar>
            <w:top w:w="0" w:type="dxa"/>
            <w:bottom w:w="0" w:type="dxa"/>
          </w:tblCellMar>
        </w:tblPrEx>
        <w:tc>
          <w:tcPr>
            <w:tcW w:w="850" w:type="dxa"/>
          </w:tcPr>
          <w:p w14:paraId="42FE7832"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55E37E" w14:textId="77777777" w:rsidR="0065759C" w:rsidRDefault="0065759C">
            <w:pPr>
              <w:spacing w:line="240" w:lineRule="auto"/>
              <w:rPr>
                <w:sz w:val="24"/>
              </w:rPr>
            </w:pPr>
            <w:hyperlink w:anchor="Seif3" w:tooltip="אופן הגשת הערעור" w:history="1">
              <w:r>
                <w:rPr>
                  <w:rStyle w:val="Hyperlink"/>
                </w:rPr>
                <w:t>Go</w:t>
              </w:r>
            </w:hyperlink>
          </w:p>
        </w:tc>
        <w:tc>
          <w:tcPr>
            <w:tcW w:w="5669" w:type="dxa"/>
          </w:tcPr>
          <w:p w14:paraId="75051DA1" w14:textId="77777777" w:rsidR="0065759C" w:rsidRDefault="0065759C">
            <w:pPr>
              <w:spacing w:line="240" w:lineRule="auto"/>
              <w:rPr>
                <w:sz w:val="24"/>
                <w:rtl/>
              </w:rPr>
            </w:pPr>
            <w:r>
              <w:rPr>
                <w:sz w:val="24"/>
                <w:rtl/>
              </w:rPr>
              <w:t>אופן הגשת הערעור</w:t>
            </w:r>
          </w:p>
        </w:tc>
        <w:tc>
          <w:tcPr>
            <w:tcW w:w="1247" w:type="dxa"/>
          </w:tcPr>
          <w:p w14:paraId="604EA6EB" w14:textId="77777777" w:rsidR="0065759C" w:rsidRDefault="0065759C">
            <w:pPr>
              <w:spacing w:line="240" w:lineRule="auto"/>
              <w:rPr>
                <w:sz w:val="24"/>
              </w:rPr>
            </w:pPr>
            <w:r>
              <w:rPr>
                <w:sz w:val="24"/>
                <w:rtl/>
              </w:rPr>
              <w:t xml:space="preserve">סעיף 4 </w:t>
            </w:r>
          </w:p>
        </w:tc>
      </w:tr>
      <w:tr w:rsidR="0065759C" w14:paraId="79232AA0" w14:textId="77777777">
        <w:tblPrEx>
          <w:tblCellMar>
            <w:top w:w="0" w:type="dxa"/>
            <w:bottom w:w="0" w:type="dxa"/>
          </w:tblCellMar>
        </w:tblPrEx>
        <w:tc>
          <w:tcPr>
            <w:tcW w:w="850" w:type="dxa"/>
          </w:tcPr>
          <w:p w14:paraId="26C6E7A3"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7B11056" w14:textId="77777777" w:rsidR="0065759C" w:rsidRDefault="0065759C">
            <w:pPr>
              <w:spacing w:line="240" w:lineRule="auto"/>
              <w:rPr>
                <w:sz w:val="24"/>
              </w:rPr>
            </w:pPr>
            <w:hyperlink w:anchor="Seif4" w:tooltip="פרטי כתב הערעור" w:history="1">
              <w:r>
                <w:rPr>
                  <w:rStyle w:val="Hyperlink"/>
                </w:rPr>
                <w:t>Go</w:t>
              </w:r>
            </w:hyperlink>
          </w:p>
        </w:tc>
        <w:tc>
          <w:tcPr>
            <w:tcW w:w="5669" w:type="dxa"/>
          </w:tcPr>
          <w:p w14:paraId="1ECC8EF5" w14:textId="77777777" w:rsidR="0065759C" w:rsidRDefault="0065759C">
            <w:pPr>
              <w:spacing w:line="240" w:lineRule="auto"/>
              <w:rPr>
                <w:sz w:val="24"/>
                <w:rtl/>
              </w:rPr>
            </w:pPr>
            <w:r>
              <w:rPr>
                <w:sz w:val="24"/>
                <w:rtl/>
              </w:rPr>
              <w:t>פרטי כתב הערעור</w:t>
            </w:r>
          </w:p>
        </w:tc>
        <w:tc>
          <w:tcPr>
            <w:tcW w:w="1247" w:type="dxa"/>
          </w:tcPr>
          <w:p w14:paraId="28950D12" w14:textId="77777777" w:rsidR="0065759C" w:rsidRDefault="0065759C">
            <w:pPr>
              <w:spacing w:line="240" w:lineRule="auto"/>
              <w:rPr>
                <w:sz w:val="24"/>
              </w:rPr>
            </w:pPr>
            <w:r>
              <w:rPr>
                <w:sz w:val="24"/>
                <w:rtl/>
              </w:rPr>
              <w:t xml:space="preserve">סעיף 5 </w:t>
            </w:r>
          </w:p>
        </w:tc>
      </w:tr>
      <w:tr w:rsidR="0065759C" w14:paraId="3F956E69" w14:textId="77777777">
        <w:tblPrEx>
          <w:tblCellMar>
            <w:top w:w="0" w:type="dxa"/>
            <w:bottom w:w="0" w:type="dxa"/>
          </w:tblCellMar>
        </w:tblPrEx>
        <w:tc>
          <w:tcPr>
            <w:tcW w:w="850" w:type="dxa"/>
          </w:tcPr>
          <w:p w14:paraId="55273A14"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CEBF824" w14:textId="77777777" w:rsidR="0065759C" w:rsidRDefault="0065759C">
            <w:pPr>
              <w:spacing w:line="240" w:lineRule="auto"/>
              <w:rPr>
                <w:sz w:val="24"/>
              </w:rPr>
            </w:pPr>
            <w:hyperlink w:anchor="Seif5" w:tooltip="צירוף העתקי ההחלטה" w:history="1">
              <w:r>
                <w:rPr>
                  <w:rStyle w:val="Hyperlink"/>
                </w:rPr>
                <w:t>Go</w:t>
              </w:r>
            </w:hyperlink>
          </w:p>
        </w:tc>
        <w:tc>
          <w:tcPr>
            <w:tcW w:w="5669" w:type="dxa"/>
          </w:tcPr>
          <w:p w14:paraId="639B65FA" w14:textId="77777777" w:rsidR="0065759C" w:rsidRDefault="0065759C">
            <w:pPr>
              <w:spacing w:line="240" w:lineRule="auto"/>
              <w:rPr>
                <w:sz w:val="24"/>
                <w:rtl/>
              </w:rPr>
            </w:pPr>
            <w:r>
              <w:rPr>
                <w:sz w:val="24"/>
                <w:rtl/>
              </w:rPr>
              <w:t>צירוף העתקי ההחלטה</w:t>
            </w:r>
          </w:p>
        </w:tc>
        <w:tc>
          <w:tcPr>
            <w:tcW w:w="1247" w:type="dxa"/>
          </w:tcPr>
          <w:p w14:paraId="5BA40D0C" w14:textId="77777777" w:rsidR="0065759C" w:rsidRDefault="0065759C">
            <w:pPr>
              <w:spacing w:line="240" w:lineRule="auto"/>
              <w:rPr>
                <w:sz w:val="24"/>
              </w:rPr>
            </w:pPr>
            <w:r>
              <w:rPr>
                <w:sz w:val="24"/>
                <w:rtl/>
              </w:rPr>
              <w:t xml:space="preserve">סעיף 6 </w:t>
            </w:r>
          </w:p>
        </w:tc>
      </w:tr>
      <w:tr w:rsidR="0065759C" w14:paraId="7D4FA4B0" w14:textId="77777777">
        <w:tblPrEx>
          <w:tblCellMar>
            <w:top w:w="0" w:type="dxa"/>
            <w:bottom w:w="0" w:type="dxa"/>
          </w:tblCellMar>
        </w:tblPrEx>
        <w:tc>
          <w:tcPr>
            <w:tcW w:w="850" w:type="dxa"/>
          </w:tcPr>
          <w:p w14:paraId="62B97EF2"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147EABA" w14:textId="77777777" w:rsidR="0065759C" w:rsidRDefault="0065759C">
            <w:pPr>
              <w:spacing w:line="240" w:lineRule="auto"/>
              <w:rPr>
                <w:sz w:val="24"/>
              </w:rPr>
            </w:pPr>
            <w:hyperlink w:anchor="Seif6" w:tooltip="ציון המשיב" w:history="1">
              <w:r>
                <w:rPr>
                  <w:rStyle w:val="Hyperlink"/>
                </w:rPr>
                <w:t>Go</w:t>
              </w:r>
            </w:hyperlink>
          </w:p>
        </w:tc>
        <w:tc>
          <w:tcPr>
            <w:tcW w:w="5669" w:type="dxa"/>
          </w:tcPr>
          <w:p w14:paraId="3F0488C2" w14:textId="77777777" w:rsidR="0065759C" w:rsidRDefault="0065759C">
            <w:pPr>
              <w:spacing w:line="240" w:lineRule="auto"/>
              <w:rPr>
                <w:sz w:val="24"/>
                <w:rtl/>
              </w:rPr>
            </w:pPr>
            <w:r>
              <w:rPr>
                <w:sz w:val="24"/>
                <w:rtl/>
              </w:rPr>
              <w:t>ציון המשיב</w:t>
            </w:r>
          </w:p>
        </w:tc>
        <w:tc>
          <w:tcPr>
            <w:tcW w:w="1247" w:type="dxa"/>
          </w:tcPr>
          <w:p w14:paraId="2BFF543E" w14:textId="77777777" w:rsidR="0065759C" w:rsidRDefault="0065759C">
            <w:pPr>
              <w:spacing w:line="240" w:lineRule="auto"/>
              <w:rPr>
                <w:sz w:val="24"/>
              </w:rPr>
            </w:pPr>
            <w:r>
              <w:rPr>
                <w:sz w:val="24"/>
                <w:rtl/>
              </w:rPr>
              <w:t xml:space="preserve">סעיף 7 </w:t>
            </w:r>
          </w:p>
        </w:tc>
      </w:tr>
      <w:tr w:rsidR="0065759C" w14:paraId="01F50AC9" w14:textId="77777777">
        <w:tblPrEx>
          <w:tblCellMar>
            <w:top w:w="0" w:type="dxa"/>
            <w:bottom w:w="0" w:type="dxa"/>
          </w:tblCellMar>
        </w:tblPrEx>
        <w:tc>
          <w:tcPr>
            <w:tcW w:w="850" w:type="dxa"/>
          </w:tcPr>
          <w:p w14:paraId="736DEFCB"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B952253" w14:textId="77777777" w:rsidR="0065759C" w:rsidRDefault="0065759C">
            <w:pPr>
              <w:spacing w:line="240" w:lineRule="auto"/>
              <w:rPr>
                <w:sz w:val="24"/>
              </w:rPr>
            </w:pPr>
            <w:hyperlink w:anchor="Seif7" w:tooltip="מסירת העתק" w:history="1">
              <w:r>
                <w:rPr>
                  <w:rStyle w:val="Hyperlink"/>
                </w:rPr>
                <w:t>Go</w:t>
              </w:r>
            </w:hyperlink>
          </w:p>
        </w:tc>
        <w:tc>
          <w:tcPr>
            <w:tcW w:w="5669" w:type="dxa"/>
          </w:tcPr>
          <w:p w14:paraId="0352B36E" w14:textId="77777777" w:rsidR="0065759C" w:rsidRDefault="0065759C">
            <w:pPr>
              <w:spacing w:line="240" w:lineRule="auto"/>
              <w:rPr>
                <w:sz w:val="24"/>
                <w:rtl/>
              </w:rPr>
            </w:pPr>
            <w:r>
              <w:rPr>
                <w:sz w:val="24"/>
                <w:rtl/>
              </w:rPr>
              <w:t>מסירת העתק</w:t>
            </w:r>
          </w:p>
        </w:tc>
        <w:tc>
          <w:tcPr>
            <w:tcW w:w="1247" w:type="dxa"/>
          </w:tcPr>
          <w:p w14:paraId="16BA3E4F" w14:textId="77777777" w:rsidR="0065759C" w:rsidRDefault="0065759C">
            <w:pPr>
              <w:spacing w:line="240" w:lineRule="auto"/>
              <w:rPr>
                <w:sz w:val="24"/>
              </w:rPr>
            </w:pPr>
            <w:r>
              <w:rPr>
                <w:sz w:val="24"/>
                <w:rtl/>
              </w:rPr>
              <w:t xml:space="preserve">סעיף 8 </w:t>
            </w:r>
          </w:p>
        </w:tc>
      </w:tr>
      <w:tr w:rsidR="0065759C" w14:paraId="65436C1D" w14:textId="77777777">
        <w:tblPrEx>
          <w:tblCellMar>
            <w:top w:w="0" w:type="dxa"/>
            <w:bottom w:w="0" w:type="dxa"/>
          </w:tblCellMar>
        </w:tblPrEx>
        <w:tc>
          <w:tcPr>
            <w:tcW w:w="850" w:type="dxa"/>
          </w:tcPr>
          <w:p w14:paraId="30AB8056"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E672961" w14:textId="77777777" w:rsidR="0065759C" w:rsidRDefault="0065759C">
            <w:pPr>
              <w:spacing w:line="240" w:lineRule="auto"/>
              <w:rPr>
                <w:sz w:val="24"/>
              </w:rPr>
            </w:pPr>
            <w:hyperlink w:anchor="Seif8" w:tooltip="תשובת המשיב" w:history="1">
              <w:r>
                <w:rPr>
                  <w:rStyle w:val="Hyperlink"/>
                </w:rPr>
                <w:t>Go</w:t>
              </w:r>
            </w:hyperlink>
          </w:p>
        </w:tc>
        <w:tc>
          <w:tcPr>
            <w:tcW w:w="5669" w:type="dxa"/>
          </w:tcPr>
          <w:p w14:paraId="16AB3952" w14:textId="77777777" w:rsidR="0065759C" w:rsidRDefault="0065759C">
            <w:pPr>
              <w:spacing w:line="240" w:lineRule="auto"/>
              <w:rPr>
                <w:sz w:val="24"/>
                <w:rtl/>
              </w:rPr>
            </w:pPr>
            <w:r>
              <w:rPr>
                <w:sz w:val="24"/>
                <w:rtl/>
              </w:rPr>
              <w:t>תשובת המשיב</w:t>
            </w:r>
          </w:p>
        </w:tc>
        <w:tc>
          <w:tcPr>
            <w:tcW w:w="1247" w:type="dxa"/>
          </w:tcPr>
          <w:p w14:paraId="41C2B26A" w14:textId="77777777" w:rsidR="0065759C" w:rsidRDefault="0065759C">
            <w:pPr>
              <w:spacing w:line="240" w:lineRule="auto"/>
              <w:rPr>
                <w:sz w:val="24"/>
              </w:rPr>
            </w:pPr>
            <w:r>
              <w:rPr>
                <w:sz w:val="24"/>
                <w:rtl/>
              </w:rPr>
              <w:t xml:space="preserve">סעיף 9 </w:t>
            </w:r>
          </w:p>
        </w:tc>
      </w:tr>
      <w:tr w:rsidR="0065759C" w14:paraId="0C2B3133" w14:textId="77777777">
        <w:tblPrEx>
          <w:tblCellMar>
            <w:top w:w="0" w:type="dxa"/>
            <w:bottom w:w="0" w:type="dxa"/>
          </w:tblCellMar>
        </w:tblPrEx>
        <w:tc>
          <w:tcPr>
            <w:tcW w:w="850" w:type="dxa"/>
          </w:tcPr>
          <w:p w14:paraId="66978C0B"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EE47755" w14:textId="77777777" w:rsidR="0065759C" w:rsidRDefault="0065759C">
            <w:pPr>
              <w:spacing w:line="240" w:lineRule="auto"/>
              <w:rPr>
                <w:sz w:val="24"/>
              </w:rPr>
            </w:pPr>
            <w:hyperlink w:anchor="Seif9" w:tooltip="פסול כתב הערעור" w:history="1">
              <w:r>
                <w:rPr>
                  <w:rStyle w:val="Hyperlink"/>
                </w:rPr>
                <w:t>Go</w:t>
              </w:r>
            </w:hyperlink>
          </w:p>
        </w:tc>
        <w:tc>
          <w:tcPr>
            <w:tcW w:w="5669" w:type="dxa"/>
          </w:tcPr>
          <w:p w14:paraId="7DC2E2F3" w14:textId="77777777" w:rsidR="0065759C" w:rsidRDefault="0065759C">
            <w:pPr>
              <w:spacing w:line="240" w:lineRule="auto"/>
              <w:rPr>
                <w:sz w:val="24"/>
                <w:rtl/>
              </w:rPr>
            </w:pPr>
            <w:r>
              <w:rPr>
                <w:sz w:val="24"/>
                <w:rtl/>
              </w:rPr>
              <w:t>פסול כתב הערעור</w:t>
            </w:r>
          </w:p>
        </w:tc>
        <w:tc>
          <w:tcPr>
            <w:tcW w:w="1247" w:type="dxa"/>
          </w:tcPr>
          <w:p w14:paraId="388973C5" w14:textId="77777777" w:rsidR="0065759C" w:rsidRDefault="0065759C">
            <w:pPr>
              <w:spacing w:line="240" w:lineRule="auto"/>
              <w:rPr>
                <w:sz w:val="24"/>
              </w:rPr>
            </w:pPr>
            <w:r>
              <w:rPr>
                <w:sz w:val="24"/>
                <w:rtl/>
              </w:rPr>
              <w:t xml:space="preserve">סעיף 10 </w:t>
            </w:r>
          </w:p>
        </w:tc>
      </w:tr>
      <w:tr w:rsidR="0065759C" w14:paraId="7C01CF92" w14:textId="77777777">
        <w:tblPrEx>
          <w:tblCellMar>
            <w:top w:w="0" w:type="dxa"/>
            <w:bottom w:w="0" w:type="dxa"/>
          </w:tblCellMar>
        </w:tblPrEx>
        <w:tc>
          <w:tcPr>
            <w:tcW w:w="850" w:type="dxa"/>
          </w:tcPr>
          <w:p w14:paraId="700B22D4"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6440CC8" w14:textId="77777777" w:rsidR="0065759C" w:rsidRDefault="0065759C">
            <w:pPr>
              <w:spacing w:line="240" w:lineRule="auto"/>
              <w:rPr>
                <w:sz w:val="24"/>
              </w:rPr>
            </w:pPr>
            <w:hyperlink w:anchor="Seif10" w:tooltip="קביעת מועד  לשמיעת הערעור" w:history="1">
              <w:r>
                <w:rPr>
                  <w:rStyle w:val="Hyperlink"/>
                </w:rPr>
                <w:t>Go</w:t>
              </w:r>
            </w:hyperlink>
          </w:p>
        </w:tc>
        <w:tc>
          <w:tcPr>
            <w:tcW w:w="5669" w:type="dxa"/>
          </w:tcPr>
          <w:p w14:paraId="2BAB58E8" w14:textId="77777777" w:rsidR="0065759C" w:rsidRDefault="0065759C">
            <w:pPr>
              <w:spacing w:line="240" w:lineRule="auto"/>
              <w:rPr>
                <w:sz w:val="24"/>
                <w:rtl/>
              </w:rPr>
            </w:pPr>
            <w:r>
              <w:rPr>
                <w:sz w:val="24"/>
                <w:rtl/>
              </w:rPr>
              <w:t>קביעת מועד  לשמיעת הערעור</w:t>
            </w:r>
          </w:p>
        </w:tc>
        <w:tc>
          <w:tcPr>
            <w:tcW w:w="1247" w:type="dxa"/>
          </w:tcPr>
          <w:p w14:paraId="677E86AF" w14:textId="77777777" w:rsidR="0065759C" w:rsidRDefault="0065759C">
            <w:pPr>
              <w:spacing w:line="240" w:lineRule="auto"/>
              <w:rPr>
                <w:sz w:val="24"/>
              </w:rPr>
            </w:pPr>
            <w:r>
              <w:rPr>
                <w:sz w:val="24"/>
                <w:rtl/>
              </w:rPr>
              <w:t xml:space="preserve">סעיף 11 </w:t>
            </w:r>
          </w:p>
        </w:tc>
      </w:tr>
      <w:tr w:rsidR="0065759C" w14:paraId="3A23FBB3" w14:textId="77777777">
        <w:tblPrEx>
          <w:tblCellMar>
            <w:top w:w="0" w:type="dxa"/>
            <w:bottom w:w="0" w:type="dxa"/>
          </w:tblCellMar>
        </w:tblPrEx>
        <w:tc>
          <w:tcPr>
            <w:tcW w:w="850" w:type="dxa"/>
          </w:tcPr>
          <w:p w14:paraId="6C8518BC"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912D883" w14:textId="77777777" w:rsidR="0065759C" w:rsidRDefault="0065759C">
            <w:pPr>
              <w:spacing w:line="240" w:lineRule="auto"/>
              <w:rPr>
                <w:sz w:val="24"/>
              </w:rPr>
            </w:pPr>
            <w:hyperlink w:anchor="Seif11" w:tooltip="העברת התיק של הועדה" w:history="1">
              <w:r>
                <w:rPr>
                  <w:rStyle w:val="Hyperlink"/>
                </w:rPr>
                <w:t>Go</w:t>
              </w:r>
            </w:hyperlink>
          </w:p>
        </w:tc>
        <w:tc>
          <w:tcPr>
            <w:tcW w:w="5669" w:type="dxa"/>
          </w:tcPr>
          <w:p w14:paraId="7308E8F0" w14:textId="77777777" w:rsidR="0065759C" w:rsidRDefault="0065759C">
            <w:pPr>
              <w:spacing w:line="240" w:lineRule="auto"/>
              <w:rPr>
                <w:sz w:val="24"/>
                <w:rtl/>
              </w:rPr>
            </w:pPr>
            <w:r>
              <w:rPr>
                <w:sz w:val="24"/>
                <w:rtl/>
              </w:rPr>
              <w:t>העברת התיק של הועדה</w:t>
            </w:r>
          </w:p>
        </w:tc>
        <w:tc>
          <w:tcPr>
            <w:tcW w:w="1247" w:type="dxa"/>
          </w:tcPr>
          <w:p w14:paraId="37DD26BD" w14:textId="77777777" w:rsidR="0065759C" w:rsidRDefault="0065759C">
            <w:pPr>
              <w:spacing w:line="240" w:lineRule="auto"/>
              <w:rPr>
                <w:sz w:val="24"/>
              </w:rPr>
            </w:pPr>
            <w:r>
              <w:rPr>
                <w:sz w:val="24"/>
                <w:rtl/>
              </w:rPr>
              <w:t xml:space="preserve">סעיף 12 </w:t>
            </w:r>
          </w:p>
        </w:tc>
      </w:tr>
      <w:tr w:rsidR="0065759C" w14:paraId="66050C01" w14:textId="77777777">
        <w:tblPrEx>
          <w:tblCellMar>
            <w:top w:w="0" w:type="dxa"/>
            <w:bottom w:w="0" w:type="dxa"/>
          </w:tblCellMar>
        </w:tblPrEx>
        <w:tc>
          <w:tcPr>
            <w:tcW w:w="850" w:type="dxa"/>
          </w:tcPr>
          <w:p w14:paraId="117BD01B"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5EB59A0" w14:textId="77777777" w:rsidR="0065759C" w:rsidRDefault="0065759C">
            <w:pPr>
              <w:spacing w:line="240" w:lineRule="auto"/>
              <w:rPr>
                <w:sz w:val="24"/>
              </w:rPr>
            </w:pPr>
            <w:hyperlink w:anchor="Seif12" w:tooltip="ייצוג התובע בפני בית המשפט" w:history="1">
              <w:r>
                <w:rPr>
                  <w:rStyle w:val="Hyperlink"/>
                </w:rPr>
                <w:t>Go</w:t>
              </w:r>
            </w:hyperlink>
          </w:p>
        </w:tc>
        <w:tc>
          <w:tcPr>
            <w:tcW w:w="5669" w:type="dxa"/>
          </w:tcPr>
          <w:p w14:paraId="40DA2358" w14:textId="77777777" w:rsidR="0065759C" w:rsidRDefault="0065759C">
            <w:pPr>
              <w:spacing w:line="240" w:lineRule="auto"/>
              <w:rPr>
                <w:sz w:val="24"/>
                <w:rtl/>
              </w:rPr>
            </w:pPr>
            <w:r>
              <w:rPr>
                <w:sz w:val="24"/>
                <w:rtl/>
              </w:rPr>
              <w:t>ייצוג התובע בפני בית המשפט</w:t>
            </w:r>
          </w:p>
        </w:tc>
        <w:tc>
          <w:tcPr>
            <w:tcW w:w="1247" w:type="dxa"/>
          </w:tcPr>
          <w:p w14:paraId="0B8AC71B" w14:textId="77777777" w:rsidR="0065759C" w:rsidRDefault="0065759C">
            <w:pPr>
              <w:spacing w:line="240" w:lineRule="auto"/>
              <w:rPr>
                <w:sz w:val="24"/>
              </w:rPr>
            </w:pPr>
            <w:r>
              <w:rPr>
                <w:sz w:val="24"/>
                <w:rtl/>
              </w:rPr>
              <w:t xml:space="preserve">סעיף 13 </w:t>
            </w:r>
          </w:p>
        </w:tc>
      </w:tr>
      <w:tr w:rsidR="0065759C" w14:paraId="0B621997" w14:textId="77777777">
        <w:tblPrEx>
          <w:tblCellMar>
            <w:top w:w="0" w:type="dxa"/>
            <w:bottom w:w="0" w:type="dxa"/>
          </w:tblCellMar>
        </w:tblPrEx>
        <w:tc>
          <w:tcPr>
            <w:tcW w:w="850" w:type="dxa"/>
          </w:tcPr>
          <w:p w14:paraId="6AAA8137"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A2C08AD" w14:textId="77777777" w:rsidR="0065759C" w:rsidRDefault="0065759C">
            <w:pPr>
              <w:spacing w:line="240" w:lineRule="auto"/>
              <w:rPr>
                <w:sz w:val="24"/>
              </w:rPr>
            </w:pPr>
            <w:hyperlink w:anchor="Seif13" w:tooltip="תחולת תקנות הפרוצידורה  האזרחית" w:history="1">
              <w:r>
                <w:rPr>
                  <w:rStyle w:val="Hyperlink"/>
                </w:rPr>
                <w:t>Go</w:t>
              </w:r>
            </w:hyperlink>
          </w:p>
        </w:tc>
        <w:tc>
          <w:tcPr>
            <w:tcW w:w="5669" w:type="dxa"/>
          </w:tcPr>
          <w:p w14:paraId="7655ABB0" w14:textId="77777777" w:rsidR="0065759C" w:rsidRDefault="0065759C">
            <w:pPr>
              <w:spacing w:line="240" w:lineRule="auto"/>
              <w:rPr>
                <w:sz w:val="24"/>
                <w:rtl/>
              </w:rPr>
            </w:pPr>
            <w:r>
              <w:rPr>
                <w:sz w:val="24"/>
                <w:rtl/>
              </w:rPr>
              <w:t>תחולת תקנות הפרוצידורה  האזרחית</w:t>
            </w:r>
          </w:p>
        </w:tc>
        <w:tc>
          <w:tcPr>
            <w:tcW w:w="1247" w:type="dxa"/>
          </w:tcPr>
          <w:p w14:paraId="4FA86CC8" w14:textId="77777777" w:rsidR="0065759C" w:rsidRDefault="0065759C">
            <w:pPr>
              <w:spacing w:line="240" w:lineRule="auto"/>
              <w:rPr>
                <w:sz w:val="24"/>
              </w:rPr>
            </w:pPr>
            <w:r>
              <w:rPr>
                <w:sz w:val="24"/>
                <w:rtl/>
              </w:rPr>
              <w:t xml:space="preserve">סעיף 14 </w:t>
            </w:r>
          </w:p>
        </w:tc>
      </w:tr>
      <w:tr w:rsidR="0065759C" w14:paraId="5E3952CE" w14:textId="77777777">
        <w:tblPrEx>
          <w:tblCellMar>
            <w:top w:w="0" w:type="dxa"/>
            <w:bottom w:w="0" w:type="dxa"/>
          </w:tblCellMar>
        </w:tblPrEx>
        <w:tc>
          <w:tcPr>
            <w:tcW w:w="850" w:type="dxa"/>
          </w:tcPr>
          <w:p w14:paraId="4D7C5CAB"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6FBE968" w14:textId="77777777" w:rsidR="0065759C" w:rsidRDefault="0065759C">
            <w:pPr>
              <w:spacing w:line="240" w:lineRule="auto"/>
              <w:rPr>
                <w:sz w:val="24"/>
              </w:rPr>
            </w:pPr>
            <w:hyperlink w:anchor="Seif14" w:tooltip="הדיון מוגבל לנימוקים בכתב" w:history="1">
              <w:r>
                <w:rPr>
                  <w:rStyle w:val="Hyperlink"/>
                </w:rPr>
                <w:t>Go</w:t>
              </w:r>
            </w:hyperlink>
          </w:p>
        </w:tc>
        <w:tc>
          <w:tcPr>
            <w:tcW w:w="5669" w:type="dxa"/>
          </w:tcPr>
          <w:p w14:paraId="79361A16" w14:textId="77777777" w:rsidR="0065759C" w:rsidRDefault="0065759C">
            <w:pPr>
              <w:spacing w:line="240" w:lineRule="auto"/>
              <w:rPr>
                <w:sz w:val="24"/>
                <w:rtl/>
              </w:rPr>
            </w:pPr>
            <w:r>
              <w:rPr>
                <w:sz w:val="24"/>
                <w:rtl/>
              </w:rPr>
              <w:t>הדיון מוגבל לנימוקים בכתב</w:t>
            </w:r>
          </w:p>
        </w:tc>
        <w:tc>
          <w:tcPr>
            <w:tcW w:w="1247" w:type="dxa"/>
          </w:tcPr>
          <w:p w14:paraId="2B93BFFF" w14:textId="77777777" w:rsidR="0065759C" w:rsidRDefault="0065759C">
            <w:pPr>
              <w:spacing w:line="240" w:lineRule="auto"/>
              <w:rPr>
                <w:sz w:val="24"/>
              </w:rPr>
            </w:pPr>
            <w:r>
              <w:rPr>
                <w:sz w:val="24"/>
                <w:rtl/>
              </w:rPr>
              <w:t xml:space="preserve">סעיף 15 </w:t>
            </w:r>
          </w:p>
        </w:tc>
      </w:tr>
      <w:tr w:rsidR="0065759C" w14:paraId="721B81BD" w14:textId="77777777">
        <w:tblPrEx>
          <w:tblCellMar>
            <w:top w:w="0" w:type="dxa"/>
            <w:bottom w:w="0" w:type="dxa"/>
          </w:tblCellMar>
        </w:tblPrEx>
        <w:tc>
          <w:tcPr>
            <w:tcW w:w="850" w:type="dxa"/>
          </w:tcPr>
          <w:p w14:paraId="582A9961"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54AF155" w14:textId="77777777" w:rsidR="0065759C" w:rsidRDefault="0065759C">
            <w:pPr>
              <w:spacing w:line="240" w:lineRule="auto"/>
              <w:rPr>
                <w:sz w:val="24"/>
              </w:rPr>
            </w:pPr>
            <w:hyperlink w:anchor="Seif15" w:tooltip="ביטול ערעור" w:history="1">
              <w:r>
                <w:rPr>
                  <w:rStyle w:val="Hyperlink"/>
                </w:rPr>
                <w:t>Go</w:t>
              </w:r>
            </w:hyperlink>
          </w:p>
        </w:tc>
        <w:tc>
          <w:tcPr>
            <w:tcW w:w="5669" w:type="dxa"/>
          </w:tcPr>
          <w:p w14:paraId="57193493" w14:textId="77777777" w:rsidR="0065759C" w:rsidRDefault="0065759C">
            <w:pPr>
              <w:spacing w:line="240" w:lineRule="auto"/>
              <w:rPr>
                <w:sz w:val="24"/>
                <w:rtl/>
              </w:rPr>
            </w:pPr>
            <w:r>
              <w:rPr>
                <w:sz w:val="24"/>
                <w:rtl/>
              </w:rPr>
              <w:t>ביטול ערעור</w:t>
            </w:r>
          </w:p>
        </w:tc>
        <w:tc>
          <w:tcPr>
            <w:tcW w:w="1247" w:type="dxa"/>
          </w:tcPr>
          <w:p w14:paraId="7D02DE6A" w14:textId="77777777" w:rsidR="0065759C" w:rsidRDefault="0065759C">
            <w:pPr>
              <w:spacing w:line="240" w:lineRule="auto"/>
              <w:rPr>
                <w:sz w:val="24"/>
              </w:rPr>
            </w:pPr>
            <w:r>
              <w:rPr>
                <w:sz w:val="24"/>
                <w:rtl/>
              </w:rPr>
              <w:t xml:space="preserve">סעיף 16 </w:t>
            </w:r>
          </w:p>
        </w:tc>
      </w:tr>
      <w:tr w:rsidR="0065759C" w14:paraId="1E5ADE37" w14:textId="77777777">
        <w:tblPrEx>
          <w:tblCellMar>
            <w:top w:w="0" w:type="dxa"/>
            <w:bottom w:w="0" w:type="dxa"/>
          </w:tblCellMar>
        </w:tblPrEx>
        <w:tc>
          <w:tcPr>
            <w:tcW w:w="850" w:type="dxa"/>
          </w:tcPr>
          <w:p w14:paraId="244D2BF8"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9C89C2" w14:textId="77777777" w:rsidR="0065759C" w:rsidRDefault="0065759C">
            <w:pPr>
              <w:spacing w:line="240" w:lineRule="auto"/>
              <w:rPr>
                <w:sz w:val="24"/>
              </w:rPr>
            </w:pPr>
            <w:hyperlink w:anchor="Seif16" w:tooltip="פסק דין על פי  החומר שבכתב" w:history="1">
              <w:r>
                <w:rPr>
                  <w:rStyle w:val="Hyperlink"/>
                </w:rPr>
                <w:t>Go</w:t>
              </w:r>
            </w:hyperlink>
          </w:p>
        </w:tc>
        <w:tc>
          <w:tcPr>
            <w:tcW w:w="5669" w:type="dxa"/>
          </w:tcPr>
          <w:p w14:paraId="735DA7F2" w14:textId="77777777" w:rsidR="0065759C" w:rsidRDefault="0065759C">
            <w:pPr>
              <w:spacing w:line="240" w:lineRule="auto"/>
              <w:rPr>
                <w:sz w:val="24"/>
                <w:rtl/>
              </w:rPr>
            </w:pPr>
            <w:r>
              <w:rPr>
                <w:sz w:val="24"/>
                <w:rtl/>
              </w:rPr>
              <w:t>פסק דין על פי  החומר שבכתב</w:t>
            </w:r>
          </w:p>
        </w:tc>
        <w:tc>
          <w:tcPr>
            <w:tcW w:w="1247" w:type="dxa"/>
          </w:tcPr>
          <w:p w14:paraId="6B00F243" w14:textId="77777777" w:rsidR="0065759C" w:rsidRDefault="0065759C">
            <w:pPr>
              <w:spacing w:line="240" w:lineRule="auto"/>
              <w:rPr>
                <w:sz w:val="24"/>
              </w:rPr>
            </w:pPr>
            <w:r>
              <w:rPr>
                <w:sz w:val="24"/>
                <w:rtl/>
              </w:rPr>
              <w:t xml:space="preserve">סעיף 17 </w:t>
            </w:r>
          </w:p>
        </w:tc>
      </w:tr>
      <w:tr w:rsidR="0065759C" w14:paraId="043762F1" w14:textId="77777777">
        <w:tblPrEx>
          <w:tblCellMar>
            <w:top w:w="0" w:type="dxa"/>
            <w:bottom w:w="0" w:type="dxa"/>
          </w:tblCellMar>
        </w:tblPrEx>
        <w:tc>
          <w:tcPr>
            <w:tcW w:w="850" w:type="dxa"/>
          </w:tcPr>
          <w:p w14:paraId="1F0BB0C9"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E89C977" w14:textId="77777777" w:rsidR="0065759C" w:rsidRDefault="0065759C">
            <w:pPr>
              <w:spacing w:line="240" w:lineRule="auto"/>
              <w:rPr>
                <w:sz w:val="24"/>
              </w:rPr>
            </w:pPr>
            <w:hyperlink w:anchor="Seif17" w:tooltip="החלטת בית המשפט" w:history="1">
              <w:r>
                <w:rPr>
                  <w:rStyle w:val="Hyperlink"/>
                </w:rPr>
                <w:t>Go</w:t>
              </w:r>
            </w:hyperlink>
          </w:p>
        </w:tc>
        <w:tc>
          <w:tcPr>
            <w:tcW w:w="5669" w:type="dxa"/>
          </w:tcPr>
          <w:p w14:paraId="2702A7C8" w14:textId="77777777" w:rsidR="0065759C" w:rsidRDefault="0065759C">
            <w:pPr>
              <w:spacing w:line="240" w:lineRule="auto"/>
              <w:rPr>
                <w:sz w:val="24"/>
                <w:rtl/>
              </w:rPr>
            </w:pPr>
            <w:r>
              <w:rPr>
                <w:sz w:val="24"/>
                <w:rtl/>
              </w:rPr>
              <w:t>החלטת בית המשפט</w:t>
            </w:r>
          </w:p>
        </w:tc>
        <w:tc>
          <w:tcPr>
            <w:tcW w:w="1247" w:type="dxa"/>
          </w:tcPr>
          <w:p w14:paraId="2BEB7D6C" w14:textId="77777777" w:rsidR="0065759C" w:rsidRDefault="0065759C">
            <w:pPr>
              <w:spacing w:line="240" w:lineRule="auto"/>
              <w:rPr>
                <w:sz w:val="24"/>
              </w:rPr>
            </w:pPr>
            <w:r>
              <w:rPr>
                <w:sz w:val="24"/>
                <w:rtl/>
              </w:rPr>
              <w:t xml:space="preserve">סעיף 18 </w:t>
            </w:r>
          </w:p>
        </w:tc>
      </w:tr>
      <w:tr w:rsidR="0065759C" w14:paraId="37AFB97F" w14:textId="77777777">
        <w:tblPrEx>
          <w:tblCellMar>
            <w:top w:w="0" w:type="dxa"/>
            <w:bottom w:w="0" w:type="dxa"/>
          </w:tblCellMar>
        </w:tblPrEx>
        <w:tc>
          <w:tcPr>
            <w:tcW w:w="850" w:type="dxa"/>
          </w:tcPr>
          <w:p w14:paraId="5BDB6EB2" w14:textId="77777777" w:rsidR="0065759C" w:rsidRDefault="0065759C">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C3296E2" w14:textId="77777777" w:rsidR="0065759C" w:rsidRDefault="0065759C">
            <w:pPr>
              <w:spacing w:line="240" w:lineRule="auto"/>
              <w:rPr>
                <w:sz w:val="24"/>
              </w:rPr>
            </w:pPr>
            <w:hyperlink w:anchor="Seif18" w:tooltip="השם" w:history="1">
              <w:r>
                <w:rPr>
                  <w:rStyle w:val="Hyperlink"/>
                </w:rPr>
                <w:t>Go</w:t>
              </w:r>
            </w:hyperlink>
          </w:p>
        </w:tc>
        <w:tc>
          <w:tcPr>
            <w:tcW w:w="5669" w:type="dxa"/>
          </w:tcPr>
          <w:p w14:paraId="0BD30504" w14:textId="77777777" w:rsidR="0065759C" w:rsidRDefault="0065759C">
            <w:pPr>
              <w:spacing w:line="240" w:lineRule="auto"/>
              <w:rPr>
                <w:sz w:val="24"/>
                <w:rtl/>
              </w:rPr>
            </w:pPr>
            <w:r>
              <w:rPr>
                <w:sz w:val="24"/>
                <w:rtl/>
              </w:rPr>
              <w:t>השם</w:t>
            </w:r>
          </w:p>
        </w:tc>
        <w:tc>
          <w:tcPr>
            <w:tcW w:w="1247" w:type="dxa"/>
          </w:tcPr>
          <w:p w14:paraId="397424AC" w14:textId="77777777" w:rsidR="0065759C" w:rsidRDefault="0065759C">
            <w:pPr>
              <w:spacing w:line="240" w:lineRule="auto"/>
              <w:rPr>
                <w:sz w:val="24"/>
              </w:rPr>
            </w:pPr>
            <w:r>
              <w:rPr>
                <w:sz w:val="24"/>
                <w:rtl/>
              </w:rPr>
              <w:t xml:space="preserve">סעיף 19 </w:t>
            </w:r>
          </w:p>
        </w:tc>
      </w:tr>
    </w:tbl>
    <w:p w14:paraId="6B6BFCE6" w14:textId="77777777" w:rsidR="0065759C" w:rsidRDefault="0065759C">
      <w:pPr>
        <w:pStyle w:val="big-header"/>
        <w:ind w:left="0" w:right="1134"/>
        <w:rPr>
          <w:rFonts w:cs="FrankRuehl"/>
          <w:sz w:val="32"/>
          <w:rtl/>
        </w:rPr>
      </w:pPr>
    </w:p>
    <w:p w14:paraId="28D1F380" w14:textId="77777777" w:rsidR="0065759C" w:rsidRDefault="0065759C" w:rsidP="00146BC5">
      <w:pPr>
        <w:pStyle w:val="big-header"/>
        <w:ind w:left="0" w:right="1134"/>
        <w:rPr>
          <w:rStyle w:val="default"/>
          <w:rFonts w:cs="FrankRuehl" w:hint="cs"/>
          <w:rtl/>
        </w:rPr>
      </w:pPr>
      <w:r>
        <w:rPr>
          <w:rFonts w:cs="FrankRuehl"/>
          <w:sz w:val="32"/>
          <w:rtl/>
        </w:rPr>
        <w:br w:type="page"/>
      </w:r>
      <w:r w:rsidR="00146BC5">
        <w:rPr>
          <w:rFonts w:cs="FrankRuehl"/>
          <w:sz w:val="32"/>
          <w:rtl/>
        </w:rPr>
        <w:lastRenderedPageBreak/>
        <w:t xml:space="preserve"> </w:t>
      </w:r>
      <w:r>
        <w:rPr>
          <w:rFonts w:cs="FrankRuehl"/>
          <w:sz w:val="32"/>
          <w:rtl/>
        </w:rPr>
        <w:t>תק</w:t>
      </w:r>
      <w:r>
        <w:rPr>
          <w:rFonts w:cs="FrankRuehl" w:hint="cs"/>
          <w:sz w:val="32"/>
          <w:rtl/>
        </w:rPr>
        <w:t>נות לטיפול בחולי נפש (ערעור בפני בית המשפט המחוזי), תשי"ז-</w:t>
      </w:r>
      <w:r>
        <w:rPr>
          <w:rFonts w:cs="FrankRuehl"/>
          <w:sz w:val="32"/>
          <w:rtl/>
        </w:rPr>
        <w:t>1957</w:t>
      </w:r>
      <w:r>
        <w:rPr>
          <w:rStyle w:val="default"/>
          <w:rtl/>
        </w:rPr>
        <w:footnoteReference w:customMarkFollows="1" w:id="1"/>
        <w:t>*</w:t>
      </w:r>
    </w:p>
    <w:p w14:paraId="1977375D"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25(ב) לחוק לטיפול בחולי נפש, תשט"ו-</w:t>
      </w:r>
      <w:r>
        <w:rPr>
          <w:rStyle w:val="default"/>
          <w:rFonts w:cs="FrankRuehl"/>
          <w:rtl/>
        </w:rPr>
        <w:t xml:space="preserve">1955, </w:t>
      </w:r>
      <w:r>
        <w:rPr>
          <w:rStyle w:val="default"/>
          <w:rFonts w:cs="FrankRuehl" w:hint="cs"/>
          <w:rtl/>
        </w:rPr>
        <w:t xml:space="preserve">סעיף 22 לפקודת בתי המשפט, 1940, סעיף 19 לפקודת הרשמים, 1936, וסעיף 10(א) לפקודת בתי המשפט (הוראות </w:t>
      </w:r>
      <w:r>
        <w:rPr>
          <w:rStyle w:val="default"/>
          <w:rFonts w:cs="FrankRuehl"/>
          <w:rtl/>
        </w:rPr>
        <w:t>מע</w:t>
      </w:r>
      <w:r>
        <w:rPr>
          <w:rStyle w:val="default"/>
          <w:rFonts w:cs="FrankRuehl" w:hint="cs"/>
          <w:rtl/>
        </w:rPr>
        <w:t>בר) תש"ח-</w:t>
      </w:r>
      <w:r>
        <w:rPr>
          <w:rStyle w:val="default"/>
          <w:rFonts w:cs="FrankRuehl"/>
          <w:rtl/>
        </w:rPr>
        <w:t xml:space="preserve">1948, </w:t>
      </w:r>
      <w:r>
        <w:rPr>
          <w:rStyle w:val="default"/>
          <w:rFonts w:cs="FrankRuehl" w:hint="cs"/>
          <w:rtl/>
        </w:rPr>
        <w:t>אני מתקין תקנות אלה:</w:t>
      </w:r>
    </w:p>
    <w:p w14:paraId="0D93B7AA" w14:textId="77777777" w:rsidR="0065759C" w:rsidRDefault="0065759C">
      <w:pPr>
        <w:pStyle w:val="P00"/>
        <w:spacing w:before="72"/>
        <w:ind w:left="0" w:right="1134"/>
        <w:rPr>
          <w:rStyle w:val="default"/>
          <w:rFonts w:cs="FrankRuehl" w:hint="cs"/>
          <w:rtl/>
        </w:rPr>
      </w:pPr>
      <w:bookmarkStart w:id="0" w:name="Seif0"/>
      <w:bookmarkEnd w:id="0"/>
      <w:r>
        <w:rPr>
          <w:lang w:val="he-IL"/>
        </w:rPr>
        <w:pict w14:anchorId="644596DA">
          <v:rect id="_x0000_s1026" style="position:absolute;left:0;text-align:left;margin-left:464.5pt;margin-top:8.05pt;width:75.05pt;height:16.5pt;z-index:251648512" o:allowincell="f" filled="f" stroked="f" strokecolor="lime" strokeweight=".25pt">
            <v:textbox inset="0,0,0,0">
              <w:txbxContent>
                <w:p w14:paraId="05B19333" w14:textId="77777777" w:rsidR="0065759C" w:rsidRDefault="0065759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76F9B62B"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המשפט" -</w:t>
      </w:r>
      <w:r>
        <w:rPr>
          <w:rStyle w:val="default"/>
          <w:rFonts w:cs="FrankRuehl"/>
          <w:rtl/>
        </w:rPr>
        <w:t xml:space="preserve"> </w:t>
      </w:r>
      <w:r>
        <w:rPr>
          <w:rStyle w:val="default"/>
          <w:rFonts w:cs="FrankRuehl" w:hint="cs"/>
          <w:rtl/>
        </w:rPr>
        <w:t>בית המשפט המחוזי האמור בסעיף 25(א) לחוק;</w:t>
      </w:r>
    </w:p>
    <w:p w14:paraId="64CE7F6A"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עדה" -</w:t>
      </w:r>
      <w:r>
        <w:rPr>
          <w:rStyle w:val="default"/>
          <w:rFonts w:cs="FrankRuehl"/>
          <w:rtl/>
        </w:rPr>
        <w:t xml:space="preserve"> </w:t>
      </w:r>
      <w:r>
        <w:rPr>
          <w:rStyle w:val="default"/>
          <w:rFonts w:cs="FrankRuehl" w:hint="cs"/>
          <w:rtl/>
        </w:rPr>
        <w:t>ועדת פסיכיאטרית שנתמנתה לפי סעיף 12 לחוק;</w:t>
      </w:r>
    </w:p>
    <w:p w14:paraId="60FADFA5"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שם" -</w:t>
      </w:r>
      <w:r>
        <w:rPr>
          <w:rStyle w:val="default"/>
          <w:rFonts w:cs="FrankRuehl"/>
          <w:rtl/>
        </w:rPr>
        <w:t xml:space="preserve"> </w:t>
      </w:r>
      <w:r>
        <w:rPr>
          <w:rStyle w:val="default"/>
          <w:rFonts w:cs="FrankRuehl" w:hint="cs"/>
          <w:rtl/>
        </w:rPr>
        <w:t>רשם בית המשפט;</w:t>
      </w:r>
    </w:p>
    <w:p w14:paraId="1362AA7D"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שרד הרישום" -</w:t>
      </w:r>
      <w:r>
        <w:rPr>
          <w:rStyle w:val="default"/>
          <w:rFonts w:cs="FrankRuehl"/>
          <w:rtl/>
        </w:rPr>
        <w:t xml:space="preserve"> </w:t>
      </w:r>
      <w:r>
        <w:rPr>
          <w:rStyle w:val="default"/>
          <w:rFonts w:cs="FrankRuehl" w:hint="cs"/>
          <w:rtl/>
        </w:rPr>
        <w:t>משרד הרישום של בית המשפט;</w:t>
      </w:r>
    </w:p>
    <w:p w14:paraId="4B334651"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רעור" -</w:t>
      </w:r>
      <w:r>
        <w:rPr>
          <w:rStyle w:val="default"/>
          <w:rFonts w:cs="FrankRuehl"/>
          <w:rtl/>
        </w:rPr>
        <w:t xml:space="preserve"> </w:t>
      </w:r>
      <w:r>
        <w:rPr>
          <w:rStyle w:val="default"/>
          <w:rFonts w:cs="FrankRuehl" w:hint="cs"/>
          <w:rtl/>
        </w:rPr>
        <w:t xml:space="preserve">ערעור שהוגש על </w:t>
      </w:r>
      <w:r>
        <w:rPr>
          <w:rStyle w:val="default"/>
          <w:rFonts w:cs="FrankRuehl"/>
          <w:rtl/>
        </w:rPr>
        <w:t>פי</w:t>
      </w:r>
      <w:r>
        <w:rPr>
          <w:rStyle w:val="default"/>
          <w:rFonts w:cs="FrankRuehl" w:hint="cs"/>
          <w:rtl/>
        </w:rPr>
        <w:t xml:space="preserve"> סעיף 25(א) לחוק.</w:t>
      </w:r>
    </w:p>
    <w:p w14:paraId="091D6127" w14:textId="77777777" w:rsidR="0065759C" w:rsidRDefault="0065759C">
      <w:pPr>
        <w:pStyle w:val="P00"/>
        <w:spacing w:before="72"/>
        <w:ind w:left="0" w:right="1134"/>
        <w:rPr>
          <w:rStyle w:val="default"/>
          <w:rFonts w:cs="FrankRuehl"/>
          <w:rtl/>
        </w:rPr>
      </w:pPr>
      <w:bookmarkStart w:id="1" w:name="Seif1"/>
      <w:bookmarkEnd w:id="1"/>
      <w:r>
        <w:rPr>
          <w:lang w:val="he-IL"/>
        </w:rPr>
        <w:pict w14:anchorId="5CB90701">
          <v:rect id="_x0000_s1027" style="position:absolute;left:0;text-align:left;margin-left:464.5pt;margin-top:8.05pt;width:75.05pt;height:15.9pt;z-index:251649536" o:allowincell="f" filled="f" stroked="f" strokecolor="lime" strokeweight=".25pt">
            <v:textbox inset="0,0,0,0">
              <w:txbxContent>
                <w:p w14:paraId="38121CE7" w14:textId="77777777" w:rsidR="0065759C" w:rsidRDefault="0065759C">
                  <w:pPr>
                    <w:spacing w:line="160" w:lineRule="exact"/>
                    <w:jc w:val="left"/>
                    <w:rPr>
                      <w:rFonts w:cs="Miriam"/>
                      <w:noProof/>
                      <w:sz w:val="18"/>
                      <w:szCs w:val="18"/>
                      <w:rtl/>
                    </w:rPr>
                  </w:pPr>
                  <w:r>
                    <w:rPr>
                      <w:rFonts w:cs="Miriam"/>
                      <w:sz w:val="18"/>
                      <w:szCs w:val="18"/>
                      <w:rtl/>
                    </w:rPr>
                    <w:t>מק</w:t>
                  </w:r>
                  <w:r>
                    <w:rPr>
                      <w:rFonts w:cs="Miriam" w:hint="cs"/>
                      <w:sz w:val="18"/>
                      <w:szCs w:val="18"/>
                      <w:rtl/>
                    </w:rPr>
                    <w:t>ום הגשת הערעור</w:t>
                  </w:r>
                </w:p>
              </w:txbxContent>
            </v:textbox>
            <w10:anchorlock/>
          </v:rect>
        </w:pict>
      </w:r>
      <w:r>
        <w:rPr>
          <w:rStyle w:val="big-number"/>
          <w:rFonts w:cs="Miriam"/>
          <w:rtl/>
        </w:rPr>
        <w:t>2.</w:t>
      </w:r>
      <w:r>
        <w:rPr>
          <w:rStyle w:val="big-number"/>
          <w:rFonts w:cs="Miriam"/>
          <w:rtl/>
        </w:rPr>
        <w:tab/>
      </w:r>
      <w:r>
        <w:rPr>
          <w:rStyle w:val="default"/>
          <w:rFonts w:cs="FrankRuehl"/>
          <w:rtl/>
        </w:rPr>
        <w:t>ער</w:t>
      </w:r>
      <w:r>
        <w:rPr>
          <w:rStyle w:val="default"/>
          <w:rFonts w:cs="FrankRuehl" w:hint="cs"/>
          <w:rtl/>
        </w:rPr>
        <w:t>עור יש להגיש לבית המשפט שבתחומו נמצא אזור שיפוטה של הועדה שנתנה את ההחלטה.</w:t>
      </w:r>
    </w:p>
    <w:p w14:paraId="4724D2D5" w14:textId="77777777" w:rsidR="0065759C" w:rsidRDefault="0065759C">
      <w:pPr>
        <w:pStyle w:val="P00"/>
        <w:spacing w:before="72"/>
        <w:ind w:left="0" w:right="1134"/>
        <w:rPr>
          <w:rStyle w:val="default"/>
          <w:rFonts w:cs="FrankRuehl"/>
          <w:rtl/>
        </w:rPr>
      </w:pPr>
      <w:bookmarkStart w:id="2" w:name="Seif2"/>
      <w:bookmarkEnd w:id="2"/>
      <w:r>
        <w:rPr>
          <w:lang w:val="he-IL"/>
        </w:rPr>
        <w:pict w14:anchorId="414E9B16">
          <v:rect id="_x0000_s1028" style="position:absolute;left:0;text-align:left;margin-left:464.5pt;margin-top:8.05pt;width:75.05pt;height:11pt;z-index:251650560" o:allowincell="f" filled="f" stroked="f" strokecolor="lime" strokeweight=".25pt">
            <v:textbox inset="0,0,0,0">
              <w:txbxContent>
                <w:p w14:paraId="4FB9BDDD" w14:textId="77777777" w:rsidR="0065759C" w:rsidRDefault="0065759C">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הערעור</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רעור יוגש תוך חמישה עשר יום מיום שהגיעה למערער החלטת הועדה.</w:t>
      </w:r>
    </w:p>
    <w:p w14:paraId="6AB92206"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רשאי להיזקק לערעור שהוגש תוך שלושים יום אחרי המועד האמור בתקנת משנה (א)</w:t>
      </w:r>
      <w:r>
        <w:rPr>
          <w:rStyle w:val="default"/>
          <w:rFonts w:cs="FrankRuehl"/>
          <w:rtl/>
        </w:rPr>
        <w:t xml:space="preserve"> א</w:t>
      </w:r>
      <w:r>
        <w:rPr>
          <w:rStyle w:val="default"/>
          <w:rFonts w:cs="FrankRuehl" w:hint="cs"/>
          <w:rtl/>
        </w:rPr>
        <w:t>ם האיחור בהג</w:t>
      </w:r>
      <w:r>
        <w:rPr>
          <w:rStyle w:val="default"/>
          <w:rFonts w:cs="FrankRuehl"/>
          <w:rtl/>
        </w:rPr>
        <w:t>ש</w:t>
      </w:r>
      <w:r>
        <w:rPr>
          <w:rStyle w:val="default"/>
          <w:rFonts w:cs="FrankRuehl" w:hint="cs"/>
          <w:rtl/>
        </w:rPr>
        <w:t>תו נגרם על ידי סיבות הנראות לבית המשפט.</w:t>
      </w:r>
    </w:p>
    <w:p w14:paraId="5B5B288E" w14:textId="77777777" w:rsidR="0065759C" w:rsidRDefault="0065759C">
      <w:pPr>
        <w:pStyle w:val="P00"/>
        <w:spacing w:before="72"/>
        <w:ind w:left="0" w:right="1134"/>
        <w:rPr>
          <w:rStyle w:val="default"/>
          <w:rFonts w:cs="FrankRuehl"/>
          <w:rtl/>
        </w:rPr>
      </w:pPr>
      <w:bookmarkStart w:id="3" w:name="Seif3"/>
      <w:bookmarkEnd w:id="3"/>
      <w:r>
        <w:rPr>
          <w:lang w:val="he-IL"/>
        </w:rPr>
        <w:pict w14:anchorId="7FA08024">
          <v:rect id="_x0000_s1029" style="position:absolute;left:0;text-align:left;margin-left:464.5pt;margin-top:8.05pt;width:75.05pt;height:11.85pt;z-index:251651584" o:allowincell="f" filled="f" stroked="f" strokecolor="lime" strokeweight=".25pt">
            <v:textbox inset="0,0,0,0">
              <w:txbxContent>
                <w:p w14:paraId="0B5A6A22" w14:textId="77777777" w:rsidR="0065759C" w:rsidRDefault="0065759C">
                  <w:pPr>
                    <w:spacing w:line="160" w:lineRule="exact"/>
                    <w:jc w:val="left"/>
                    <w:rPr>
                      <w:rFonts w:cs="Miriam"/>
                      <w:noProof/>
                      <w:sz w:val="18"/>
                      <w:szCs w:val="18"/>
                      <w:rtl/>
                    </w:rPr>
                  </w:pPr>
                  <w:r>
                    <w:rPr>
                      <w:rFonts w:cs="Miriam"/>
                      <w:sz w:val="18"/>
                      <w:szCs w:val="18"/>
                      <w:rtl/>
                    </w:rPr>
                    <w:t>או</w:t>
                  </w:r>
                  <w:r>
                    <w:rPr>
                      <w:rFonts w:cs="Miriam" w:hint="cs"/>
                      <w:sz w:val="18"/>
                      <w:szCs w:val="18"/>
                      <w:rtl/>
                    </w:rPr>
                    <w:t>פן הגשת הערעור</w:t>
                  </w:r>
                </w:p>
              </w:txbxContent>
            </v:textbox>
            <w10:anchorlock/>
          </v:rect>
        </w:pict>
      </w:r>
      <w:r>
        <w:rPr>
          <w:rStyle w:val="big-number"/>
          <w:rFonts w:cs="Miriam"/>
          <w:rtl/>
        </w:rPr>
        <w:t>4.</w:t>
      </w:r>
      <w:r>
        <w:rPr>
          <w:rStyle w:val="big-number"/>
          <w:rFonts w:cs="Miriam"/>
          <w:rtl/>
        </w:rPr>
        <w:tab/>
      </w:r>
      <w:r>
        <w:rPr>
          <w:rStyle w:val="default"/>
          <w:rFonts w:cs="FrankRuehl"/>
          <w:rtl/>
        </w:rPr>
        <w:t>הע</w:t>
      </w:r>
      <w:r>
        <w:rPr>
          <w:rStyle w:val="default"/>
          <w:rFonts w:cs="FrankRuehl" w:hint="cs"/>
          <w:rtl/>
        </w:rPr>
        <w:t>רעור יהיה בכתב ויוגש למשרד הרישום.</w:t>
      </w:r>
    </w:p>
    <w:p w14:paraId="532FAA66" w14:textId="77777777" w:rsidR="0065759C" w:rsidRDefault="0065759C">
      <w:pPr>
        <w:pStyle w:val="P00"/>
        <w:spacing w:before="72"/>
        <w:ind w:left="0" w:right="1134"/>
        <w:rPr>
          <w:rStyle w:val="default"/>
          <w:rFonts w:cs="FrankRuehl"/>
          <w:rtl/>
        </w:rPr>
      </w:pPr>
      <w:bookmarkStart w:id="4" w:name="Seif4"/>
      <w:bookmarkEnd w:id="4"/>
      <w:r>
        <w:rPr>
          <w:lang w:val="he-IL"/>
        </w:rPr>
        <w:pict w14:anchorId="4B60ED86">
          <v:rect id="_x0000_s1030" style="position:absolute;left:0;text-align:left;margin-left:464.5pt;margin-top:8.05pt;width:75.05pt;height:14.35pt;z-index:251652608" o:allowincell="f" filled="f" stroked="f" strokecolor="lime" strokeweight=".25pt">
            <v:textbox inset="0,0,0,0">
              <w:txbxContent>
                <w:p w14:paraId="583D8A92" w14:textId="77777777" w:rsidR="0065759C" w:rsidRDefault="0065759C">
                  <w:pPr>
                    <w:spacing w:line="160" w:lineRule="exact"/>
                    <w:jc w:val="left"/>
                    <w:rPr>
                      <w:rFonts w:cs="Miriam"/>
                      <w:noProof/>
                      <w:sz w:val="18"/>
                      <w:szCs w:val="18"/>
                      <w:rtl/>
                    </w:rPr>
                  </w:pPr>
                  <w:r>
                    <w:rPr>
                      <w:rFonts w:cs="Miriam"/>
                      <w:sz w:val="18"/>
                      <w:szCs w:val="18"/>
                      <w:rtl/>
                    </w:rPr>
                    <w:t>פר</w:t>
                  </w:r>
                  <w:r>
                    <w:rPr>
                      <w:rFonts w:cs="Miriam" w:hint="cs"/>
                      <w:sz w:val="18"/>
                      <w:szCs w:val="18"/>
                      <w:rtl/>
                    </w:rPr>
                    <w:t>טי כתב הערעור</w:t>
                  </w:r>
                </w:p>
              </w:txbxContent>
            </v:textbox>
            <w10:anchorlock/>
          </v:rect>
        </w:pict>
      </w:r>
      <w:r>
        <w:rPr>
          <w:rStyle w:val="big-number"/>
          <w:rFonts w:cs="Miriam"/>
          <w:rtl/>
        </w:rPr>
        <w:t>5.</w:t>
      </w:r>
      <w:r>
        <w:rPr>
          <w:rStyle w:val="big-number"/>
          <w:rFonts w:cs="Miriam"/>
          <w:rtl/>
        </w:rPr>
        <w:tab/>
      </w:r>
      <w:r>
        <w:rPr>
          <w:rStyle w:val="default"/>
          <w:rFonts w:cs="FrankRuehl"/>
          <w:rtl/>
        </w:rPr>
        <w:t>כת</w:t>
      </w:r>
      <w:r>
        <w:rPr>
          <w:rStyle w:val="default"/>
          <w:rFonts w:cs="FrankRuehl" w:hint="cs"/>
          <w:rtl/>
        </w:rPr>
        <w:t>ב הערעור יוגש בחמישה העתקים, וייחתם ביד המערער או בא כוחו ויפורטו בו:</w:t>
      </w:r>
    </w:p>
    <w:p w14:paraId="66A8EA96" w14:textId="77777777" w:rsidR="0065759C" w:rsidRDefault="0065759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מו ומענו של המערער;</w:t>
      </w:r>
    </w:p>
    <w:p w14:paraId="793C6D08" w14:textId="77777777" w:rsidR="0065759C" w:rsidRDefault="0065759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מו ומענו של המשיב;</w:t>
      </w:r>
    </w:p>
    <w:p w14:paraId="1E2FC55E" w14:textId="77777777" w:rsidR="0065759C" w:rsidRDefault="0065759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תאריך שבו הגיעה החלטת הועדה למ</w:t>
      </w:r>
      <w:r>
        <w:rPr>
          <w:rStyle w:val="default"/>
          <w:rFonts w:cs="FrankRuehl"/>
          <w:rtl/>
        </w:rPr>
        <w:t>ער</w:t>
      </w:r>
      <w:r>
        <w:rPr>
          <w:rStyle w:val="default"/>
          <w:rFonts w:cs="FrankRuehl" w:hint="cs"/>
          <w:rtl/>
        </w:rPr>
        <w:t>ער;</w:t>
      </w:r>
    </w:p>
    <w:p w14:paraId="29B36B8F" w14:textId="77777777" w:rsidR="0065759C" w:rsidRDefault="0065759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מספר הסידורי של תיק הועדה;</w:t>
      </w:r>
    </w:p>
    <w:p w14:paraId="63322091" w14:textId="77777777" w:rsidR="0065759C" w:rsidRDefault="0065759C">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נימוקים אשר עליהם מבסס המערער את הערעור, כל נימוק בפסקה מיוחדת ובקיצור;</w:t>
      </w:r>
    </w:p>
    <w:p w14:paraId="15184FCB" w14:textId="77777777" w:rsidR="0065759C" w:rsidRDefault="0065759C">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סעד המב</w:t>
      </w:r>
      <w:r>
        <w:rPr>
          <w:rStyle w:val="default"/>
          <w:rFonts w:cs="FrankRuehl"/>
          <w:rtl/>
        </w:rPr>
        <w:t>ו</w:t>
      </w:r>
      <w:r>
        <w:rPr>
          <w:rStyle w:val="default"/>
          <w:rFonts w:cs="FrankRuehl" w:hint="cs"/>
          <w:rtl/>
        </w:rPr>
        <w:t>קש.</w:t>
      </w:r>
    </w:p>
    <w:p w14:paraId="60B9CE8C" w14:textId="77777777" w:rsidR="0065759C" w:rsidRDefault="0065759C">
      <w:pPr>
        <w:pStyle w:val="P00"/>
        <w:spacing w:before="72"/>
        <w:ind w:left="0" w:right="1134"/>
        <w:rPr>
          <w:rStyle w:val="default"/>
          <w:rFonts w:cs="FrankRuehl"/>
          <w:rtl/>
        </w:rPr>
      </w:pPr>
      <w:bookmarkStart w:id="5" w:name="Seif5"/>
      <w:bookmarkEnd w:id="5"/>
      <w:r>
        <w:rPr>
          <w:lang w:val="he-IL"/>
        </w:rPr>
        <w:pict w14:anchorId="6084FEAD">
          <v:rect id="_x0000_s1031" style="position:absolute;left:0;text-align:left;margin-left:464.5pt;margin-top:8.05pt;width:75.05pt;height:16.25pt;z-index:251653632" filled="f" stroked="f" strokecolor="lime" strokeweight=".25pt">
            <v:textbox inset="0,0,0,0">
              <w:txbxContent>
                <w:p w14:paraId="4C844AEF" w14:textId="77777777" w:rsidR="0065759C" w:rsidRDefault="0065759C">
                  <w:pPr>
                    <w:spacing w:line="160" w:lineRule="exact"/>
                    <w:jc w:val="left"/>
                    <w:rPr>
                      <w:rFonts w:cs="Miriam"/>
                      <w:noProof/>
                      <w:sz w:val="18"/>
                      <w:szCs w:val="18"/>
                      <w:rtl/>
                    </w:rPr>
                  </w:pPr>
                  <w:r>
                    <w:rPr>
                      <w:rFonts w:cs="Miriam"/>
                      <w:sz w:val="18"/>
                      <w:szCs w:val="18"/>
                      <w:rtl/>
                    </w:rPr>
                    <w:t>צי</w:t>
                  </w:r>
                  <w:r>
                    <w:rPr>
                      <w:rFonts w:cs="Miriam" w:hint="cs"/>
                      <w:sz w:val="18"/>
                      <w:szCs w:val="18"/>
                      <w:rtl/>
                    </w:rPr>
                    <w:t>רוף העתקי ההחלטה</w:t>
                  </w:r>
                </w:p>
              </w:txbxContent>
            </v:textbox>
            <w10:anchorlock/>
          </v:rect>
        </w:pict>
      </w:r>
      <w:r>
        <w:rPr>
          <w:rStyle w:val="big-number"/>
          <w:rFonts w:cs="Miriam"/>
          <w:rtl/>
        </w:rPr>
        <w:t>6.</w:t>
      </w:r>
      <w:r>
        <w:rPr>
          <w:rStyle w:val="big-number"/>
          <w:rFonts w:cs="Miriam"/>
          <w:rtl/>
        </w:rPr>
        <w:tab/>
      </w:r>
      <w:r>
        <w:rPr>
          <w:rStyle w:val="default"/>
          <w:rFonts w:cs="FrankRuehl"/>
          <w:rtl/>
        </w:rPr>
        <w:t>לכ</w:t>
      </w:r>
      <w:r>
        <w:rPr>
          <w:rStyle w:val="default"/>
          <w:rFonts w:cs="FrankRuehl" w:hint="cs"/>
          <w:rtl/>
        </w:rPr>
        <w:t>תב הערעור יצ</w:t>
      </w:r>
      <w:r>
        <w:rPr>
          <w:rStyle w:val="default"/>
          <w:rFonts w:cs="FrankRuehl"/>
          <w:rtl/>
        </w:rPr>
        <w:t>ור</w:t>
      </w:r>
      <w:r>
        <w:rPr>
          <w:rStyle w:val="default"/>
          <w:rFonts w:cs="FrankRuehl" w:hint="cs"/>
          <w:rtl/>
        </w:rPr>
        <w:t>פו חמישה העתקים מהחלטת הועדה.</w:t>
      </w:r>
    </w:p>
    <w:p w14:paraId="5335CCB7" w14:textId="77777777" w:rsidR="0065759C" w:rsidRDefault="0065759C">
      <w:pPr>
        <w:pStyle w:val="P00"/>
        <w:spacing w:before="72"/>
        <w:ind w:left="0" w:right="1134"/>
        <w:rPr>
          <w:rStyle w:val="default"/>
          <w:rFonts w:cs="FrankRuehl"/>
          <w:rtl/>
        </w:rPr>
      </w:pPr>
      <w:bookmarkStart w:id="6" w:name="Seif6"/>
      <w:bookmarkEnd w:id="6"/>
      <w:r>
        <w:rPr>
          <w:lang w:val="he-IL"/>
        </w:rPr>
        <w:pict w14:anchorId="692B1A3F">
          <v:rect id="_x0000_s1032" style="position:absolute;left:0;text-align:left;margin-left:464.5pt;margin-top:8.05pt;width:75.05pt;height:13.1pt;z-index:251654656" o:allowincell="f" filled="f" stroked="f" strokecolor="lime" strokeweight=".25pt">
            <v:textbox inset="0,0,0,0">
              <w:txbxContent>
                <w:p w14:paraId="2B36B46C" w14:textId="77777777" w:rsidR="0065759C" w:rsidRDefault="0065759C">
                  <w:pPr>
                    <w:spacing w:line="160" w:lineRule="exact"/>
                    <w:jc w:val="left"/>
                    <w:rPr>
                      <w:rFonts w:cs="Miriam"/>
                      <w:noProof/>
                      <w:sz w:val="18"/>
                      <w:szCs w:val="18"/>
                      <w:rtl/>
                    </w:rPr>
                  </w:pPr>
                  <w:r>
                    <w:rPr>
                      <w:rFonts w:cs="Miriam"/>
                      <w:sz w:val="18"/>
                      <w:szCs w:val="18"/>
                      <w:rtl/>
                    </w:rPr>
                    <w:t>צי</w:t>
                  </w:r>
                  <w:r>
                    <w:rPr>
                      <w:rFonts w:cs="Miriam" w:hint="cs"/>
                      <w:sz w:val="18"/>
                      <w:szCs w:val="18"/>
                      <w:rtl/>
                    </w:rPr>
                    <w:t>ון המשיב</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קום שהמערער הוא החולה, קרובו או האפוטרופוס על גופו (להלן -</w:t>
      </w:r>
      <w:r>
        <w:rPr>
          <w:rStyle w:val="default"/>
          <w:rFonts w:cs="FrankRuehl"/>
          <w:rtl/>
        </w:rPr>
        <w:t xml:space="preserve"> </w:t>
      </w:r>
      <w:r>
        <w:rPr>
          <w:rStyle w:val="default"/>
          <w:rFonts w:cs="FrankRuehl" w:hint="cs"/>
          <w:rtl/>
        </w:rPr>
        <w:t>התובע), יצויין היועץ המשפטי לממשלה בכתב הערעור כמשיב.</w:t>
      </w:r>
    </w:p>
    <w:p w14:paraId="51FB6BFC"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שהמערער הוא היועץ המשפטי לממשלה, או בא כוחו, יצויין התובע בכתב הערעור כמשיב.</w:t>
      </w:r>
    </w:p>
    <w:p w14:paraId="356A84C7" w14:textId="77777777" w:rsidR="0065759C" w:rsidRDefault="0065759C">
      <w:pPr>
        <w:pStyle w:val="P00"/>
        <w:spacing w:before="72"/>
        <w:ind w:left="0" w:right="1134"/>
        <w:rPr>
          <w:rStyle w:val="default"/>
          <w:rFonts w:cs="FrankRuehl"/>
          <w:rtl/>
        </w:rPr>
      </w:pPr>
      <w:bookmarkStart w:id="7" w:name="Seif7"/>
      <w:bookmarkEnd w:id="7"/>
      <w:r>
        <w:rPr>
          <w:lang w:val="he-IL"/>
        </w:rPr>
        <w:pict w14:anchorId="359AD634">
          <v:rect id="_x0000_s1033" style="position:absolute;left:0;text-align:left;margin-left:464.5pt;margin-top:8.05pt;width:75.05pt;height:12.2pt;z-index:251655680" o:allowincell="f" filled="f" stroked="f" strokecolor="lime" strokeweight=".25pt">
            <v:textbox inset="0,0,0,0">
              <w:txbxContent>
                <w:p w14:paraId="5C2BD8BA" w14:textId="77777777" w:rsidR="0065759C" w:rsidRDefault="0065759C">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עתק מכ</w:t>
      </w:r>
      <w:r>
        <w:rPr>
          <w:rStyle w:val="default"/>
          <w:rFonts w:cs="FrankRuehl"/>
          <w:rtl/>
        </w:rPr>
        <w:t>תב</w:t>
      </w:r>
      <w:r>
        <w:rPr>
          <w:rStyle w:val="default"/>
          <w:rFonts w:cs="FrankRuehl" w:hint="cs"/>
          <w:rtl/>
        </w:rPr>
        <w:t xml:space="preserve"> הערעור, בציון יום הגשתו, יוחזר על ידי משרד הרישום למגיש הערעור.</w:t>
      </w:r>
    </w:p>
    <w:p w14:paraId="5274A527"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אחד מכתב הערעור עם המצורף אליו יימסר לפרקליט המחוז שבתחומו נמצא אזור שיפוטה של הועדה שנתנה את ההחלטה -</w:t>
      </w:r>
      <w:r>
        <w:rPr>
          <w:rStyle w:val="default"/>
          <w:rFonts w:cs="FrankRuehl"/>
          <w:rtl/>
        </w:rPr>
        <w:t xml:space="preserve"> </w:t>
      </w:r>
      <w:r>
        <w:rPr>
          <w:rStyle w:val="default"/>
          <w:rFonts w:cs="FrankRuehl" w:hint="cs"/>
          <w:rtl/>
        </w:rPr>
        <w:t>אם המערער הוא התובע, ואם המערער הוא היועץ המשפטי לממשלה -</w:t>
      </w:r>
      <w:r>
        <w:rPr>
          <w:rStyle w:val="default"/>
          <w:rFonts w:cs="FrankRuehl"/>
          <w:rtl/>
        </w:rPr>
        <w:t xml:space="preserve"> </w:t>
      </w:r>
      <w:r>
        <w:rPr>
          <w:rStyle w:val="default"/>
          <w:rFonts w:cs="FrankRuehl" w:hint="cs"/>
          <w:rtl/>
        </w:rPr>
        <w:t>יימסר העתק לתובע.</w:t>
      </w:r>
    </w:p>
    <w:p w14:paraId="5FF0A15B" w14:textId="77777777" w:rsidR="0065759C" w:rsidRDefault="0065759C">
      <w:pPr>
        <w:pStyle w:val="P00"/>
        <w:spacing w:before="72"/>
        <w:ind w:left="0" w:right="1134"/>
        <w:rPr>
          <w:rStyle w:val="default"/>
          <w:rFonts w:cs="FrankRuehl"/>
          <w:rtl/>
        </w:rPr>
      </w:pPr>
      <w:bookmarkStart w:id="8" w:name="Seif8"/>
      <w:bookmarkEnd w:id="8"/>
      <w:r>
        <w:rPr>
          <w:lang w:val="he-IL"/>
        </w:rPr>
        <w:pict w14:anchorId="10185146">
          <v:rect id="_x0000_s1034" style="position:absolute;left:0;text-align:left;margin-left:464.5pt;margin-top:8.05pt;width:75.05pt;height:13pt;z-index:251656704" o:allowincell="f" filled="f" stroked="f" strokecolor="lime" strokeweight=".25pt">
            <v:textbox inset="0,0,0,0">
              <w:txbxContent>
                <w:p w14:paraId="6A115181" w14:textId="77777777" w:rsidR="0065759C" w:rsidRDefault="0065759C">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משיב רשאי להגיש לבית המשפט, תוך חמישה עשר יום מהיום שבו נמסר לו העתק מכתב הערעור, תשובה מנומקת בארבעה העתקים.</w:t>
      </w:r>
    </w:p>
    <w:p w14:paraId="2D6B183F"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תיחתם ביד המשיב או בא כוחו.</w:t>
      </w:r>
    </w:p>
    <w:p w14:paraId="008DE9DB"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תש</w:t>
      </w:r>
      <w:r>
        <w:rPr>
          <w:rStyle w:val="default"/>
          <w:rFonts w:cs="FrankRuehl"/>
          <w:rtl/>
        </w:rPr>
        <w:t>ו</w:t>
      </w:r>
      <w:r>
        <w:rPr>
          <w:rStyle w:val="default"/>
          <w:rFonts w:cs="FrankRuehl" w:hint="cs"/>
          <w:rtl/>
        </w:rPr>
        <w:t>בת המשיב, יימסר למערער העתק ממנה.</w:t>
      </w:r>
    </w:p>
    <w:p w14:paraId="5F51162D" w14:textId="77777777" w:rsidR="0065759C" w:rsidRDefault="0065759C">
      <w:pPr>
        <w:pStyle w:val="P00"/>
        <w:spacing w:before="72"/>
        <w:ind w:left="0" w:right="1134"/>
        <w:rPr>
          <w:rStyle w:val="default"/>
          <w:rFonts w:cs="FrankRuehl"/>
          <w:rtl/>
        </w:rPr>
      </w:pPr>
      <w:bookmarkStart w:id="9" w:name="Seif9"/>
      <w:bookmarkEnd w:id="9"/>
      <w:r>
        <w:rPr>
          <w:lang w:val="he-IL"/>
        </w:rPr>
        <w:pict w14:anchorId="0FF2AFBE">
          <v:rect id="_x0000_s1035" style="position:absolute;left:0;text-align:left;margin-left:464.5pt;margin-top:8.05pt;width:75.05pt;height:15.7pt;z-index:251657728" o:allowincell="f" filled="f" stroked="f" strokecolor="lime" strokeweight=".25pt">
            <v:textbox inset="0,0,0,0">
              <w:txbxContent>
                <w:p w14:paraId="3D87C940" w14:textId="77777777" w:rsidR="0065759C" w:rsidRDefault="0065759C">
                  <w:pPr>
                    <w:spacing w:line="160" w:lineRule="exact"/>
                    <w:jc w:val="left"/>
                    <w:rPr>
                      <w:rFonts w:cs="Miriam"/>
                      <w:noProof/>
                      <w:sz w:val="18"/>
                      <w:szCs w:val="18"/>
                      <w:rtl/>
                    </w:rPr>
                  </w:pPr>
                  <w:r>
                    <w:rPr>
                      <w:rFonts w:cs="Miriam"/>
                      <w:sz w:val="18"/>
                      <w:szCs w:val="18"/>
                      <w:rtl/>
                    </w:rPr>
                    <w:t>פס</w:t>
                  </w:r>
                  <w:r>
                    <w:rPr>
                      <w:rFonts w:cs="Miriam" w:hint="cs"/>
                      <w:sz w:val="18"/>
                      <w:szCs w:val="18"/>
                      <w:rtl/>
                    </w:rPr>
                    <w:t>ול כתב הערעור</w:t>
                  </w:r>
                </w:p>
              </w:txbxContent>
            </v:textbox>
            <w10:anchorlock/>
          </v:rect>
        </w:pict>
      </w:r>
      <w:r>
        <w:rPr>
          <w:rStyle w:val="big-number"/>
          <w:rFonts w:cs="Miriam"/>
          <w:rtl/>
        </w:rPr>
        <w:t>10.</w:t>
      </w:r>
      <w:r>
        <w:rPr>
          <w:rStyle w:val="big-number"/>
          <w:rFonts w:cs="Miriam"/>
          <w:rtl/>
        </w:rPr>
        <w:tab/>
      </w:r>
      <w:r>
        <w:rPr>
          <w:rStyle w:val="default"/>
          <w:rFonts w:cs="FrankRuehl"/>
          <w:rtl/>
        </w:rPr>
        <w:t>כת</w:t>
      </w:r>
      <w:r>
        <w:rPr>
          <w:rStyle w:val="default"/>
          <w:rFonts w:cs="FrankRuehl" w:hint="cs"/>
          <w:rtl/>
        </w:rPr>
        <w:t xml:space="preserve">ב ערעור שלא נתקיימה בו הוראה מהוראות תקנה </w:t>
      </w:r>
      <w:r>
        <w:rPr>
          <w:rStyle w:val="default"/>
          <w:rFonts w:cs="FrankRuehl"/>
          <w:rtl/>
        </w:rPr>
        <w:t>5 ל</w:t>
      </w:r>
      <w:r>
        <w:rPr>
          <w:rStyle w:val="default"/>
          <w:rFonts w:cs="FrankRuehl" w:hint="cs"/>
          <w:rtl/>
        </w:rPr>
        <w:t xml:space="preserve">א יתקבל על ידי משרד הרישום, </w:t>
      </w:r>
      <w:r>
        <w:rPr>
          <w:rStyle w:val="default"/>
          <w:rFonts w:cs="FrankRuehl" w:hint="cs"/>
          <w:rtl/>
        </w:rPr>
        <w:lastRenderedPageBreak/>
        <w:t>אולם משקיבלו, בית המשפט לא יפסול אותו על יסוד אי קיום הוראה כאמור, אלא אם אין כתב הערעור מגלה כל שאלה שבמחלוקת או אם ראה בי</w:t>
      </w:r>
      <w:r>
        <w:rPr>
          <w:rStyle w:val="default"/>
          <w:rFonts w:cs="FrankRuehl"/>
          <w:rtl/>
        </w:rPr>
        <w:t>ת</w:t>
      </w:r>
      <w:r>
        <w:rPr>
          <w:rStyle w:val="default"/>
          <w:rFonts w:cs="FrankRuehl" w:hint="cs"/>
          <w:rtl/>
        </w:rPr>
        <w:t xml:space="preserve"> המשפט שאין למשיב סעד בדרך של דחיית הדיון או של חיוב בהוצאות או בשתי הדרכים כאחת ושעליו לפסול את כתב</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רעור כדי למנוע עיוות דין.</w:t>
      </w:r>
    </w:p>
    <w:p w14:paraId="44CCAF37" w14:textId="77777777" w:rsidR="0065759C" w:rsidRDefault="0065759C">
      <w:pPr>
        <w:pStyle w:val="P00"/>
        <w:spacing w:before="72"/>
        <w:ind w:left="0" w:right="1134"/>
        <w:rPr>
          <w:rStyle w:val="default"/>
          <w:rFonts w:cs="FrankRuehl"/>
          <w:rtl/>
        </w:rPr>
      </w:pPr>
      <w:bookmarkStart w:id="10" w:name="Seif10"/>
      <w:bookmarkEnd w:id="10"/>
      <w:r>
        <w:rPr>
          <w:lang w:val="he-IL"/>
        </w:rPr>
        <w:pict w14:anchorId="6C4CC02C">
          <v:rect id="_x0000_s1036" style="position:absolute;left:0;text-align:left;margin-left:464.5pt;margin-top:8.05pt;width:75.05pt;height:20.7pt;z-index:251658752" o:allowincell="f" filled="f" stroked="f" strokecolor="lime" strokeweight=".25pt">
            <v:textbox inset="0,0,0,0">
              <w:txbxContent>
                <w:p w14:paraId="4D21A07A" w14:textId="77777777" w:rsidR="0065759C" w:rsidRDefault="0065759C">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w:t>
                  </w:r>
                  <w:r>
                    <w:rPr>
                      <w:rFonts w:cs="Miriam"/>
                      <w:sz w:val="18"/>
                      <w:szCs w:val="18"/>
                      <w:rtl/>
                    </w:rPr>
                    <w:t>ש</w:t>
                  </w:r>
                  <w:r>
                    <w:rPr>
                      <w:rFonts w:cs="Miriam" w:hint="cs"/>
                      <w:sz w:val="18"/>
                      <w:szCs w:val="18"/>
                      <w:rtl/>
                    </w:rPr>
                    <w:t>מיעת הערעור</w:t>
                  </w:r>
                </w:p>
              </w:txbxContent>
            </v:textbox>
            <w10:anchorlock/>
          </v:rect>
        </w:pict>
      </w:r>
      <w:r>
        <w:rPr>
          <w:rStyle w:val="big-number"/>
          <w:rFonts w:cs="Miriam"/>
          <w:rtl/>
        </w:rPr>
        <w:t>11.</w:t>
      </w:r>
      <w:r>
        <w:rPr>
          <w:rStyle w:val="big-number"/>
          <w:rFonts w:cs="Miriam"/>
          <w:rtl/>
        </w:rPr>
        <w:tab/>
      </w:r>
      <w:r>
        <w:rPr>
          <w:rStyle w:val="default"/>
          <w:rFonts w:cs="FrankRuehl"/>
          <w:rtl/>
        </w:rPr>
        <w:t>מש</w:t>
      </w:r>
      <w:r>
        <w:rPr>
          <w:rStyle w:val="default"/>
          <w:rFonts w:cs="FrankRuehl" w:hint="cs"/>
          <w:rtl/>
        </w:rPr>
        <w:t>נמסר למשיב העתק מכתב הערעור, יקבע הרשם מועד לשמיעת הערעור ויודיע על כך לבעלי הדין בהודעה מוקדמת של חמישה עשר יום לפחות.</w:t>
      </w:r>
    </w:p>
    <w:p w14:paraId="7B6AA160" w14:textId="77777777" w:rsidR="0065759C" w:rsidRDefault="0065759C">
      <w:pPr>
        <w:pStyle w:val="P00"/>
        <w:spacing w:before="72"/>
        <w:ind w:left="0" w:right="1134"/>
        <w:rPr>
          <w:rStyle w:val="default"/>
          <w:rFonts w:cs="FrankRuehl"/>
          <w:rtl/>
        </w:rPr>
      </w:pPr>
      <w:bookmarkStart w:id="11" w:name="Seif11"/>
      <w:bookmarkEnd w:id="11"/>
      <w:r>
        <w:rPr>
          <w:lang w:val="he-IL"/>
        </w:rPr>
        <w:pict w14:anchorId="57754202">
          <v:rect id="_x0000_s1037" style="position:absolute;left:0;text-align:left;margin-left:464.5pt;margin-top:8.05pt;width:75.05pt;height:21.4pt;z-index:251659776" o:allowincell="f" filled="f" stroked="f" strokecolor="lime" strokeweight=".25pt">
            <v:textbox inset="0,0,0,0">
              <w:txbxContent>
                <w:p w14:paraId="553A447B" w14:textId="77777777" w:rsidR="0065759C" w:rsidRDefault="0065759C">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התיק </w:t>
                  </w:r>
                  <w:r>
                    <w:rPr>
                      <w:rFonts w:cs="Miriam"/>
                      <w:sz w:val="18"/>
                      <w:szCs w:val="18"/>
                      <w:rtl/>
                    </w:rPr>
                    <w:t>של</w:t>
                  </w:r>
                  <w:r>
                    <w:rPr>
                      <w:rFonts w:cs="Miriam" w:hint="cs"/>
                      <w:sz w:val="18"/>
                      <w:szCs w:val="18"/>
                      <w:rtl/>
                    </w:rPr>
                    <w:t xml:space="preserve"> הועדה</w:t>
                  </w:r>
                </w:p>
              </w:txbxContent>
            </v:textbox>
            <w10:anchorlock/>
          </v:rect>
        </w:pict>
      </w:r>
      <w:r>
        <w:rPr>
          <w:rStyle w:val="big-number"/>
          <w:rFonts w:cs="Miriam"/>
          <w:rtl/>
        </w:rPr>
        <w:t>12.</w:t>
      </w:r>
      <w:r>
        <w:rPr>
          <w:rStyle w:val="big-number"/>
          <w:rFonts w:cs="Miriam"/>
          <w:rtl/>
        </w:rPr>
        <w:tab/>
      </w:r>
      <w:r>
        <w:rPr>
          <w:rStyle w:val="default"/>
          <w:rFonts w:cs="FrankRuehl"/>
          <w:rtl/>
        </w:rPr>
        <w:t>יו</w:t>
      </w:r>
      <w:r>
        <w:rPr>
          <w:rStyle w:val="default"/>
          <w:rFonts w:cs="FrankRuehl" w:hint="cs"/>
          <w:rtl/>
        </w:rPr>
        <w:t>שב ראש הועדה יעביר לרשם, אם נדרש לעשות כן על ידי הרשם, את החלטת הוע</w:t>
      </w:r>
      <w:r>
        <w:rPr>
          <w:rStyle w:val="default"/>
          <w:rFonts w:cs="FrankRuehl"/>
          <w:rtl/>
        </w:rPr>
        <w:t>דה</w:t>
      </w:r>
      <w:r>
        <w:rPr>
          <w:rStyle w:val="default"/>
          <w:rFonts w:cs="FrankRuehl" w:hint="cs"/>
          <w:rtl/>
        </w:rPr>
        <w:t xml:space="preserve"> כשהיא חתומה על ידי חבריה, את פרוטוקול הדיונים לפני הועדה, כל כתב של בעלי הדין וכל מסמך אחר שהוגש לועד</w:t>
      </w:r>
      <w:r>
        <w:rPr>
          <w:rStyle w:val="default"/>
          <w:rFonts w:cs="FrankRuehl"/>
          <w:rtl/>
        </w:rPr>
        <w:t>ה</w:t>
      </w:r>
      <w:r>
        <w:rPr>
          <w:rStyle w:val="default"/>
          <w:rFonts w:cs="FrankRuehl" w:hint="cs"/>
          <w:rtl/>
        </w:rPr>
        <w:t xml:space="preserve"> בקשר לערר שלפניה.</w:t>
      </w:r>
    </w:p>
    <w:p w14:paraId="44BDDC42" w14:textId="77777777" w:rsidR="0065759C" w:rsidRDefault="0065759C">
      <w:pPr>
        <w:pStyle w:val="P00"/>
        <w:spacing w:before="72"/>
        <w:ind w:left="0" w:right="1134"/>
        <w:rPr>
          <w:rStyle w:val="default"/>
          <w:rFonts w:cs="FrankRuehl"/>
          <w:rtl/>
        </w:rPr>
      </w:pPr>
      <w:bookmarkStart w:id="12" w:name="Seif12"/>
      <w:bookmarkEnd w:id="12"/>
      <w:r>
        <w:rPr>
          <w:lang w:val="he-IL"/>
        </w:rPr>
        <w:pict w14:anchorId="48722177">
          <v:rect id="_x0000_s1038" style="position:absolute;left:0;text-align:left;margin-left:464.5pt;margin-top:8.05pt;width:75.05pt;height:20.3pt;z-index:251660800" o:allowincell="f" filled="f" stroked="f" strokecolor="lime" strokeweight=".25pt">
            <v:textbox inset="0,0,0,0">
              <w:txbxContent>
                <w:p w14:paraId="482F4F2D" w14:textId="77777777" w:rsidR="0065759C" w:rsidRDefault="0065759C">
                  <w:pPr>
                    <w:spacing w:line="160" w:lineRule="exact"/>
                    <w:jc w:val="left"/>
                    <w:rPr>
                      <w:rFonts w:cs="Miriam"/>
                      <w:noProof/>
                      <w:sz w:val="18"/>
                      <w:szCs w:val="18"/>
                      <w:rtl/>
                    </w:rPr>
                  </w:pPr>
                  <w:r>
                    <w:rPr>
                      <w:rFonts w:cs="Miriam"/>
                      <w:sz w:val="18"/>
                      <w:szCs w:val="18"/>
                      <w:rtl/>
                    </w:rPr>
                    <w:t>יי</w:t>
                  </w:r>
                  <w:r>
                    <w:rPr>
                      <w:rFonts w:cs="Miriam" w:hint="cs"/>
                      <w:sz w:val="18"/>
                      <w:szCs w:val="18"/>
                      <w:rtl/>
                    </w:rPr>
                    <w:t>צוג התובע</w:t>
                  </w:r>
                  <w:r>
                    <w:rPr>
                      <w:rFonts w:cs="Miriam"/>
                      <w:sz w:val="18"/>
                      <w:szCs w:val="18"/>
                      <w:rtl/>
                    </w:rPr>
                    <w:t xml:space="preserve"> ב</w:t>
                  </w:r>
                  <w:r>
                    <w:rPr>
                      <w:rFonts w:cs="Miriam" w:hint="cs"/>
                      <w:sz w:val="18"/>
                      <w:szCs w:val="18"/>
                      <w:rtl/>
                    </w:rPr>
                    <w:t>פני בית המשפט</w:t>
                  </w:r>
                </w:p>
              </w:txbxContent>
            </v:textbox>
            <w10:anchorlock/>
          </v:rect>
        </w:pict>
      </w:r>
      <w:r>
        <w:rPr>
          <w:rStyle w:val="big-number"/>
          <w:rFonts w:cs="Miriam"/>
          <w:rtl/>
        </w:rPr>
        <w:t>13.</w:t>
      </w:r>
      <w:r>
        <w:rPr>
          <w:rStyle w:val="big-number"/>
          <w:rFonts w:cs="Miriam"/>
          <w:rtl/>
        </w:rPr>
        <w:tab/>
      </w:r>
      <w:r>
        <w:rPr>
          <w:rStyle w:val="default"/>
          <w:rFonts w:cs="FrankRuehl"/>
          <w:rtl/>
        </w:rPr>
        <w:t>תו</w:t>
      </w:r>
      <w:r>
        <w:rPr>
          <w:rStyle w:val="default"/>
          <w:rFonts w:cs="FrankRuehl" w:hint="cs"/>
          <w:rtl/>
        </w:rPr>
        <w:t>בע שהגיש כתב ערעור לבית המשפט רשאי להתייצב לפניו, הוא או בא כוחו, ולטעון את טענותיו.</w:t>
      </w:r>
    </w:p>
    <w:p w14:paraId="42B79789" w14:textId="77777777" w:rsidR="0065759C" w:rsidRDefault="0065759C">
      <w:pPr>
        <w:pStyle w:val="P00"/>
        <w:spacing w:before="72"/>
        <w:ind w:left="0" w:right="1134"/>
        <w:rPr>
          <w:rStyle w:val="default"/>
          <w:rFonts w:cs="FrankRuehl"/>
          <w:rtl/>
        </w:rPr>
      </w:pPr>
      <w:bookmarkStart w:id="13" w:name="Seif13"/>
      <w:bookmarkEnd w:id="13"/>
      <w:r>
        <w:rPr>
          <w:lang w:val="he-IL"/>
        </w:rPr>
        <w:pict w14:anchorId="5D7AAACB">
          <v:rect id="_x0000_s1039" style="position:absolute;left:0;text-align:left;margin-left:464.5pt;margin-top:8.05pt;width:75.05pt;height:28.95pt;z-index:251661824" o:allowincell="f" filled="f" stroked="f" strokecolor="lime" strokeweight=".25pt">
            <v:textbox inset="0,0,0,0">
              <w:txbxContent>
                <w:p w14:paraId="63E7115E" w14:textId="77777777" w:rsidR="0065759C" w:rsidRDefault="0065759C">
                  <w:pPr>
                    <w:spacing w:line="160" w:lineRule="exact"/>
                    <w:jc w:val="left"/>
                    <w:rPr>
                      <w:rFonts w:cs="Miriam"/>
                      <w:noProof/>
                      <w:sz w:val="18"/>
                      <w:szCs w:val="18"/>
                      <w:rtl/>
                    </w:rPr>
                  </w:pPr>
                  <w:r>
                    <w:rPr>
                      <w:rFonts w:cs="Miriam"/>
                      <w:sz w:val="18"/>
                      <w:szCs w:val="18"/>
                      <w:rtl/>
                    </w:rPr>
                    <w:t>תח</w:t>
                  </w:r>
                  <w:r>
                    <w:rPr>
                      <w:rFonts w:cs="Miriam" w:hint="cs"/>
                      <w:sz w:val="18"/>
                      <w:szCs w:val="18"/>
                      <w:rtl/>
                    </w:rPr>
                    <w:t>ולת תקנות הפרוצידורה ה</w:t>
                  </w:r>
                  <w:r>
                    <w:rPr>
                      <w:rFonts w:cs="Miriam"/>
                      <w:sz w:val="18"/>
                      <w:szCs w:val="18"/>
                      <w:rtl/>
                    </w:rPr>
                    <w:t>א</w:t>
                  </w:r>
                  <w:r>
                    <w:rPr>
                      <w:rFonts w:cs="Miriam" w:hint="cs"/>
                      <w:sz w:val="18"/>
                      <w:szCs w:val="18"/>
                      <w:rtl/>
                    </w:rPr>
                    <w:t>זרחית</w:t>
                  </w:r>
                </w:p>
              </w:txbxContent>
            </v:textbox>
            <w10:anchorlock/>
          </v:rect>
        </w:pict>
      </w:r>
      <w:r>
        <w:rPr>
          <w:rStyle w:val="big-number"/>
          <w:rFonts w:cs="Miriam"/>
          <w:rtl/>
        </w:rPr>
        <w:t>14.</w:t>
      </w:r>
      <w:r>
        <w:rPr>
          <w:rStyle w:val="big-number"/>
          <w:rFonts w:cs="Miriam"/>
          <w:rtl/>
        </w:rPr>
        <w:tab/>
      </w:r>
      <w:r>
        <w:rPr>
          <w:rStyle w:val="default"/>
          <w:rFonts w:cs="FrankRuehl"/>
          <w:rtl/>
        </w:rPr>
        <w:t>על</w:t>
      </w:r>
      <w:r>
        <w:rPr>
          <w:rStyle w:val="default"/>
          <w:rFonts w:cs="FrankRuehl" w:hint="cs"/>
          <w:rtl/>
        </w:rPr>
        <w:t xml:space="preserve"> מסירת הודעות ומסמכים בערעור, על </w:t>
      </w:r>
      <w:r>
        <w:rPr>
          <w:rStyle w:val="default"/>
          <w:rFonts w:cs="FrankRuehl"/>
          <w:rtl/>
        </w:rPr>
        <w:t>אי</w:t>
      </w:r>
      <w:r>
        <w:rPr>
          <w:rStyle w:val="default"/>
          <w:rFonts w:cs="FrankRuehl" w:hint="cs"/>
          <w:rtl/>
        </w:rPr>
        <w:t>חוד ערעורים, על שמיעת הערעור על ערעור ש</w:t>
      </w:r>
      <w:r>
        <w:rPr>
          <w:rStyle w:val="default"/>
          <w:rFonts w:cs="FrankRuehl"/>
          <w:rtl/>
        </w:rPr>
        <w:t>כ</w:t>
      </w:r>
      <w:r>
        <w:rPr>
          <w:rStyle w:val="default"/>
          <w:rFonts w:cs="FrankRuehl" w:hint="cs"/>
          <w:rtl/>
        </w:rPr>
        <w:t>נגד ועל מתן פסק דין יחולו הוראות חלק ד' והתקנות 304, 336 עד 340 ו-347 עד 352 לתקנות הפרוצידורה האזרחית, 1938, בשינויים המחוייבים לפי הענין.</w:t>
      </w:r>
    </w:p>
    <w:p w14:paraId="183D2828" w14:textId="77777777" w:rsidR="0065759C" w:rsidRDefault="0065759C">
      <w:pPr>
        <w:pStyle w:val="P00"/>
        <w:spacing w:before="72"/>
        <w:ind w:left="0" w:right="1134"/>
        <w:rPr>
          <w:rStyle w:val="default"/>
          <w:rFonts w:cs="FrankRuehl"/>
          <w:rtl/>
        </w:rPr>
      </w:pPr>
      <w:bookmarkStart w:id="14" w:name="Seif14"/>
      <w:bookmarkEnd w:id="14"/>
      <w:r>
        <w:rPr>
          <w:lang w:val="he-IL"/>
        </w:rPr>
        <w:pict w14:anchorId="45F72269">
          <v:rect id="_x0000_s1040" style="position:absolute;left:0;text-align:left;margin-left:464.5pt;margin-top:8.05pt;width:75.05pt;height:19.85pt;z-index:251662848" o:allowincell="f" filled="f" stroked="f" strokecolor="lime" strokeweight=".25pt">
            <v:textbox inset="0,0,0,0">
              <w:txbxContent>
                <w:p w14:paraId="2E403B9D" w14:textId="77777777" w:rsidR="0065759C" w:rsidRDefault="0065759C">
                  <w:pPr>
                    <w:spacing w:line="160" w:lineRule="exact"/>
                    <w:jc w:val="left"/>
                    <w:rPr>
                      <w:rFonts w:cs="Miriam"/>
                      <w:noProof/>
                      <w:sz w:val="18"/>
                      <w:szCs w:val="18"/>
                      <w:rtl/>
                    </w:rPr>
                  </w:pPr>
                  <w:r>
                    <w:rPr>
                      <w:rFonts w:cs="Miriam"/>
                      <w:sz w:val="18"/>
                      <w:szCs w:val="18"/>
                      <w:rtl/>
                    </w:rPr>
                    <w:t>הד</w:t>
                  </w:r>
                  <w:r>
                    <w:rPr>
                      <w:rFonts w:cs="Miriam" w:hint="cs"/>
                      <w:sz w:val="18"/>
                      <w:szCs w:val="18"/>
                      <w:rtl/>
                    </w:rPr>
                    <w:t>יון מוגבל לנימוקים בכתב</w:t>
                  </w:r>
                </w:p>
              </w:txbxContent>
            </v:textbox>
            <w10:anchorlock/>
          </v:rect>
        </w:pict>
      </w:r>
      <w:r>
        <w:rPr>
          <w:rStyle w:val="big-number"/>
          <w:rFonts w:cs="Miriam"/>
          <w:rtl/>
        </w:rPr>
        <w:t>15.</w:t>
      </w:r>
      <w:r>
        <w:rPr>
          <w:rStyle w:val="big-number"/>
          <w:rFonts w:cs="Miriam"/>
          <w:rtl/>
        </w:rPr>
        <w:tab/>
      </w:r>
      <w:r>
        <w:rPr>
          <w:rStyle w:val="default"/>
          <w:rFonts w:cs="FrankRuehl"/>
          <w:rtl/>
        </w:rPr>
        <w:t>בד</w:t>
      </w:r>
      <w:r>
        <w:rPr>
          <w:rStyle w:val="default"/>
          <w:rFonts w:cs="FrankRuehl" w:hint="cs"/>
          <w:rtl/>
        </w:rPr>
        <w:t>יון בערעור לא ייזקק בית המשפט לכל שאלה שלא הוזכרה בכתב הערעור או לכ</w:t>
      </w:r>
      <w:r>
        <w:rPr>
          <w:rStyle w:val="default"/>
          <w:rFonts w:cs="FrankRuehl"/>
          <w:rtl/>
        </w:rPr>
        <w:t xml:space="preserve">ל </w:t>
      </w:r>
      <w:r>
        <w:rPr>
          <w:rStyle w:val="default"/>
          <w:rFonts w:cs="FrankRuehl" w:hint="cs"/>
          <w:rtl/>
        </w:rPr>
        <w:t>נימוק שלא ה</w:t>
      </w:r>
      <w:r>
        <w:rPr>
          <w:rStyle w:val="default"/>
          <w:rFonts w:cs="FrankRuehl"/>
          <w:rtl/>
        </w:rPr>
        <w:t>ו</w:t>
      </w:r>
      <w:r>
        <w:rPr>
          <w:rStyle w:val="default"/>
          <w:rFonts w:cs="FrankRuehl" w:hint="cs"/>
          <w:rtl/>
        </w:rPr>
        <w:t>זכר בתשובת המשיב, אלא אם כן הוא משוכנע ששמיעת השאלה או הנימוק הנוספים דרושה למען הצדק.</w:t>
      </w:r>
    </w:p>
    <w:p w14:paraId="7D3A41A5" w14:textId="77777777" w:rsidR="0065759C" w:rsidRDefault="0065759C">
      <w:pPr>
        <w:pStyle w:val="P00"/>
        <w:spacing w:before="72"/>
        <w:ind w:left="0" w:right="1134"/>
        <w:rPr>
          <w:rStyle w:val="default"/>
          <w:rFonts w:cs="FrankRuehl"/>
          <w:rtl/>
        </w:rPr>
      </w:pPr>
      <w:bookmarkStart w:id="15" w:name="Seif15"/>
      <w:bookmarkEnd w:id="15"/>
      <w:r>
        <w:rPr>
          <w:lang w:val="he-IL"/>
        </w:rPr>
        <w:pict w14:anchorId="34EFE8DE">
          <v:rect id="_x0000_s1041" style="position:absolute;left:0;text-align:left;margin-left:464.5pt;margin-top:8.05pt;width:75.05pt;height:13.1pt;z-index:251663872" o:allowincell="f" filled="f" stroked="f" strokecolor="lime" strokeweight=".25pt">
            <v:textbox inset="0,0,0,0">
              <w:txbxContent>
                <w:p w14:paraId="1B8EF97C" w14:textId="77777777" w:rsidR="0065759C" w:rsidRDefault="0065759C">
                  <w:pPr>
                    <w:spacing w:line="160" w:lineRule="exact"/>
                    <w:jc w:val="left"/>
                    <w:rPr>
                      <w:rFonts w:cs="Miriam"/>
                      <w:noProof/>
                      <w:sz w:val="18"/>
                      <w:szCs w:val="18"/>
                      <w:rtl/>
                    </w:rPr>
                  </w:pPr>
                  <w:r>
                    <w:rPr>
                      <w:rFonts w:cs="Miriam"/>
                      <w:sz w:val="18"/>
                      <w:szCs w:val="18"/>
                      <w:rtl/>
                    </w:rPr>
                    <w:t>בי</w:t>
                  </w:r>
                  <w:r>
                    <w:rPr>
                      <w:rFonts w:cs="Miriam" w:hint="cs"/>
                      <w:sz w:val="18"/>
                      <w:szCs w:val="18"/>
                      <w:rtl/>
                    </w:rPr>
                    <w:t>טול ערעור</w:t>
                  </w:r>
                </w:p>
              </w:txbxContent>
            </v:textbox>
            <w10:anchorlock/>
          </v:rect>
        </w:pict>
      </w:r>
      <w:r>
        <w:rPr>
          <w:rStyle w:val="big-number"/>
          <w:rFonts w:cs="Miriam"/>
          <w:rtl/>
        </w:rPr>
        <w:t>16.</w:t>
      </w:r>
      <w:r>
        <w:rPr>
          <w:rStyle w:val="big-number"/>
          <w:rFonts w:cs="Miriam"/>
          <w:rtl/>
        </w:rPr>
        <w:tab/>
      </w:r>
      <w:r>
        <w:rPr>
          <w:rStyle w:val="default"/>
          <w:rFonts w:cs="FrankRuehl"/>
          <w:rtl/>
        </w:rPr>
        <w:t>עד</w:t>
      </w:r>
      <w:r>
        <w:rPr>
          <w:rStyle w:val="default"/>
          <w:rFonts w:cs="FrankRuehl" w:hint="cs"/>
          <w:rtl/>
        </w:rPr>
        <w:t xml:space="preserve"> למתן פסק הדין בערעור רשאי המערער לחזור בו מערעורו על ידי מתן הודעה בכתב לבית המשפט ומסירת העתק ממנה למשיב; משעשה כן, בטל הערעור והמערער ישלם למשיב</w:t>
      </w:r>
      <w:r>
        <w:rPr>
          <w:rStyle w:val="default"/>
          <w:rFonts w:cs="FrankRuehl"/>
          <w:rtl/>
        </w:rPr>
        <w:t xml:space="preserve"> על</w:t>
      </w:r>
      <w:r>
        <w:rPr>
          <w:rStyle w:val="default"/>
          <w:rFonts w:cs="FrankRuehl" w:hint="cs"/>
          <w:rtl/>
        </w:rPr>
        <w:t xml:space="preserve"> פי בקשתו את ההוצאות שיקבע בית המשפט.</w:t>
      </w:r>
    </w:p>
    <w:p w14:paraId="3EF56335" w14:textId="77777777" w:rsidR="0065759C" w:rsidRDefault="0065759C">
      <w:pPr>
        <w:pStyle w:val="P00"/>
        <w:spacing w:before="72"/>
        <w:ind w:left="0" w:right="1134"/>
        <w:rPr>
          <w:rStyle w:val="default"/>
          <w:rFonts w:cs="FrankRuehl"/>
          <w:rtl/>
        </w:rPr>
      </w:pPr>
      <w:bookmarkStart w:id="16" w:name="Seif16"/>
      <w:bookmarkEnd w:id="16"/>
      <w:r>
        <w:rPr>
          <w:lang w:val="he-IL"/>
        </w:rPr>
        <w:pict w14:anchorId="72C55480">
          <v:rect id="_x0000_s1042" style="position:absolute;left:0;text-align:left;margin-left:464.5pt;margin-top:8.05pt;width:75.05pt;height:23.2pt;z-index:251664896" o:allowincell="f" filled="f" stroked="f" strokecolor="lime" strokeweight=".25pt">
            <v:textbox inset="0,0,0,0">
              <w:txbxContent>
                <w:p w14:paraId="14B1736C" w14:textId="77777777" w:rsidR="0065759C" w:rsidRDefault="0065759C">
                  <w:pPr>
                    <w:spacing w:line="160" w:lineRule="exact"/>
                    <w:jc w:val="left"/>
                    <w:rPr>
                      <w:rFonts w:cs="Miriam"/>
                      <w:noProof/>
                      <w:sz w:val="18"/>
                      <w:szCs w:val="18"/>
                      <w:rtl/>
                    </w:rPr>
                  </w:pPr>
                  <w:r>
                    <w:rPr>
                      <w:rFonts w:cs="Miriam"/>
                      <w:sz w:val="18"/>
                      <w:szCs w:val="18"/>
                      <w:rtl/>
                    </w:rPr>
                    <w:t>פס</w:t>
                  </w:r>
                  <w:r>
                    <w:rPr>
                      <w:rFonts w:cs="Miriam" w:hint="cs"/>
                      <w:sz w:val="18"/>
                      <w:szCs w:val="18"/>
                      <w:rtl/>
                    </w:rPr>
                    <w:t>ק דין על פי ה</w:t>
                  </w:r>
                  <w:r>
                    <w:rPr>
                      <w:rFonts w:cs="Miriam"/>
                      <w:sz w:val="18"/>
                      <w:szCs w:val="18"/>
                      <w:rtl/>
                    </w:rPr>
                    <w:t>ח</w:t>
                  </w:r>
                  <w:r>
                    <w:rPr>
                      <w:rFonts w:cs="Miriam" w:hint="cs"/>
                      <w:sz w:val="18"/>
                      <w:szCs w:val="18"/>
                      <w:rtl/>
                    </w:rPr>
                    <w:t>ומר שבכתב</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יתר המערער בכתב הערעור והמשיב בתשובתו, אם הוגשה תשובה, על שמיעת טענותיהם, יעביר הרשם לבית המשפט את כתב הערעור עם המצורף אליו ואת התשובה אם הוגשה, ובית המשפט ידון בערעור לפי החומר שבכתב ויתן פסק דין.</w:t>
      </w:r>
    </w:p>
    <w:p w14:paraId="66EBC34A" w14:textId="77777777" w:rsidR="0065759C" w:rsidRDefault="006575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w:t>
      </w:r>
      <w:r>
        <w:rPr>
          <w:rStyle w:val="default"/>
          <w:rFonts w:cs="FrankRuehl"/>
          <w:rtl/>
        </w:rPr>
        <w:t xml:space="preserve"> א</w:t>
      </w:r>
      <w:r>
        <w:rPr>
          <w:rStyle w:val="default"/>
          <w:rFonts w:cs="FrankRuehl" w:hint="cs"/>
          <w:rtl/>
        </w:rPr>
        <w:t>ף האמור בתקנת משנה (א) רשאי בית המשפט להורות לרשם לקבוע מועד לשמיעת הערעור ואז יחולו תקנות אלה כאילו לא ויתרו בעלי הדין על שמיעת טענותיהם.</w:t>
      </w:r>
    </w:p>
    <w:p w14:paraId="7DAFE251" w14:textId="77777777" w:rsidR="0065759C" w:rsidRDefault="0065759C">
      <w:pPr>
        <w:pStyle w:val="P00"/>
        <w:spacing w:before="72"/>
        <w:ind w:left="0" w:right="1134"/>
        <w:rPr>
          <w:rStyle w:val="default"/>
          <w:rFonts w:cs="FrankRuehl"/>
          <w:rtl/>
        </w:rPr>
      </w:pPr>
      <w:bookmarkStart w:id="17" w:name="Seif17"/>
      <w:bookmarkEnd w:id="17"/>
      <w:r>
        <w:rPr>
          <w:lang w:val="he-IL"/>
        </w:rPr>
        <w:pict w14:anchorId="1747BA1F">
          <v:rect id="_x0000_s1043" style="position:absolute;left:0;text-align:left;margin-left:464.5pt;margin-top:8.05pt;width:75.05pt;height:14.85pt;z-index:251665920" o:allowincell="f" filled="f" stroked="f" strokecolor="lime" strokeweight=".25pt">
            <v:textbox inset="0,0,0,0">
              <w:txbxContent>
                <w:p w14:paraId="4B304B04" w14:textId="77777777" w:rsidR="0065759C" w:rsidRDefault="0065759C">
                  <w:pPr>
                    <w:spacing w:line="160" w:lineRule="exact"/>
                    <w:jc w:val="left"/>
                    <w:rPr>
                      <w:rFonts w:cs="Miriam"/>
                      <w:noProof/>
                      <w:sz w:val="18"/>
                      <w:szCs w:val="18"/>
                      <w:rtl/>
                    </w:rPr>
                  </w:pPr>
                  <w:r>
                    <w:rPr>
                      <w:rFonts w:cs="Miriam"/>
                      <w:sz w:val="18"/>
                      <w:szCs w:val="18"/>
                      <w:rtl/>
                    </w:rPr>
                    <w:t>הח</w:t>
                  </w:r>
                  <w:r>
                    <w:rPr>
                      <w:rFonts w:cs="Miriam" w:hint="cs"/>
                      <w:sz w:val="18"/>
                      <w:szCs w:val="18"/>
                      <w:rtl/>
                    </w:rPr>
                    <w:t>לטת בית המשפט</w:t>
                  </w:r>
                </w:p>
              </w:txbxContent>
            </v:textbox>
            <w10:anchorlock/>
          </v:rect>
        </w:pict>
      </w:r>
      <w:r>
        <w:rPr>
          <w:rStyle w:val="big-number"/>
          <w:rFonts w:cs="Miriam"/>
          <w:rtl/>
        </w:rPr>
        <w:t>18.</w:t>
      </w:r>
      <w:r>
        <w:rPr>
          <w:rStyle w:val="big-number"/>
          <w:rFonts w:cs="Miriam"/>
          <w:rtl/>
        </w:rPr>
        <w:tab/>
      </w:r>
      <w:r>
        <w:rPr>
          <w:rStyle w:val="default"/>
          <w:rFonts w:cs="FrankRuehl"/>
          <w:rtl/>
        </w:rPr>
        <w:t>בי</w:t>
      </w:r>
      <w:r>
        <w:rPr>
          <w:rStyle w:val="default"/>
          <w:rFonts w:cs="FrankRuehl" w:hint="cs"/>
          <w:rtl/>
        </w:rPr>
        <w:t>ת המשפט הדן בערעור רשאי לאשר את החלטת הועדה או להחזירה לועדה</w:t>
      </w:r>
      <w:r>
        <w:rPr>
          <w:rStyle w:val="default"/>
          <w:rFonts w:cs="FrankRuehl"/>
          <w:rtl/>
        </w:rPr>
        <w:t xml:space="preserve">, </w:t>
      </w:r>
      <w:r>
        <w:rPr>
          <w:rStyle w:val="default"/>
          <w:rFonts w:cs="FrankRuehl" w:hint="cs"/>
          <w:rtl/>
        </w:rPr>
        <w:t>או להחליט, על סמך העובדות שנקבעו על ידי הועדה,</w:t>
      </w:r>
      <w:r>
        <w:rPr>
          <w:rStyle w:val="default"/>
          <w:rFonts w:cs="FrankRuehl"/>
          <w:rtl/>
        </w:rPr>
        <w:t xml:space="preserve"> ה</w:t>
      </w:r>
      <w:r>
        <w:rPr>
          <w:rStyle w:val="default"/>
          <w:rFonts w:cs="FrankRuehl" w:hint="cs"/>
          <w:rtl/>
        </w:rPr>
        <w:t>חלטה אחרת במקומה.</w:t>
      </w:r>
    </w:p>
    <w:p w14:paraId="5F8A47F7" w14:textId="77777777" w:rsidR="0065759C" w:rsidRDefault="0065759C">
      <w:pPr>
        <w:pStyle w:val="P00"/>
        <w:spacing w:before="72"/>
        <w:ind w:left="0" w:right="1134"/>
        <w:rPr>
          <w:rStyle w:val="default"/>
          <w:rFonts w:cs="FrankRuehl"/>
          <w:rtl/>
        </w:rPr>
      </w:pPr>
      <w:bookmarkStart w:id="18" w:name="Seif18"/>
      <w:bookmarkEnd w:id="18"/>
      <w:r>
        <w:rPr>
          <w:lang w:val="he-IL"/>
        </w:rPr>
        <w:pict w14:anchorId="35BC0869">
          <v:rect id="_x0000_s1044" style="position:absolute;left:0;text-align:left;margin-left:464.5pt;margin-top:8.05pt;width:75.05pt;height:8pt;z-index:251666944" o:allowincell="f" filled="f" stroked="f" strokecolor="lime" strokeweight=".25pt">
            <v:textbox inset="0,0,0,0">
              <w:txbxContent>
                <w:p w14:paraId="123745DB" w14:textId="77777777" w:rsidR="0065759C" w:rsidRDefault="0065759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19.</w:t>
      </w:r>
      <w:r>
        <w:rPr>
          <w:rStyle w:val="big-number"/>
          <w:rFonts w:cs="Miriam"/>
          <w:rtl/>
        </w:rPr>
        <w:tab/>
      </w:r>
      <w:r>
        <w:rPr>
          <w:rStyle w:val="default"/>
          <w:rFonts w:cs="FrankRuehl"/>
          <w:rtl/>
        </w:rPr>
        <w:t>לת</w:t>
      </w:r>
      <w:r>
        <w:rPr>
          <w:rStyle w:val="default"/>
          <w:rFonts w:cs="FrankRuehl" w:hint="cs"/>
          <w:rtl/>
        </w:rPr>
        <w:t>קנות אלה ייקרא "תקנות לטיפול בחולי נפש (ערעור בפני בית המשפט המחוזי), תשי"ז-</w:t>
      </w:r>
      <w:r>
        <w:rPr>
          <w:rStyle w:val="default"/>
          <w:rFonts w:cs="FrankRuehl"/>
          <w:rtl/>
        </w:rPr>
        <w:t>1957".</w:t>
      </w:r>
    </w:p>
    <w:p w14:paraId="56F7C963" w14:textId="77777777" w:rsidR="0065759C" w:rsidRDefault="0065759C">
      <w:pPr>
        <w:pStyle w:val="P00"/>
        <w:spacing w:before="72"/>
        <w:ind w:left="0" w:right="1134"/>
        <w:rPr>
          <w:rStyle w:val="default"/>
          <w:rFonts w:cs="FrankRuehl"/>
          <w:rtl/>
        </w:rPr>
      </w:pPr>
    </w:p>
    <w:p w14:paraId="7AF5C210" w14:textId="77777777" w:rsidR="0065759C" w:rsidRDefault="0065759C">
      <w:pPr>
        <w:pStyle w:val="sig-0"/>
        <w:ind w:left="0" w:right="1134"/>
        <w:rPr>
          <w:rFonts w:cs="FrankRuehl"/>
          <w:sz w:val="26"/>
          <w:rtl/>
        </w:rPr>
      </w:pPr>
      <w:r>
        <w:rPr>
          <w:rFonts w:cs="FrankRuehl"/>
          <w:sz w:val="26"/>
          <w:rtl/>
        </w:rPr>
        <w:t>י"</w:t>
      </w:r>
      <w:r>
        <w:rPr>
          <w:rFonts w:cs="FrankRuehl" w:hint="cs"/>
          <w:sz w:val="26"/>
          <w:rtl/>
        </w:rPr>
        <w:t>ב בסיון תשי"ז (11 ביוני 1957)</w:t>
      </w:r>
      <w:r>
        <w:rPr>
          <w:rFonts w:cs="FrankRuehl"/>
          <w:sz w:val="26"/>
          <w:rtl/>
        </w:rPr>
        <w:tab/>
        <w:t>פ</w:t>
      </w:r>
      <w:r>
        <w:rPr>
          <w:rFonts w:cs="FrankRuehl" w:hint="cs"/>
          <w:sz w:val="26"/>
          <w:rtl/>
        </w:rPr>
        <w:t>נחס רוזן</w:t>
      </w:r>
    </w:p>
    <w:p w14:paraId="4122DD9E" w14:textId="77777777" w:rsidR="0065759C" w:rsidRDefault="0065759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719CCF56" w14:textId="77777777" w:rsidR="0065759C" w:rsidRDefault="0065759C">
      <w:pPr>
        <w:pStyle w:val="P00"/>
        <w:spacing w:before="72"/>
        <w:ind w:left="0" w:right="1134"/>
        <w:rPr>
          <w:rStyle w:val="default"/>
          <w:rFonts w:cs="FrankRuehl" w:hint="cs"/>
          <w:rtl/>
        </w:rPr>
      </w:pPr>
    </w:p>
    <w:p w14:paraId="27CB0763" w14:textId="77777777" w:rsidR="0065759C" w:rsidRDefault="0065759C">
      <w:pPr>
        <w:pStyle w:val="P00"/>
        <w:spacing w:before="72"/>
        <w:ind w:left="0" w:right="1134"/>
        <w:rPr>
          <w:rStyle w:val="default"/>
          <w:rFonts w:cs="FrankRuehl"/>
          <w:rtl/>
        </w:rPr>
      </w:pPr>
    </w:p>
    <w:p w14:paraId="32E71F3B" w14:textId="77777777" w:rsidR="0065759C" w:rsidRDefault="0065759C">
      <w:pPr>
        <w:pStyle w:val="P00"/>
        <w:spacing w:before="72"/>
        <w:ind w:left="0" w:right="1134"/>
        <w:rPr>
          <w:rStyle w:val="default"/>
          <w:rFonts w:cs="FrankRuehl"/>
          <w:rtl/>
        </w:rPr>
      </w:pPr>
      <w:bookmarkStart w:id="19" w:name="LawPartEnd"/>
    </w:p>
    <w:bookmarkEnd w:id="19"/>
    <w:p w14:paraId="67A5F219" w14:textId="77777777" w:rsidR="0065759C" w:rsidRDefault="0065759C">
      <w:pPr>
        <w:pStyle w:val="P00"/>
        <w:spacing w:before="72"/>
        <w:ind w:left="0" w:right="1134"/>
        <w:rPr>
          <w:rStyle w:val="default"/>
          <w:rFonts w:cs="FrankRuehl"/>
          <w:rtl/>
        </w:rPr>
      </w:pPr>
    </w:p>
    <w:sectPr w:rsidR="0065759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90EE" w14:textId="77777777" w:rsidR="002D36C4" w:rsidRDefault="002D36C4">
      <w:pPr>
        <w:spacing w:line="240" w:lineRule="auto"/>
      </w:pPr>
      <w:r>
        <w:separator/>
      </w:r>
    </w:p>
  </w:endnote>
  <w:endnote w:type="continuationSeparator" w:id="0">
    <w:p w14:paraId="7F8A3F75" w14:textId="77777777" w:rsidR="002D36C4" w:rsidRDefault="002D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C20A" w14:textId="77777777" w:rsidR="0065759C" w:rsidRDefault="006575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75FBB6" w14:textId="77777777" w:rsidR="0065759C" w:rsidRDefault="006575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46352F" w14:textId="77777777" w:rsidR="0065759C" w:rsidRDefault="006575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21D9" w14:textId="77777777" w:rsidR="0065759C" w:rsidRDefault="006575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4B54">
      <w:rPr>
        <w:rFonts w:hAnsi="FrankRuehl" w:cs="FrankRuehl"/>
        <w:noProof/>
        <w:sz w:val="24"/>
        <w:szCs w:val="24"/>
        <w:rtl/>
      </w:rPr>
      <w:t>2</w:t>
    </w:r>
    <w:r>
      <w:rPr>
        <w:rFonts w:hAnsi="FrankRuehl" w:cs="FrankRuehl"/>
        <w:sz w:val="24"/>
        <w:szCs w:val="24"/>
        <w:rtl/>
      </w:rPr>
      <w:fldChar w:fldCharType="end"/>
    </w:r>
  </w:p>
  <w:p w14:paraId="549F68A2" w14:textId="77777777" w:rsidR="0065759C" w:rsidRDefault="006575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27DF0C9" w14:textId="77777777" w:rsidR="0065759C" w:rsidRDefault="006575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731F" w14:textId="77777777" w:rsidR="002D36C4" w:rsidRDefault="002D36C4">
      <w:pPr>
        <w:spacing w:before="60" w:line="240" w:lineRule="auto"/>
        <w:ind w:right="1134"/>
      </w:pPr>
      <w:r>
        <w:separator/>
      </w:r>
    </w:p>
  </w:footnote>
  <w:footnote w:type="continuationSeparator" w:id="0">
    <w:p w14:paraId="220F8997" w14:textId="77777777" w:rsidR="002D36C4" w:rsidRDefault="002D36C4">
      <w:pPr>
        <w:spacing w:line="240" w:lineRule="auto"/>
      </w:pPr>
      <w:r>
        <w:continuationSeparator/>
      </w:r>
    </w:p>
  </w:footnote>
  <w:footnote w:id="1">
    <w:p w14:paraId="3A81FBF6" w14:textId="77777777" w:rsidR="0065759C" w:rsidRDefault="006575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תשי"ז מס' 707</w:t>
        </w:r>
      </w:hyperlink>
      <w:r>
        <w:rPr>
          <w:rFonts w:cs="FrankRuehl" w:hint="cs"/>
          <w:rtl/>
        </w:rPr>
        <w:t xml:space="preserve"> מיום 20.6.1957 עמ' 1482.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774D" w14:textId="77777777" w:rsidR="0065759C" w:rsidRDefault="006575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לטיפול בחולי נפש (ערעור בפני בית המשפט המחוזי), תשי"ז–1957</w:t>
    </w:r>
  </w:p>
  <w:p w14:paraId="653087BB" w14:textId="77777777" w:rsidR="0065759C" w:rsidRDefault="006575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D40B12" w14:textId="77777777" w:rsidR="0065759C" w:rsidRDefault="006575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5735" w14:textId="77777777" w:rsidR="0065759C" w:rsidRDefault="006575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לטיפול בחולי נפש (ערעור בפני בית המשפט המחוזי), תשי"ז</w:t>
    </w:r>
    <w:r>
      <w:rPr>
        <w:rFonts w:hAnsi="FrankRuehl" w:cs="FrankRuehl" w:hint="cs"/>
        <w:color w:val="000000"/>
        <w:sz w:val="28"/>
        <w:szCs w:val="28"/>
        <w:rtl/>
      </w:rPr>
      <w:t>-</w:t>
    </w:r>
    <w:r>
      <w:rPr>
        <w:rFonts w:hAnsi="FrankRuehl" w:cs="FrankRuehl"/>
        <w:color w:val="000000"/>
        <w:sz w:val="28"/>
        <w:szCs w:val="28"/>
        <w:rtl/>
      </w:rPr>
      <w:t>1957</w:t>
    </w:r>
  </w:p>
  <w:p w14:paraId="156888DD" w14:textId="77777777" w:rsidR="0065759C" w:rsidRDefault="006575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573C75" w14:textId="77777777" w:rsidR="0065759C" w:rsidRDefault="006575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BC5"/>
    <w:rsid w:val="000E4107"/>
    <w:rsid w:val="0012439C"/>
    <w:rsid w:val="00146BC5"/>
    <w:rsid w:val="001A3761"/>
    <w:rsid w:val="002D36C4"/>
    <w:rsid w:val="0065759C"/>
    <w:rsid w:val="00BA4B54"/>
    <w:rsid w:val="00C274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29F5CB"/>
  <w15:chartTrackingRefBased/>
  <w15:docId w15:val="{8077FD43-87AF-4A21-8FD8-28095EC4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פרק 163</vt:lpstr>
    </vt:vector>
  </TitlesOfParts>
  <Company/>
  <LinksUpToDate>false</LinksUpToDate>
  <CharactersWithSpaces>5960</CharactersWithSpaces>
  <SharedDoc>false</SharedDoc>
  <HLinks>
    <vt:vector size="120" baseType="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2424834</vt:i4>
      </vt:variant>
      <vt:variant>
        <vt:i4>0</vt:i4>
      </vt:variant>
      <vt:variant>
        <vt:i4>0</vt:i4>
      </vt:variant>
      <vt:variant>
        <vt:i4>5</vt:i4>
      </vt:variant>
      <vt:variant>
        <vt:lpwstr>http://www.nevo.co.il/Law_word/law06/TAK-707.pdf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163</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0163</vt:lpwstr>
  </property>
  <property fmtid="{D5CDD505-2E9C-101B-9397-08002B2CF9AE}" pid="3" name="CHNAME">
    <vt:lpwstr>טיפול בחולי נפש</vt:lpwstr>
  </property>
  <property fmtid="{D5CDD505-2E9C-101B-9397-08002B2CF9AE}" pid="4" name="LAWNAME">
    <vt:lpwstr>תקנות לטיפול בחולי נפש (ערעור בפני בית המשפט המחוזי), תשי"ז-1957</vt:lpwstr>
  </property>
  <property fmtid="{D5CDD505-2E9C-101B-9397-08002B2CF9AE}" pid="5" name="LAWNUMBER">
    <vt:lpwstr>0003</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שרותי רווחה</vt:lpwstr>
  </property>
  <property fmtid="{D5CDD505-2E9C-101B-9397-08002B2CF9AE}" pid="9" name="NOSE31">
    <vt:lpwstr>חולי נפש</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שרותי רווחה</vt:lpwstr>
  </property>
  <property fmtid="{D5CDD505-2E9C-101B-9397-08002B2CF9AE}" pid="13" name="NOSE32">
    <vt:lpwstr>חולי נפש</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ערעור על ועדות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לטיפול בחולי נפש</vt:lpwstr>
  </property>
  <property fmtid="{D5CDD505-2E9C-101B-9397-08002B2CF9AE}" pid="48" name="MEKOR_SAIF1">
    <vt:lpwstr>25XבX</vt:lpwstr>
  </property>
  <property fmtid="{D5CDD505-2E9C-101B-9397-08002B2CF9AE}" pid="49" name="MEKOR_NAME2">
    <vt:lpwstr>פקודת בתי המשפט</vt:lpwstr>
  </property>
  <property fmtid="{D5CDD505-2E9C-101B-9397-08002B2CF9AE}" pid="50" name="MEKOR_SAIF2">
    <vt:lpwstr>22X</vt:lpwstr>
  </property>
  <property fmtid="{D5CDD505-2E9C-101B-9397-08002B2CF9AE}" pid="51" name="MEKOR_NAME3">
    <vt:lpwstr>פקודת הרשמים</vt:lpwstr>
  </property>
  <property fmtid="{D5CDD505-2E9C-101B-9397-08002B2CF9AE}" pid="52" name="MEKOR_SAIF3">
    <vt:lpwstr>19X</vt:lpwstr>
  </property>
  <property fmtid="{D5CDD505-2E9C-101B-9397-08002B2CF9AE}" pid="53" name="MEKOR_NAME4">
    <vt:lpwstr>פקודת בתי המשפט (הוראות מעבר)</vt:lpwstr>
  </property>
  <property fmtid="{D5CDD505-2E9C-101B-9397-08002B2CF9AE}" pid="54" name="MEKOR_SAIF4">
    <vt:lpwstr>10XאX</vt:lpwstr>
  </property>
</Properties>
</file>