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8C6E" w14:textId="77777777" w:rsidR="009232A7" w:rsidRDefault="00A5335B" w:rsidP="0099003F">
      <w:pPr>
        <w:pStyle w:val="big-header"/>
        <w:ind w:left="0" w:right="1134"/>
        <w:outlineLvl w:val="0"/>
        <w:rPr>
          <w:rFonts w:cs="FrankRuehl" w:hint="cs"/>
          <w:sz w:val="32"/>
          <w:rtl/>
        </w:rPr>
      </w:pPr>
      <w:r>
        <w:rPr>
          <w:rFonts w:cs="FrankRuehl" w:hint="cs"/>
          <w:sz w:val="32"/>
          <w:rtl/>
        </w:rPr>
        <w:t>תקנות למניעת הסתננות (עבירות ושיפוט) (</w:t>
      </w:r>
      <w:r w:rsidR="0099003F">
        <w:rPr>
          <w:rFonts w:cs="FrankRuehl" w:hint="cs"/>
          <w:sz w:val="32"/>
          <w:rtl/>
        </w:rPr>
        <w:t>נוכחות שוהה במרכז ויציאה ממנו</w:t>
      </w:r>
      <w:r>
        <w:rPr>
          <w:rFonts w:cs="FrankRuehl" w:hint="cs"/>
          <w:sz w:val="32"/>
          <w:rtl/>
        </w:rPr>
        <w:t>) (הוראת שעה)</w:t>
      </w:r>
      <w:r w:rsidR="00C7132A">
        <w:rPr>
          <w:rFonts w:cs="FrankRuehl" w:hint="cs"/>
          <w:sz w:val="32"/>
          <w:rtl/>
        </w:rPr>
        <w:t>, תשע"</w:t>
      </w:r>
      <w:r>
        <w:rPr>
          <w:rFonts w:cs="FrankRuehl" w:hint="cs"/>
          <w:sz w:val="32"/>
          <w:rtl/>
        </w:rPr>
        <w:t>ד</w:t>
      </w:r>
      <w:r w:rsidR="00C7132A">
        <w:rPr>
          <w:rFonts w:cs="FrankRuehl" w:hint="cs"/>
          <w:sz w:val="32"/>
          <w:rtl/>
        </w:rPr>
        <w:t>-2013</w:t>
      </w:r>
    </w:p>
    <w:p w14:paraId="0156430A" w14:textId="77777777" w:rsidR="0094344B" w:rsidRPr="0094344B" w:rsidRDefault="0094344B" w:rsidP="0094344B">
      <w:pPr>
        <w:spacing w:line="320" w:lineRule="auto"/>
        <w:jc w:val="left"/>
        <w:rPr>
          <w:rFonts w:cs="FrankRuehl"/>
          <w:szCs w:val="26"/>
          <w:rtl/>
        </w:rPr>
      </w:pPr>
    </w:p>
    <w:p w14:paraId="65567966" w14:textId="77777777" w:rsidR="0094344B" w:rsidRDefault="0094344B" w:rsidP="0094344B">
      <w:pPr>
        <w:spacing w:line="320" w:lineRule="auto"/>
        <w:jc w:val="left"/>
        <w:rPr>
          <w:rtl/>
        </w:rPr>
      </w:pPr>
    </w:p>
    <w:p w14:paraId="417C22AF" w14:textId="77777777" w:rsidR="0094344B" w:rsidRDefault="0094344B" w:rsidP="0094344B">
      <w:pPr>
        <w:spacing w:line="320" w:lineRule="auto"/>
        <w:jc w:val="left"/>
        <w:rPr>
          <w:rFonts w:cs="Miriam"/>
          <w:szCs w:val="22"/>
          <w:rtl/>
        </w:rPr>
      </w:pPr>
      <w:r w:rsidRPr="0094344B">
        <w:rPr>
          <w:rFonts w:cs="Miriam"/>
          <w:szCs w:val="22"/>
          <w:rtl/>
        </w:rPr>
        <w:t>בטחון</w:t>
      </w:r>
      <w:r w:rsidRPr="0094344B">
        <w:rPr>
          <w:rFonts w:cs="FrankRuehl"/>
          <w:szCs w:val="26"/>
          <w:rtl/>
        </w:rPr>
        <w:t xml:space="preserve"> – כניסה לישראל</w:t>
      </w:r>
    </w:p>
    <w:p w14:paraId="524B76B4" w14:textId="77777777" w:rsidR="00A5335B" w:rsidRPr="0094344B" w:rsidRDefault="0094344B" w:rsidP="0094344B">
      <w:pPr>
        <w:spacing w:line="320" w:lineRule="auto"/>
        <w:jc w:val="left"/>
        <w:rPr>
          <w:rFonts w:cs="Miriam" w:hint="cs"/>
          <w:szCs w:val="22"/>
          <w:rtl/>
        </w:rPr>
      </w:pPr>
      <w:r w:rsidRPr="0094344B">
        <w:rPr>
          <w:rFonts w:cs="Miriam"/>
          <w:szCs w:val="22"/>
          <w:rtl/>
        </w:rPr>
        <w:t>עונשין ומשפט פלילי</w:t>
      </w:r>
      <w:r w:rsidRPr="0094344B">
        <w:rPr>
          <w:rFonts w:cs="FrankRuehl"/>
          <w:szCs w:val="26"/>
          <w:rtl/>
        </w:rPr>
        <w:t xml:space="preserve"> – עבירות – עבירות ביטחוניות</w:t>
      </w:r>
    </w:p>
    <w:p w14:paraId="3415BD25" w14:textId="77777777" w:rsidR="009232A7" w:rsidRDefault="009232A7">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854CA" w:rsidRPr="00C854CA" w14:paraId="6C35EABF" w14:textId="77777777" w:rsidTr="00C854CA">
        <w:tblPrEx>
          <w:tblCellMar>
            <w:top w:w="0" w:type="dxa"/>
            <w:bottom w:w="0" w:type="dxa"/>
          </w:tblCellMar>
        </w:tblPrEx>
        <w:tc>
          <w:tcPr>
            <w:tcW w:w="1247" w:type="dxa"/>
          </w:tcPr>
          <w:p w14:paraId="4106018B" w14:textId="77777777" w:rsidR="00C854CA" w:rsidRPr="00C854CA" w:rsidRDefault="00C854CA" w:rsidP="00C854CA">
            <w:pPr>
              <w:spacing w:line="240" w:lineRule="auto"/>
              <w:jc w:val="left"/>
              <w:rPr>
                <w:rFonts w:cs="Frankruhel" w:hint="cs"/>
                <w:sz w:val="24"/>
                <w:rtl/>
              </w:rPr>
            </w:pPr>
            <w:r>
              <w:rPr>
                <w:sz w:val="24"/>
                <w:rtl/>
              </w:rPr>
              <w:t xml:space="preserve">סעיף 1 </w:t>
            </w:r>
          </w:p>
        </w:tc>
        <w:tc>
          <w:tcPr>
            <w:tcW w:w="5669" w:type="dxa"/>
          </w:tcPr>
          <w:p w14:paraId="1E7607D1" w14:textId="77777777" w:rsidR="00C854CA" w:rsidRPr="00C854CA" w:rsidRDefault="00C854CA" w:rsidP="00C854CA">
            <w:pPr>
              <w:spacing w:line="240" w:lineRule="auto"/>
              <w:jc w:val="left"/>
              <w:rPr>
                <w:rFonts w:cs="Frankruhel" w:hint="cs"/>
                <w:sz w:val="24"/>
                <w:rtl/>
              </w:rPr>
            </w:pPr>
            <w:r>
              <w:rPr>
                <w:sz w:val="24"/>
                <w:rtl/>
              </w:rPr>
              <w:t>יציאה שוהה ממרכז</w:t>
            </w:r>
          </w:p>
        </w:tc>
        <w:tc>
          <w:tcPr>
            <w:tcW w:w="567" w:type="dxa"/>
          </w:tcPr>
          <w:p w14:paraId="311699FE" w14:textId="77777777" w:rsidR="00C854CA" w:rsidRPr="00C854CA" w:rsidRDefault="00C854CA" w:rsidP="00C854CA">
            <w:pPr>
              <w:spacing w:line="240" w:lineRule="auto"/>
              <w:jc w:val="left"/>
              <w:rPr>
                <w:rStyle w:val="Hyperlink"/>
                <w:rFonts w:hint="cs"/>
                <w:rtl/>
              </w:rPr>
            </w:pPr>
            <w:hyperlink w:anchor="Seif6" w:tooltip="יציאה שוהה ממרכז" w:history="1">
              <w:r w:rsidRPr="00C854CA">
                <w:rPr>
                  <w:rStyle w:val="Hyperlink"/>
                </w:rPr>
                <w:t>Go</w:t>
              </w:r>
            </w:hyperlink>
          </w:p>
        </w:tc>
        <w:tc>
          <w:tcPr>
            <w:tcW w:w="850" w:type="dxa"/>
          </w:tcPr>
          <w:p w14:paraId="4B1E8089" w14:textId="77777777" w:rsidR="00C854CA" w:rsidRPr="00C854CA" w:rsidRDefault="00C854CA" w:rsidP="00C854CA">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54CA" w:rsidRPr="00C854CA" w14:paraId="7FF6BA5D" w14:textId="77777777" w:rsidTr="00C854CA">
        <w:tblPrEx>
          <w:tblCellMar>
            <w:top w:w="0" w:type="dxa"/>
            <w:bottom w:w="0" w:type="dxa"/>
          </w:tblCellMar>
        </w:tblPrEx>
        <w:tc>
          <w:tcPr>
            <w:tcW w:w="1247" w:type="dxa"/>
          </w:tcPr>
          <w:p w14:paraId="6B7B9F90" w14:textId="77777777" w:rsidR="00C854CA" w:rsidRPr="00C854CA" w:rsidRDefault="00C854CA" w:rsidP="00C854CA">
            <w:pPr>
              <w:spacing w:line="240" w:lineRule="auto"/>
              <w:jc w:val="left"/>
              <w:rPr>
                <w:rFonts w:cs="Frankruhel" w:hint="cs"/>
                <w:sz w:val="24"/>
                <w:rtl/>
              </w:rPr>
            </w:pPr>
            <w:r>
              <w:rPr>
                <w:sz w:val="24"/>
                <w:rtl/>
              </w:rPr>
              <w:t xml:space="preserve">סעיף 2 </w:t>
            </w:r>
          </w:p>
        </w:tc>
        <w:tc>
          <w:tcPr>
            <w:tcW w:w="5669" w:type="dxa"/>
          </w:tcPr>
          <w:p w14:paraId="00A55306" w14:textId="77777777" w:rsidR="00C854CA" w:rsidRPr="00C854CA" w:rsidRDefault="00C854CA" w:rsidP="00C854CA">
            <w:pPr>
              <w:spacing w:line="240" w:lineRule="auto"/>
              <w:jc w:val="left"/>
              <w:rPr>
                <w:rFonts w:cs="Frankruhel" w:hint="cs"/>
                <w:sz w:val="24"/>
                <w:rtl/>
              </w:rPr>
            </w:pPr>
            <w:r>
              <w:rPr>
                <w:sz w:val="24"/>
                <w:rtl/>
              </w:rPr>
              <w:t>הזדהות בכניסה וביציאה</w:t>
            </w:r>
          </w:p>
        </w:tc>
        <w:tc>
          <w:tcPr>
            <w:tcW w:w="567" w:type="dxa"/>
          </w:tcPr>
          <w:p w14:paraId="616EBC75" w14:textId="77777777" w:rsidR="00C854CA" w:rsidRPr="00C854CA" w:rsidRDefault="00C854CA" w:rsidP="00C854CA">
            <w:pPr>
              <w:spacing w:line="240" w:lineRule="auto"/>
              <w:jc w:val="left"/>
              <w:rPr>
                <w:rStyle w:val="Hyperlink"/>
                <w:rFonts w:hint="cs"/>
                <w:rtl/>
              </w:rPr>
            </w:pPr>
            <w:hyperlink w:anchor="Seif5" w:tooltip="הזדהות בכניסה וביציאה" w:history="1">
              <w:r w:rsidRPr="00C854CA">
                <w:rPr>
                  <w:rStyle w:val="Hyperlink"/>
                </w:rPr>
                <w:t>Go</w:t>
              </w:r>
            </w:hyperlink>
          </w:p>
        </w:tc>
        <w:tc>
          <w:tcPr>
            <w:tcW w:w="850" w:type="dxa"/>
          </w:tcPr>
          <w:p w14:paraId="7040C5F2" w14:textId="77777777" w:rsidR="00C854CA" w:rsidRPr="00C854CA" w:rsidRDefault="00C854CA" w:rsidP="00C854CA">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54CA" w:rsidRPr="00C854CA" w14:paraId="2BB7FB32" w14:textId="77777777" w:rsidTr="00C854CA">
        <w:tblPrEx>
          <w:tblCellMar>
            <w:top w:w="0" w:type="dxa"/>
            <w:bottom w:w="0" w:type="dxa"/>
          </w:tblCellMar>
        </w:tblPrEx>
        <w:tc>
          <w:tcPr>
            <w:tcW w:w="1247" w:type="dxa"/>
          </w:tcPr>
          <w:p w14:paraId="37587FE4" w14:textId="77777777" w:rsidR="00C854CA" w:rsidRPr="00C854CA" w:rsidRDefault="00C854CA" w:rsidP="00C854CA">
            <w:pPr>
              <w:spacing w:line="240" w:lineRule="auto"/>
              <w:jc w:val="left"/>
              <w:rPr>
                <w:rFonts w:cs="Frankruhel" w:hint="cs"/>
                <w:sz w:val="24"/>
                <w:rtl/>
              </w:rPr>
            </w:pPr>
            <w:r>
              <w:rPr>
                <w:sz w:val="24"/>
                <w:rtl/>
              </w:rPr>
              <w:t xml:space="preserve">סעיף 3 </w:t>
            </w:r>
          </w:p>
        </w:tc>
        <w:tc>
          <w:tcPr>
            <w:tcW w:w="5669" w:type="dxa"/>
          </w:tcPr>
          <w:p w14:paraId="592F1C47" w14:textId="77777777" w:rsidR="00C854CA" w:rsidRPr="00C854CA" w:rsidRDefault="00C854CA" w:rsidP="00C854CA">
            <w:pPr>
              <w:spacing w:line="240" w:lineRule="auto"/>
              <w:jc w:val="left"/>
              <w:rPr>
                <w:rFonts w:cs="Frankruhel" w:hint="cs"/>
                <w:sz w:val="24"/>
                <w:rtl/>
              </w:rPr>
            </w:pPr>
            <w:r>
              <w:rPr>
                <w:sz w:val="24"/>
                <w:rtl/>
              </w:rPr>
              <w:t>מועדי התייצבות</w:t>
            </w:r>
          </w:p>
        </w:tc>
        <w:tc>
          <w:tcPr>
            <w:tcW w:w="567" w:type="dxa"/>
          </w:tcPr>
          <w:p w14:paraId="7F5CB072" w14:textId="77777777" w:rsidR="00C854CA" w:rsidRPr="00C854CA" w:rsidRDefault="00C854CA" w:rsidP="00C854CA">
            <w:pPr>
              <w:spacing w:line="240" w:lineRule="auto"/>
              <w:jc w:val="left"/>
              <w:rPr>
                <w:rStyle w:val="Hyperlink"/>
                <w:rFonts w:hint="cs"/>
                <w:rtl/>
              </w:rPr>
            </w:pPr>
            <w:hyperlink w:anchor="Seif1" w:tooltip="מועדי התייצבות" w:history="1">
              <w:r w:rsidRPr="00C854CA">
                <w:rPr>
                  <w:rStyle w:val="Hyperlink"/>
                </w:rPr>
                <w:t>Go</w:t>
              </w:r>
            </w:hyperlink>
          </w:p>
        </w:tc>
        <w:tc>
          <w:tcPr>
            <w:tcW w:w="850" w:type="dxa"/>
          </w:tcPr>
          <w:p w14:paraId="21EA11C2" w14:textId="77777777" w:rsidR="00C854CA" w:rsidRPr="00C854CA" w:rsidRDefault="00C854CA" w:rsidP="00C854CA">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54CA" w:rsidRPr="00C854CA" w14:paraId="1EDBD09B" w14:textId="77777777" w:rsidTr="00C854CA">
        <w:tblPrEx>
          <w:tblCellMar>
            <w:top w:w="0" w:type="dxa"/>
            <w:bottom w:w="0" w:type="dxa"/>
          </w:tblCellMar>
        </w:tblPrEx>
        <w:tc>
          <w:tcPr>
            <w:tcW w:w="1247" w:type="dxa"/>
          </w:tcPr>
          <w:p w14:paraId="4C2C7E16" w14:textId="77777777" w:rsidR="00C854CA" w:rsidRPr="00C854CA" w:rsidRDefault="00C854CA" w:rsidP="00C854CA">
            <w:pPr>
              <w:spacing w:line="240" w:lineRule="auto"/>
              <w:jc w:val="left"/>
              <w:rPr>
                <w:rFonts w:cs="Frankruhel" w:hint="cs"/>
                <w:sz w:val="24"/>
                <w:rtl/>
              </w:rPr>
            </w:pPr>
            <w:r>
              <w:rPr>
                <w:sz w:val="24"/>
                <w:rtl/>
              </w:rPr>
              <w:t xml:space="preserve">סעיף 4 </w:t>
            </w:r>
          </w:p>
        </w:tc>
        <w:tc>
          <w:tcPr>
            <w:tcW w:w="5669" w:type="dxa"/>
          </w:tcPr>
          <w:p w14:paraId="61EDF26C" w14:textId="77777777" w:rsidR="00C854CA" w:rsidRPr="00C854CA" w:rsidRDefault="00C854CA" w:rsidP="00C854CA">
            <w:pPr>
              <w:spacing w:line="240" w:lineRule="auto"/>
              <w:jc w:val="left"/>
              <w:rPr>
                <w:rFonts w:cs="Frankruhel" w:hint="cs"/>
                <w:sz w:val="24"/>
                <w:rtl/>
              </w:rPr>
            </w:pPr>
            <w:r>
              <w:rPr>
                <w:sz w:val="24"/>
                <w:rtl/>
              </w:rPr>
              <w:t>מקום ההתייצבות</w:t>
            </w:r>
          </w:p>
        </w:tc>
        <w:tc>
          <w:tcPr>
            <w:tcW w:w="567" w:type="dxa"/>
          </w:tcPr>
          <w:p w14:paraId="007A10AD" w14:textId="77777777" w:rsidR="00C854CA" w:rsidRPr="00C854CA" w:rsidRDefault="00C854CA" w:rsidP="00C854CA">
            <w:pPr>
              <w:spacing w:line="240" w:lineRule="auto"/>
              <w:jc w:val="left"/>
              <w:rPr>
                <w:rStyle w:val="Hyperlink"/>
                <w:rFonts w:hint="cs"/>
                <w:rtl/>
              </w:rPr>
            </w:pPr>
            <w:hyperlink w:anchor="Seif2" w:tooltip="מקום ההתייצבות" w:history="1">
              <w:r w:rsidRPr="00C854CA">
                <w:rPr>
                  <w:rStyle w:val="Hyperlink"/>
                </w:rPr>
                <w:t>Go</w:t>
              </w:r>
            </w:hyperlink>
          </w:p>
        </w:tc>
        <w:tc>
          <w:tcPr>
            <w:tcW w:w="850" w:type="dxa"/>
          </w:tcPr>
          <w:p w14:paraId="65DE5E7D" w14:textId="77777777" w:rsidR="00C854CA" w:rsidRPr="00C854CA" w:rsidRDefault="00C854CA" w:rsidP="00C854CA">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54CA" w:rsidRPr="00C854CA" w14:paraId="500AECF0" w14:textId="77777777" w:rsidTr="00C854CA">
        <w:tblPrEx>
          <w:tblCellMar>
            <w:top w:w="0" w:type="dxa"/>
            <w:bottom w:w="0" w:type="dxa"/>
          </w:tblCellMar>
        </w:tblPrEx>
        <w:tc>
          <w:tcPr>
            <w:tcW w:w="1247" w:type="dxa"/>
          </w:tcPr>
          <w:p w14:paraId="71DE9E86" w14:textId="77777777" w:rsidR="00C854CA" w:rsidRPr="00C854CA" w:rsidRDefault="00C854CA" w:rsidP="00C854CA">
            <w:pPr>
              <w:spacing w:line="240" w:lineRule="auto"/>
              <w:jc w:val="left"/>
              <w:rPr>
                <w:rFonts w:cs="Frankruhel" w:hint="cs"/>
                <w:sz w:val="24"/>
                <w:rtl/>
              </w:rPr>
            </w:pPr>
            <w:r>
              <w:rPr>
                <w:sz w:val="24"/>
                <w:rtl/>
              </w:rPr>
              <w:t xml:space="preserve">סעיף 5 </w:t>
            </w:r>
          </w:p>
        </w:tc>
        <w:tc>
          <w:tcPr>
            <w:tcW w:w="5669" w:type="dxa"/>
          </w:tcPr>
          <w:p w14:paraId="0474812E" w14:textId="77777777" w:rsidR="00C854CA" w:rsidRPr="00C854CA" w:rsidRDefault="00C854CA" w:rsidP="00C854CA">
            <w:pPr>
              <w:spacing w:line="240" w:lineRule="auto"/>
              <w:jc w:val="left"/>
              <w:rPr>
                <w:rFonts w:cs="Frankruhel" w:hint="cs"/>
                <w:sz w:val="24"/>
                <w:rtl/>
              </w:rPr>
            </w:pPr>
            <w:r>
              <w:rPr>
                <w:sz w:val="24"/>
                <w:rtl/>
              </w:rPr>
              <w:t>הזדהות</w:t>
            </w:r>
          </w:p>
        </w:tc>
        <w:tc>
          <w:tcPr>
            <w:tcW w:w="567" w:type="dxa"/>
          </w:tcPr>
          <w:p w14:paraId="048C76FD" w14:textId="77777777" w:rsidR="00C854CA" w:rsidRPr="00C854CA" w:rsidRDefault="00C854CA" w:rsidP="00C854CA">
            <w:pPr>
              <w:spacing w:line="240" w:lineRule="auto"/>
              <w:jc w:val="left"/>
              <w:rPr>
                <w:rStyle w:val="Hyperlink"/>
                <w:rFonts w:hint="cs"/>
                <w:rtl/>
              </w:rPr>
            </w:pPr>
            <w:hyperlink w:anchor="Seif3" w:tooltip="הזדהות" w:history="1">
              <w:r w:rsidRPr="00C854CA">
                <w:rPr>
                  <w:rStyle w:val="Hyperlink"/>
                </w:rPr>
                <w:t>Go</w:t>
              </w:r>
            </w:hyperlink>
          </w:p>
        </w:tc>
        <w:tc>
          <w:tcPr>
            <w:tcW w:w="850" w:type="dxa"/>
          </w:tcPr>
          <w:p w14:paraId="1BBD8102" w14:textId="77777777" w:rsidR="00C854CA" w:rsidRPr="00C854CA" w:rsidRDefault="00C854CA" w:rsidP="00C854CA">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854CA" w:rsidRPr="00C854CA" w14:paraId="6317D07F" w14:textId="77777777" w:rsidTr="00C854CA">
        <w:tblPrEx>
          <w:tblCellMar>
            <w:top w:w="0" w:type="dxa"/>
            <w:bottom w:w="0" w:type="dxa"/>
          </w:tblCellMar>
        </w:tblPrEx>
        <w:tc>
          <w:tcPr>
            <w:tcW w:w="1247" w:type="dxa"/>
          </w:tcPr>
          <w:p w14:paraId="4E308A67" w14:textId="77777777" w:rsidR="00C854CA" w:rsidRPr="00C854CA" w:rsidRDefault="00C854CA" w:rsidP="00C854CA">
            <w:pPr>
              <w:spacing w:line="240" w:lineRule="auto"/>
              <w:jc w:val="left"/>
              <w:rPr>
                <w:rFonts w:cs="Frankruhel" w:hint="cs"/>
                <w:sz w:val="24"/>
                <w:rtl/>
              </w:rPr>
            </w:pPr>
            <w:r>
              <w:rPr>
                <w:sz w:val="24"/>
                <w:rtl/>
              </w:rPr>
              <w:t xml:space="preserve">סעיף 6 </w:t>
            </w:r>
          </w:p>
        </w:tc>
        <w:tc>
          <w:tcPr>
            <w:tcW w:w="5669" w:type="dxa"/>
          </w:tcPr>
          <w:p w14:paraId="373A7BBE" w14:textId="77777777" w:rsidR="00C854CA" w:rsidRPr="00C854CA" w:rsidRDefault="00C854CA" w:rsidP="00C854CA">
            <w:pPr>
              <w:spacing w:line="240" w:lineRule="auto"/>
              <w:jc w:val="left"/>
              <w:rPr>
                <w:rFonts w:cs="Frankruhel" w:hint="cs"/>
                <w:sz w:val="24"/>
                <w:rtl/>
              </w:rPr>
            </w:pPr>
            <w:r>
              <w:rPr>
                <w:sz w:val="24"/>
                <w:rtl/>
              </w:rPr>
              <w:t>פרסום</w:t>
            </w:r>
          </w:p>
        </w:tc>
        <w:tc>
          <w:tcPr>
            <w:tcW w:w="567" w:type="dxa"/>
          </w:tcPr>
          <w:p w14:paraId="59A9F832" w14:textId="77777777" w:rsidR="00C854CA" w:rsidRPr="00C854CA" w:rsidRDefault="00C854CA" w:rsidP="00C854CA">
            <w:pPr>
              <w:spacing w:line="240" w:lineRule="auto"/>
              <w:jc w:val="left"/>
              <w:rPr>
                <w:rStyle w:val="Hyperlink"/>
                <w:rFonts w:hint="cs"/>
                <w:rtl/>
              </w:rPr>
            </w:pPr>
            <w:hyperlink w:anchor="Seif4" w:tooltip="פרסום" w:history="1">
              <w:r w:rsidRPr="00C854CA">
                <w:rPr>
                  <w:rStyle w:val="Hyperlink"/>
                </w:rPr>
                <w:t>Go</w:t>
              </w:r>
            </w:hyperlink>
          </w:p>
        </w:tc>
        <w:tc>
          <w:tcPr>
            <w:tcW w:w="850" w:type="dxa"/>
          </w:tcPr>
          <w:p w14:paraId="68A37DA3" w14:textId="77777777" w:rsidR="00C854CA" w:rsidRPr="00C854CA" w:rsidRDefault="00C854CA" w:rsidP="00C854CA">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23A682C3" w14:textId="77777777" w:rsidR="00353114" w:rsidRDefault="00353114" w:rsidP="0070274C">
      <w:pPr>
        <w:pStyle w:val="big-header"/>
        <w:ind w:left="0" w:right="1134"/>
        <w:outlineLvl w:val="0"/>
        <w:rPr>
          <w:rFonts w:cs="FrankRuehl" w:hint="cs"/>
          <w:sz w:val="32"/>
          <w:rtl/>
        </w:rPr>
      </w:pPr>
    </w:p>
    <w:p w14:paraId="45F33886" w14:textId="77777777" w:rsidR="009232A7" w:rsidRDefault="00353114" w:rsidP="0099003F">
      <w:pPr>
        <w:pStyle w:val="big-header"/>
        <w:ind w:left="0" w:right="1134"/>
        <w:outlineLvl w:val="0"/>
        <w:rPr>
          <w:rStyle w:val="default"/>
          <w:rFonts w:cs="FrankRuehl" w:hint="cs"/>
          <w:rtl/>
        </w:rPr>
      </w:pPr>
      <w:r>
        <w:rPr>
          <w:rFonts w:cs="FrankRuehl"/>
          <w:sz w:val="32"/>
          <w:rtl/>
        </w:rPr>
        <w:br w:type="page"/>
      </w:r>
      <w:r w:rsidR="00E55554">
        <w:rPr>
          <w:rFonts w:cs="FrankRuehl" w:hint="cs"/>
          <w:sz w:val="32"/>
          <w:rtl/>
        </w:rPr>
        <w:lastRenderedPageBreak/>
        <w:t>תקנות למניעת הסתננות (עבירות ושיפוט) (</w:t>
      </w:r>
      <w:r w:rsidR="0099003F">
        <w:rPr>
          <w:rFonts w:cs="FrankRuehl" w:hint="cs"/>
          <w:sz w:val="32"/>
          <w:rtl/>
        </w:rPr>
        <w:t>נוכחות שוהה במרכז ויציאה ממנו</w:t>
      </w:r>
      <w:r w:rsidR="00E55554">
        <w:rPr>
          <w:rFonts w:cs="FrankRuehl" w:hint="cs"/>
          <w:sz w:val="32"/>
          <w:rtl/>
        </w:rPr>
        <w:t>) (הוראת שעה), תשע"ד-2013</w:t>
      </w:r>
      <w:r w:rsidR="009232A7">
        <w:rPr>
          <w:rStyle w:val="default"/>
          <w:rtl/>
        </w:rPr>
        <w:footnoteReference w:customMarkFollows="1" w:id="1"/>
        <w:t>*</w:t>
      </w:r>
    </w:p>
    <w:p w14:paraId="1ECC43AC" w14:textId="77777777" w:rsidR="002E7A5D" w:rsidRDefault="002E7A5D" w:rsidP="00F0312D">
      <w:pPr>
        <w:pStyle w:val="P00"/>
        <w:spacing w:before="72"/>
        <w:ind w:left="0" w:right="1134"/>
        <w:rPr>
          <w:rStyle w:val="default"/>
          <w:rFonts w:cs="FrankRuehl" w:hint="cs"/>
          <w:rtl/>
        </w:rPr>
      </w:pPr>
      <w:r>
        <w:rPr>
          <w:rStyle w:val="default"/>
          <w:rFonts w:cs="FrankRuehl" w:hint="cs"/>
          <w:rtl/>
        </w:rPr>
        <w:tab/>
        <w:t xml:space="preserve">בתוקף סמכותי לפי סעיף </w:t>
      </w:r>
      <w:r w:rsidR="00E55554">
        <w:rPr>
          <w:rStyle w:val="default"/>
          <w:rFonts w:cs="FrankRuehl" w:hint="cs"/>
          <w:rtl/>
        </w:rPr>
        <w:t>32</w:t>
      </w:r>
      <w:r w:rsidR="00F0312D">
        <w:rPr>
          <w:rStyle w:val="default"/>
          <w:rFonts w:cs="FrankRuehl" w:hint="cs"/>
          <w:rtl/>
        </w:rPr>
        <w:t>ח</w:t>
      </w:r>
      <w:r w:rsidR="00E55554">
        <w:rPr>
          <w:rStyle w:val="default"/>
          <w:rFonts w:cs="FrankRuehl" w:hint="cs"/>
          <w:rtl/>
        </w:rPr>
        <w:t>(</w:t>
      </w:r>
      <w:r w:rsidR="00F0312D">
        <w:rPr>
          <w:rStyle w:val="default"/>
          <w:rFonts w:cs="FrankRuehl" w:hint="cs"/>
          <w:rtl/>
        </w:rPr>
        <w:t>ד</w:t>
      </w:r>
      <w:r w:rsidR="00E55554">
        <w:rPr>
          <w:rStyle w:val="default"/>
          <w:rFonts w:cs="FrankRuehl" w:hint="cs"/>
          <w:rtl/>
        </w:rPr>
        <w:t>)</w:t>
      </w:r>
      <w:r w:rsidR="002F4CED">
        <w:rPr>
          <w:rStyle w:val="default"/>
          <w:rFonts w:cs="FrankRuehl" w:hint="cs"/>
          <w:rtl/>
        </w:rPr>
        <w:t xml:space="preserve"> לחוק למניעת הסתננות (עבירות ושיפוט), התשי"ד-1954</w:t>
      </w:r>
      <w:r>
        <w:rPr>
          <w:rStyle w:val="default"/>
          <w:rFonts w:cs="FrankRuehl" w:hint="cs"/>
          <w:rtl/>
        </w:rPr>
        <w:t xml:space="preserve"> (להלן </w:t>
      </w:r>
      <w:r>
        <w:rPr>
          <w:rStyle w:val="default"/>
          <w:rFonts w:cs="FrankRuehl"/>
          <w:rtl/>
        </w:rPr>
        <w:t>–</w:t>
      </w:r>
      <w:r>
        <w:rPr>
          <w:rStyle w:val="default"/>
          <w:rFonts w:cs="FrankRuehl" w:hint="cs"/>
          <w:rtl/>
        </w:rPr>
        <w:t xml:space="preserve"> החוק), </w:t>
      </w:r>
      <w:r w:rsidR="00F0312D">
        <w:rPr>
          <w:rStyle w:val="default"/>
          <w:rFonts w:cs="FrankRuehl" w:hint="cs"/>
          <w:rtl/>
        </w:rPr>
        <w:t xml:space="preserve">ובהסכמת השר לביטחון הפנים, </w:t>
      </w:r>
      <w:r>
        <w:rPr>
          <w:rStyle w:val="default"/>
          <w:rFonts w:cs="FrankRuehl" w:hint="cs"/>
          <w:rtl/>
        </w:rPr>
        <w:t xml:space="preserve">אני </w:t>
      </w:r>
      <w:r w:rsidR="002F4CED">
        <w:rPr>
          <w:rStyle w:val="default"/>
          <w:rFonts w:cs="FrankRuehl" w:hint="cs"/>
          <w:rtl/>
        </w:rPr>
        <w:t>מתקין תקנות אלה</w:t>
      </w:r>
      <w:r>
        <w:rPr>
          <w:rStyle w:val="default"/>
          <w:rFonts w:cs="FrankRuehl" w:hint="cs"/>
          <w:rtl/>
        </w:rPr>
        <w:t>:</w:t>
      </w:r>
    </w:p>
    <w:p w14:paraId="1D4CF2E8" w14:textId="77777777" w:rsidR="00E55554" w:rsidRDefault="009232A7" w:rsidP="00F0312D">
      <w:pPr>
        <w:pStyle w:val="P00"/>
        <w:spacing w:before="72"/>
        <w:ind w:left="0" w:right="1134"/>
        <w:rPr>
          <w:rStyle w:val="default"/>
          <w:rFonts w:cs="FrankRuehl" w:hint="cs"/>
          <w:rtl/>
        </w:rPr>
      </w:pPr>
      <w:bookmarkStart w:id="0" w:name="Seif6"/>
      <w:bookmarkEnd w:id="0"/>
      <w:r>
        <w:rPr>
          <w:lang w:val="he-IL"/>
        </w:rPr>
        <w:pict w14:anchorId="551FD81A">
          <v:rect id="_x0000_s1026" style="position:absolute;left:0;text-align:left;margin-left:464.5pt;margin-top:8.05pt;width:75.05pt;height:10pt;z-index:251660288" o:allowincell="f" filled="f" stroked="f" strokecolor="lime" strokeweight=".25pt">
            <v:textbox inset="0,0,0,0">
              <w:txbxContent>
                <w:p w14:paraId="319748D1" w14:textId="77777777" w:rsidR="00DD06A6" w:rsidRDefault="00F0312D">
                  <w:pPr>
                    <w:spacing w:line="160" w:lineRule="exact"/>
                    <w:jc w:val="left"/>
                    <w:rPr>
                      <w:rFonts w:cs="Miriam" w:hint="cs"/>
                      <w:noProof/>
                      <w:sz w:val="18"/>
                      <w:szCs w:val="18"/>
                      <w:rtl/>
                    </w:rPr>
                  </w:pPr>
                  <w:r>
                    <w:rPr>
                      <w:rFonts w:cs="Miriam" w:hint="cs"/>
                      <w:sz w:val="18"/>
                      <w:szCs w:val="18"/>
                      <w:rtl/>
                    </w:rPr>
                    <w:t>יציאה שוהה ממרכז</w:t>
                  </w:r>
                </w:p>
              </w:txbxContent>
            </v:textbox>
            <w10:anchorlock/>
          </v:rect>
        </w:pict>
      </w:r>
      <w:r>
        <w:rPr>
          <w:rStyle w:val="big-number"/>
          <w:rFonts w:cs="Miriam"/>
          <w:rtl/>
        </w:rPr>
        <w:t>1</w:t>
      </w:r>
      <w:r w:rsidRPr="00C7132A">
        <w:rPr>
          <w:rStyle w:val="default"/>
          <w:rFonts w:cs="FrankRuehl"/>
          <w:rtl/>
        </w:rPr>
        <w:t>.</w:t>
      </w:r>
      <w:r w:rsidRPr="00C7132A">
        <w:rPr>
          <w:rStyle w:val="default"/>
          <w:rFonts w:cs="FrankRuehl"/>
          <w:rtl/>
        </w:rPr>
        <w:tab/>
      </w:r>
      <w:r w:rsidR="00F0312D">
        <w:rPr>
          <w:rStyle w:val="default"/>
          <w:rFonts w:cs="FrankRuehl" w:hint="cs"/>
          <w:rtl/>
        </w:rPr>
        <w:t>שוהה רשאי לצאת ממרכז שהייה בכל עת שבה המרכז פתוח.</w:t>
      </w:r>
    </w:p>
    <w:p w14:paraId="2C0F6475" w14:textId="77777777" w:rsidR="009232A7" w:rsidRDefault="009232A7" w:rsidP="00F0312D">
      <w:pPr>
        <w:pStyle w:val="P00"/>
        <w:spacing w:before="72"/>
        <w:ind w:left="0" w:right="1134"/>
        <w:rPr>
          <w:rStyle w:val="default"/>
          <w:rFonts w:cs="FrankRuehl" w:hint="cs"/>
          <w:rtl/>
        </w:rPr>
      </w:pPr>
      <w:bookmarkStart w:id="1" w:name="Seif5"/>
      <w:bookmarkEnd w:id="1"/>
      <w:r>
        <w:rPr>
          <w:lang w:val="he-IL"/>
        </w:rPr>
        <w:pict w14:anchorId="41B249CB">
          <v:rect id="_x0000_s1028" style="position:absolute;left:0;text-align:left;margin-left:464.5pt;margin-top:8.05pt;width:75.05pt;height:22.85pt;z-index:251659264" o:allowincell="f" filled="f" stroked="f" strokecolor="lime" strokeweight=".25pt">
            <v:textbox inset="0,0,0,0">
              <w:txbxContent>
                <w:p w14:paraId="39633A20" w14:textId="77777777" w:rsidR="00DD06A6" w:rsidRDefault="00F0312D">
                  <w:pPr>
                    <w:spacing w:line="160" w:lineRule="exact"/>
                    <w:jc w:val="left"/>
                    <w:rPr>
                      <w:rFonts w:cs="Miriam" w:hint="cs"/>
                      <w:noProof/>
                      <w:sz w:val="18"/>
                      <w:szCs w:val="18"/>
                      <w:rtl/>
                    </w:rPr>
                  </w:pPr>
                  <w:r>
                    <w:rPr>
                      <w:rFonts w:cs="Miriam" w:hint="cs"/>
                      <w:sz w:val="18"/>
                      <w:szCs w:val="18"/>
                      <w:rtl/>
                    </w:rPr>
                    <w:t>הזדהות בכניסה וביציאה</w:t>
                  </w:r>
                </w:p>
              </w:txbxContent>
            </v:textbox>
            <w10:anchorlock/>
          </v:rect>
        </w:pict>
      </w:r>
      <w:r>
        <w:rPr>
          <w:rStyle w:val="big-number"/>
          <w:rFonts w:cs="Miriam"/>
          <w:rtl/>
        </w:rPr>
        <w:t>2</w:t>
      </w:r>
      <w:r w:rsidRPr="00C7132A">
        <w:rPr>
          <w:rStyle w:val="default"/>
          <w:rFonts w:cs="FrankRuehl"/>
          <w:rtl/>
        </w:rPr>
        <w:t>.</w:t>
      </w:r>
      <w:r w:rsidRPr="00C7132A">
        <w:rPr>
          <w:rStyle w:val="default"/>
          <w:rFonts w:cs="FrankRuehl"/>
          <w:rtl/>
        </w:rPr>
        <w:tab/>
      </w:r>
      <w:r w:rsidR="00F0312D">
        <w:rPr>
          <w:rStyle w:val="default"/>
          <w:rFonts w:cs="FrankRuehl" w:hint="cs"/>
          <w:rtl/>
        </w:rPr>
        <w:t>שוהה במרכז שהייה היוצא מן המרכז או נכנס אליו יזדהה לפני עובד המרכז</w:t>
      </w:r>
      <w:r w:rsidR="00E55554">
        <w:rPr>
          <w:rStyle w:val="default"/>
          <w:rFonts w:cs="FrankRuehl" w:hint="cs"/>
          <w:rtl/>
        </w:rPr>
        <w:t>.</w:t>
      </w:r>
    </w:p>
    <w:p w14:paraId="658D9C7E" w14:textId="77777777" w:rsidR="009232A7" w:rsidRDefault="009232A7" w:rsidP="00F0312D">
      <w:pPr>
        <w:pStyle w:val="P00"/>
        <w:spacing w:before="72"/>
        <w:ind w:left="0" w:right="1134"/>
        <w:rPr>
          <w:rStyle w:val="default"/>
          <w:rFonts w:cs="FrankRuehl" w:hint="cs"/>
          <w:rtl/>
        </w:rPr>
      </w:pPr>
      <w:bookmarkStart w:id="2" w:name="Seif1"/>
      <w:bookmarkEnd w:id="2"/>
      <w:r>
        <w:rPr>
          <w:lang w:val="he-IL"/>
        </w:rPr>
        <w:pict w14:anchorId="6FC5BD3F">
          <v:rect id="_x0000_s1029" style="position:absolute;left:0;text-align:left;margin-left:464.5pt;margin-top:8.05pt;width:75.05pt;height:12.9pt;z-index:251655168" o:allowincell="f" filled="f" stroked="f" strokecolor="lime" strokeweight=".25pt">
            <v:textbox inset="0,0,0,0">
              <w:txbxContent>
                <w:p w14:paraId="24DA2C40" w14:textId="77777777" w:rsidR="00DD06A6" w:rsidRDefault="00F0312D">
                  <w:pPr>
                    <w:spacing w:line="160" w:lineRule="exact"/>
                    <w:jc w:val="left"/>
                    <w:rPr>
                      <w:rFonts w:cs="Miriam" w:hint="cs"/>
                      <w:noProof/>
                      <w:sz w:val="18"/>
                      <w:szCs w:val="18"/>
                      <w:rtl/>
                    </w:rPr>
                  </w:pPr>
                  <w:r>
                    <w:rPr>
                      <w:rFonts w:cs="Miriam" w:hint="cs"/>
                      <w:sz w:val="18"/>
                      <w:szCs w:val="18"/>
                      <w:rtl/>
                    </w:rPr>
                    <w:t>מועדי התייצבות</w:t>
                  </w:r>
                </w:p>
              </w:txbxContent>
            </v:textbox>
            <w10:anchorlock/>
          </v:rect>
        </w:pict>
      </w:r>
      <w:r>
        <w:rPr>
          <w:rStyle w:val="big-number"/>
          <w:rFonts w:cs="Miriam"/>
          <w:rtl/>
        </w:rPr>
        <w:t>3</w:t>
      </w:r>
      <w:r w:rsidRPr="00C7132A">
        <w:rPr>
          <w:rStyle w:val="default"/>
          <w:rFonts w:cs="FrankRuehl"/>
          <w:rtl/>
        </w:rPr>
        <w:t>.</w:t>
      </w:r>
      <w:r w:rsidRPr="00C7132A">
        <w:rPr>
          <w:rStyle w:val="default"/>
          <w:rFonts w:cs="FrankRuehl"/>
          <w:rtl/>
        </w:rPr>
        <w:tab/>
      </w:r>
      <w:r w:rsidR="00F0312D">
        <w:rPr>
          <w:rStyle w:val="default"/>
          <w:rFonts w:cs="FrankRuehl" w:hint="cs"/>
          <w:rtl/>
        </w:rPr>
        <w:t xml:space="preserve">אלה שלושת המועדים שבהם שוהה יתייצב במרכז בכל יום לפי סעיף 32ח(א) לחוק (להלן </w:t>
      </w:r>
      <w:r w:rsidR="00F0312D">
        <w:rPr>
          <w:rStyle w:val="default"/>
          <w:rFonts w:cs="FrankRuehl"/>
          <w:rtl/>
        </w:rPr>
        <w:t>–</w:t>
      </w:r>
      <w:r w:rsidR="00F0312D">
        <w:rPr>
          <w:rStyle w:val="default"/>
          <w:rFonts w:cs="FrankRuehl" w:hint="cs"/>
          <w:rtl/>
        </w:rPr>
        <w:t xml:space="preserve"> התייצבות):</w:t>
      </w:r>
    </w:p>
    <w:p w14:paraId="04B96C43" w14:textId="77777777" w:rsidR="00F0312D" w:rsidRDefault="00F0312D" w:rsidP="00F0312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בין השעות 6:00 ל-7:30;</w:t>
      </w:r>
    </w:p>
    <w:p w14:paraId="587AFBB0" w14:textId="77777777" w:rsidR="00F0312D" w:rsidRDefault="00F0312D" w:rsidP="00F0312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בין השעות 13:00 ל-14:30;</w:t>
      </w:r>
    </w:p>
    <w:p w14:paraId="0116755E" w14:textId="77777777" w:rsidR="00F0312D" w:rsidRDefault="00F0312D" w:rsidP="00F0312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בין השעות 20:30 ל-22:00.</w:t>
      </w:r>
    </w:p>
    <w:p w14:paraId="55A1563D" w14:textId="77777777" w:rsidR="009232A7" w:rsidRDefault="009232A7" w:rsidP="00F0312D">
      <w:pPr>
        <w:pStyle w:val="P00"/>
        <w:spacing w:before="72"/>
        <w:ind w:left="0" w:right="1134"/>
        <w:rPr>
          <w:rStyle w:val="default"/>
          <w:rFonts w:cs="FrankRuehl" w:hint="cs"/>
          <w:rtl/>
        </w:rPr>
      </w:pPr>
      <w:bookmarkStart w:id="3" w:name="Seif2"/>
      <w:bookmarkEnd w:id="3"/>
      <w:r>
        <w:rPr>
          <w:lang w:val="he-IL"/>
        </w:rPr>
        <w:pict w14:anchorId="0FFA0530">
          <v:rect id="_x0000_s1030" style="position:absolute;left:0;text-align:left;margin-left:464.5pt;margin-top:8.05pt;width:75.05pt;height:11.8pt;z-index:251656192" o:allowincell="f" filled="f" stroked="f" strokecolor="lime" strokeweight=".25pt">
            <v:textbox inset="0,0,0,0">
              <w:txbxContent>
                <w:p w14:paraId="1A5EB8B5" w14:textId="77777777" w:rsidR="00DD06A6" w:rsidRDefault="00F0312D">
                  <w:pPr>
                    <w:spacing w:line="160" w:lineRule="exact"/>
                    <w:jc w:val="left"/>
                    <w:rPr>
                      <w:rFonts w:cs="Miriam" w:hint="cs"/>
                      <w:noProof/>
                      <w:sz w:val="18"/>
                      <w:szCs w:val="18"/>
                      <w:rtl/>
                    </w:rPr>
                  </w:pPr>
                  <w:r>
                    <w:rPr>
                      <w:rFonts w:cs="Miriam" w:hint="cs"/>
                      <w:sz w:val="18"/>
                      <w:szCs w:val="18"/>
                      <w:rtl/>
                    </w:rPr>
                    <w:t>מקום ההתייצבות</w:t>
                  </w:r>
                </w:p>
              </w:txbxContent>
            </v:textbox>
            <w10:anchorlock/>
          </v:rect>
        </w:pict>
      </w:r>
      <w:r>
        <w:rPr>
          <w:rStyle w:val="big-number"/>
          <w:rFonts w:cs="Miriam"/>
          <w:rtl/>
        </w:rPr>
        <w:t>4</w:t>
      </w:r>
      <w:r w:rsidRPr="00C7132A">
        <w:rPr>
          <w:rStyle w:val="default"/>
          <w:rFonts w:cs="FrankRuehl"/>
          <w:rtl/>
        </w:rPr>
        <w:t>.</w:t>
      </w:r>
      <w:r w:rsidRPr="00C7132A">
        <w:rPr>
          <w:rStyle w:val="default"/>
          <w:rFonts w:cs="FrankRuehl"/>
          <w:rtl/>
        </w:rPr>
        <w:tab/>
      </w:r>
      <w:r w:rsidR="00F0312D">
        <w:rPr>
          <w:rStyle w:val="default"/>
          <w:rFonts w:cs="FrankRuehl" w:hint="cs"/>
          <w:rtl/>
        </w:rPr>
        <w:t>ההתייצבות תהיה במקום שמנהל מרכז שהייה הקצה לצורך זה.</w:t>
      </w:r>
    </w:p>
    <w:p w14:paraId="297639C1" w14:textId="77777777" w:rsidR="009232A7" w:rsidRDefault="009232A7" w:rsidP="00F0312D">
      <w:pPr>
        <w:pStyle w:val="P00"/>
        <w:spacing w:before="72"/>
        <w:ind w:left="0" w:right="1134"/>
        <w:rPr>
          <w:rStyle w:val="default"/>
          <w:rFonts w:cs="FrankRuehl" w:hint="cs"/>
          <w:rtl/>
        </w:rPr>
      </w:pPr>
      <w:bookmarkStart w:id="4" w:name="Seif3"/>
      <w:bookmarkEnd w:id="4"/>
      <w:r>
        <w:rPr>
          <w:lang w:val="he-IL"/>
        </w:rPr>
        <w:pict w14:anchorId="05A5BA1D">
          <v:rect id="_x0000_s1031" style="position:absolute;left:0;text-align:left;margin-left:464.5pt;margin-top:8.05pt;width:75.05pt;height:13.05pt;z-index:251657216" o:allowincell="f" filled="f" stroked="f" strokecolor="lime" strokeweight=".25pt">
            <v:textbox inset="0,0,0,0">
              <w:txbxContent>
                <w:p w14:paraId="4BF349A8" w14:textId="77777777" w:rsidR="00DD06A6" w:rsidRDefault="00F0312D">
                  <w:pPr>
                    <w:spacing w:line="160" w:lineRule="exact"/>
                    <w:jc w:val="left"/>
                    <w:rPr>
                      <w:rFonts w:cs="Miriam" w:hint="cs"/>
                      <w:noProof/>
                      <w:sz w:val="18"/>
                      <w:szCs w:val="18"/>
                      <w:rtl/>
                    </w:rPr>
                  </w:pPr>
                  <w:r>
                    <w:rPr>
                      <w:rFonts w:cs="Miriam" w:hint="cs"/>
                      <w:sz w:val="18"/>
                      <w:szCs w:val="18"/>
                      <w:rtl/>
                    </w:rPr>
                    <w:t>הזדהות</w:t>
                  </w:r>
                </w:p>
              </w:txbxContent>
            </v:textbox>
            <w10:anchorlock/>
          </v:rect>
        </w:pict>
      </w:r>
      <w:r>
        <w:rPr>
          <w:rStyle w:val="big-number"/>
          <w:rFonts w:cs="Miriam"/>
          <w:rtl/>
        </w:rPr>
        <w:t>5</w:t>
      </w:r>
      <w:r w:rsidRPr="00C7132A">
        <w:rPr>
          <w:rStyle w:val="default"/>
          <w:rFonts w:cs="FrankRuehl"/>
          <w:rtl/>
        </w:rPr>
        <w:t>.</w:t>
      </w:r>
      <w:r w:rsidRPr="00C7132A">
        <w:rPr>
          <w:rStyle w:val="default"/>
          <w:rFonts w:cs="FrankRuehl"/>
          <w:rtl/>
        </w:rPr>
        <w:tab/>
      </w:r>
      <w:r w:rsidR="00F0312D">
        <w:rPr>
          <w:rStyle w:val="default"/>
          <w:rFonts w:cs="FrankRuehl" w:hint="cs"/>
          <w:rtl/>
        </w:rPr>
        <w:t>שוהה יזדהה במרכז במהלך ההתייצבות, לשביעות רצונו של עובד המרכז או הממונה על ביקורת הגבולות, לפי העניין, ובלבד שהשתכנע באופן מספק בדבר זהותו של השוהה</w:t>
      </w:r>
      <w:r w:rsidR="005971E2">
        <w:rPr>
          <w:rStyle w:val="default"/>
          <w:rFonts w:cs="FrankRuehl" w:hint="cs"/>
          <w:rtl/>
        </w:rPr>
        <w:t>.</w:t>
      </w:r>
    </w:p>
    <w:p w14:paraId="37926D04" w14:textId="77777777" w:rsidR="009232A7" w:rsidRDefault="009232A7" w:rsidP="00F0312D">
      <w:pPr>
        <w:pStyle w:val="P00"/>
        <w:spacing w:before="72"/>
        <w:ind w:left="0" w:right="1134"/>
        <w:rPr>
          <w:rStyle w:val="default"/>
          <w:rFonts w:cs="FrankRuehl" w:hint="cs"/>
          <w:rtl/>
        </w:rPr>
      </w:pPr>
      <w:bookmarkStart w:id="5" w:name="Seif4"/>
      <w:bookmarkEnd w:id="5"/>
      <w:r>
        <w:rPr>
          <w:lang w:val="he-IL"/>
        </w:rPr>
        <w:pict w14:anchorId="41E19C70">
          <v:rect id="_x0000_s1032" style="position:absolute;left:0;text-align:left;margin-left:464.5pt;margin-top:8.05pt;width:75.05pt;height:16pt;z-index:251658240" o:allowincell="f" filled="f" stroked="f" strokecolor="lime" strokeweight=".25pt">
            <v:textbox inset="0,0,0,0">
              <w:txbxContent>
                <w:p w14:paraId="5463E952" w14:textId="77777777" w:rsidR="00DD06A6" w:rsidRDefault="00F0312D">
                  <w:pPr>
                    <w:spacing w:line="160" w:lineRule="exact"/>
                    <w:jc w:val="left"/>
                    <w:rPr>
                      <w:rFonts w:cs="Miriam" w:hint="cs"/>
                      <w:noProof/>
                      <w:sz w:val="18"/>
                      <w:szCs w:val="18"/>
                      <w:rtl/>
                    </w:rPr>
                  </w:pPr>
                  <w:r>
                    <w:rPr>
                      <w:rFonts w:cs="Miriam" w:hint="cs"/>
                      <w:sz w:val="18"/>
                      <w:szCs w:val="18"/>
                      <w:rtl/>
                    </w:rPr>
                    <w:t>פרסום</w:t>
                  </w:r>
                </w:p>
              </w:txbxContent>
            </v:textbox>
            <w10:anchorlock/>
          </v:rect>
        </w:pict>
      </w:r>
      <w:r>
        <w:rPr>
          <w:rStyle w:val="big-number"/>
          <w:rFonts w:cs="Miriam"/>
          <w:rtl/>
        </w:rPr>
        <w:t>6</w:t>
      </w:r>
      <w:r w:rsidRPr="00C7132A">
        <w:rPr>
          <w:rStyle w:val="default"/>
          <w:rFonts w:cs="FrankRuehl"/>
          <w:rtl/>
        </w:rPr>
        <w:t>.</w:t>
      </w:r>
      <w:r w:rsidRPr="00C7132A">
        <w:rPr>
          <w:rStyle w:val="default"/>
          <w:rFonts w:cs="FrankRuehl"/>
          <w:rtl/>
        </w:rPr>
        <w:tab/>
      </w:r>
      <w:r w:rsidR="00F0312D">
        <w:rPr>
          <w:rStyle w:val="default"/>
          <w:rFonts w:cs="FrankRuehl" w:hint="cs"/>
          <w:rtl/>
        </w:rPr>
        <w:t>הודעה על חובת ההזדהות ביציאה מן המרכז ובכניסה אליו, חובת ההתייצבות, מועדי חובת ההתייצבות ומקום ההתייצבות תפורסם במקום בולט לעין במרכז שהייה ותתורגם לשפות העיקריות של השוהים במרכז ובכלל זה אנגלית</w:t>
      </w:r>
      <w:r w:rsidR="003B2BFC">
        <w:rPr>
          <w:rStyle w:val="default"/>
          <w:rFonts w:cs="FrankRuehl" w:hint="cs"/>
          <w:rtl/>
        </w:rPr>
        <w:t>.</w:t>
      </w:r>
    </w:p>
    <w:p w14:paraId="076D0C5F" w14:textId="77777777" w:rsidR="00E55554" w:rsidRDefault="00E55554">
      <w:pPr>
        <w:pStyle w:val="P00"/>
        <w:spacing w:before="72"/>
        <w:ind w:left="0" w:right="1134"/>
        <w:rPr>
          <w:rStyle w:val="default"/>
          <w:rFonts w:cs="FrankRuehl" w:hint="cs"/>
          <w:rtl/>
        </w:rPr>
      </w:pPr>
    </w:p>
    <w:p w14:paraId="7D804AC9" w14:textId="77777777" w:rsidR="009232A7" w:rsidRDefault="009232A7">
      <w:pPr>
        <w:pStyle w:val="P00"/>
        <w:spacing w:before="72"/>
        <w:ind w:left="0" w:right="1134"/>
        <w:rPr>
          <w:rStyle w:val="default"/>
          <w:rFonts w:cs="FrankRuehl"/>
          <w:rtl/>
        </w:rPr>
      </w:pPr>
    </w:p>
    <w:p w14:paraId="3DC1FCA7" w14:textId="77777777" w:rsidR="009232A7" w:rsidRDefault="00E55554" w:rsidP="00847163">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ח' בטבת התשע"ד (11 בדצמבר</w:t>
      </w:r>
      <w:r w:rsidR="00656381">
        <w:rPr>
          <w:rFonts w:cs="FrankRuehl" w:hint="cs"/>
          <w:sz w:val="26"/>
          <w:szCs w:val="26"/>
          <w:rtl/>
        </w:rPr>
        <w:t xml:space="preserve"> 2013)</w:t>
      </w:r>
      <w:r w:rsidR="009232A7">
        <w:rPr>
          <w:rFonts w:cs="FrankRuehl"/>
          <w:sz w:val="26"/>
          <w:szCs w:val="26"/>
          <w:rtl/>
        </w:rPr>
        <w:tab/>
      </w:r>
      <w:r w:rsidR="00847163">
        <w:rPr>
          <w:rFonts w:cs="FrankRuehl" w:hint="cs"/>
          <w:sz w:val="26"/>
          <w:szCs w:val="26"/>
          <w:rtl/>
        </w:rPr>
        <w:t>גדעון סער</w:t>
      </w:r>
    </w:p>
    <w:p w14:paraId="5606616B" w14:textId="77777777" w:rsidR="009232A7" w:rsidRDefault="00656381" w:rsidP="00847163">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E00211">
        <w:rPr>
          <w:rFonts w:cs="FrankRuehl" w:hint="cs"/>
          <w:sz w:val="22"/>
          <w:rtl/>
        </w:rPr>
        <w:t xml:space="preserve">שר </w:t>
      </w:r>
      <w:r w:rsidR="00847163">
        <w:rPr>
          <w:rFonts w:cs="FrankRuehl" w:hint="cs"/>
          <w:sz w:val="22"/>
          <w:rtl/>
        </w:rPr>
        <w:t>הפנים</w:t>
      </w:r>
    </w:p>
    <w:p w14:paraId="4DD41C0A" w14:textId="77777777" w:rsidR="00F0312D" w:rsidRDefault="00F0312D" w:rsidP="00B441DA">
      <w:pPr>
        <w:pStyle w:val="P00"/>
        <w:spacing w:before="72"/>
        <w:ind w:left="0" w:right="1134"/>
        <w:rPr>
          <w:rStyle w:val="default"/>
          <w:rFonts w:cs="FrankRuehl" w:hint="cs"/>
          <w:rtl/>
        </w:rPr>
      </w:pPr>
    </w:p>
    <w:p w14:paraId="5D448120" w14:textId="77777777" w:rsidR="00C7132A" w:rsidRPr="00B441DA" w:rsidRDefault="00C7132A" w:rsidP="00B441DA">
      <w:pPr>
        <w:pStyle w:val="P00"/>
        <w:spacing w:before="72"/>
        <w:ind w:left="0" w:right="1134"/>
        <w:rPr>
          <w:rStyle w:val="default"/>
          <w:rFonts w:cs="FrankRuehl" w:hint="cs"/>
          <w:rtl/>
        </w:rPr>
      </w:pPr>
    </w:p>
    <w:p w14:paraId="281A8C22" w14:textId="77777777" w:rsidR="009232A7" w:rsidRPr="00B441DA" w:rsidRDefault="009232A7" w:rsidP="00B441DA">
      <w:pPr>
        <w:pStyle w:val="P00"/>
        <w:spacing w:before="72"/>
        <w:ind w:left="0" w:right="1134"/>
        <w:rPr>
          <w:rStyle w:val="default"/>
          <w:rFonts w:cs="FrankRuehl" w:hint="cs"/>
          <w:rtl/>
        </w:rPr>
      </w:pPr>
      <w:bookmarkStart w:id="6" w:name="LawPartEnd"/>
      <w:bookmarkEnd w:id="6"/>
    </w:p>
    <w:p w14:paraId="1D7EB039" w14:textId="77777777" w:rsidR="00C854CA" w:rsidRDefault="00C854CA" w:rsidP="00B441DA">
      <w:pPr>
        <w:pStyle w:val="P00"/>
        <w:spacing w:before="72"/>
        <w:ind w:left="0" w:right="1134"/>
        <w:rPr>
          <w:rStyle w:val="default"/>
          <w:rFonts w:cs="FrankRuehl"/>
          <w:rtl/>
        </w:rPr>
      </w:pPr>
    </w:p>
    <w:p w14:paraId="203B3335" w14:textId="77777777" w:rsidR="00C854CA" w:rsidRDefault="00C854CA" w:rsidP="00B441DA">
      <w:pPr>
        <w:pStyle w:val="P00"/>
        <w:spacing w:before="72"/>
        <w:ind w:left="0" w:right="1134"/>
        <w:rPr>
          <w:rStyle w:val="default"/>
          <w:rFonts w:cs="FrankRuehl"/>
          <w:rtl/>
        </w:rPr>
      </w:pPr>
    </w:p>
    <w:p w14:paraId="1A282A15" w14:textId="77777777" w:rsidR="00C854CA" w:rsidRDefault="00C854CA" w:rsidP="00C854CA">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11E33974" w14:textId="77777777" w:rsidR="00E10D81" w:rsidRPr="00C854CA" w:rsidRDefault="00E10D81" w:rsidP="00C854CA">
      <w:pPr>
        <w:pStyle w:val="P00"/>
        <w:spacing w:before="72"/>
        <w:ind w:left="0" w:right="1134"/>
        <w:jc w:val="center"/>
        <w:rPr>
          <w:rStyle w:val="default"/>
          <w:rFonts w:cs="David"/>
          <w:color w:val="0000FF"/>
          <w:szCs w:val="24"/>
          <w:u w:val="single"/>
          <w:rtl/>
        </w:rPr>
      </w:pPr>
    </w:p>
    <w:sectPr w:rsidR="00E10D81" w:rsidRPr="00C854CA">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BF4E6" w14:textId="77777777" w:rsidR="000D3354" w:rsidRDefault="000D3354">
      <w:r>
        <w:separator/>
      </w:r>
    </w:p>
  </w:endnote>
  <w:endnote w:type="continuationSeparator" w:id="0">
    <w:p w14:paraId="11F8B50D" w14:textId="77777777" w:rsidR="000D3354" w:rsidRDefault="000D3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26738" w14:textId="77777777"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83E9DB7" w14:textId="77777777"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45357588" w14:textId="77777777"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0D81">
      <w:rPr>
        <w:rFonts w:cs="TopType Jerushalmi"/>
        <w:noProof/>
        <w:color w:val="000000"/>
        <w:sz w:val="14"/>
        <w:szCs w:val="14"/>
      </w:rPr>
      <w:t>Z:\000-law\yael\2013\2013-09-29\tav\500_919.doc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5280" w14:textId="77777777"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854CA">
      <w:rPr>
        <w:rFonts w:hAnsi="FrankRuehl" w:cs="FrankRuehl"/>
        <w:noProof/>
        <w:sz w:val="24"/>
        <w:szCs w:val="24"/>
        <w:rtl/>
      </w:rPr>
      <w:t>2</w:t>
    </w:r>
    <w:r>
      <w:rPr>
        <w:rFonts w:hAnsi="FrankRuehl" w:cs="FrankRuehl"/>
        <w:sz w:val="24"/>
        <w:szCs w:val="24"/>
        <w:rtl/>
      </w:rPr>
      <w:fldChar w:fldCharType="end"/>
    </w:r>
  </w:p>
  <w:p w14:paraId="20CD9F9D" w14:textId="77777777"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B711CD6" w14:textId="77777777"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0D81">
      <w:rPr>
        <w:rFonts w:cs="TopType Jerushalmi"/>
        <w:noProof/>
        <w:color w:val="000000"/>
        <w:sz w:val="14"/>
        <w:szCs w:val="14"/>
      </w:rPr>
      <w:t>Z:\000-law\yael\2013\2013-09-29\tav\500_919.doc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B4D7B" w14:textId="77777777" w:rsidR="000D3354" w:rsidRDefault="000D3354" w:rsidP="00B441DA">
      <w:pPr>
        <w:spacing w:before="60" w:line="240" w:lineRule="auto"/>
        <w:ind w:right="1134"/>
      </w:pPr>
      <w:r>
        <w:separator/>
      </w:r>
    </w:p>
  </w:footnote>
  <w:footnote w:type="continuationSeparator" w:id="0">
    <w:p w14:paraId="7E3E1566" w14:textId="77777777" w:rsidR="000D3354" w:rsidRDefault="000D3354" w:rsidP="00353114">
      <w:pPr>
        <w:spacing w:before="60" w:line="240" w:lineRule="auto"/>
        <w:ind w:right="1134"/>
      </w:pPr>
      <w:r>
        <w:separator/>
      </w:r>
    </w:p>
  </w:footnote>
  <w:footnote w:id="1">
    <w:p w14:paraId="6E3CFA21" w14:textId="77777777" w:rsidR="00DF52F7" w:rsidRPr="00447823" w:rsidRDefault="00DD06A6" w:rsidP="00DF52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רס</w:t>
      </w:r>
      <w:r w:rsidR="0094344B">
        <w:rPr>
          <w:rFonts w:cs="FrankRuehl" w:hint="cs"/>
          <w:rtl/>
        </w:rPr>
        <w:t>מו</w:t>
      </w:r>
      <w:r>
        <w:rPr>
          <w:rFonts w:cs="FrankRuehl" w:hint="cs"/>
          <w:rtl/>
        </w:rPr>
        <w:t xml:space="preserve"> </w:t>
      </w:r>
      <w:hyperlink r:id="rId1" w:history="1">
        <w:r w:rsidR="002E7A5D" w:rsidRPr="00DF52F7">
          <w:rPr>
            <w:rStyle w:val="Hyperlink"/>
            <w:rFonts w:cs="FrankRuehl" w:hint="cs"/>
            <w:rtl/>
          </w:rPr>
          <w:t>ק"ת</w:t>
        </w:r>
        <w:r w:rsidRPr="00DF52F7">
          <w:rPr>
            <w:rStyle w:val="Hyperlink"/>
            <w:rFonts w:cs="FrankRuehl" w:hint="cs"/>
            <w:rtl/>
          </w:rPr>
          <w:t xml:space="preserve"> </w:t>
        </w:r>
        <w:r w:rsidR="00C7132A" w:rsidRPr="00DF52F7">
          <w:rPr>
            <w:rStyle w:val="Hyperlink"/>
            <w:rFonts w:cs="FrankRuehl" w:hint="cs"/>
            <w:rtl/>
          </w:rPr>
          <w:t>תשע"</w:t>
        </w:r>
        <w:r w:rsidR="0094344B" w:rsidRPr="00DF52F7">
          <w:rPr>
            <w:rStyle w:val="Hyperlink"/>
            <w:rFonts w:cs="FrankRuehl" w:hint="cs"/>
            <w:rtl/>
          </w:rPr>
          <w:t>ד</w:t>
        </w:r>
        <w:r w:rsidRPr="00DF52F7">
          <w:rPr>
            <w:rStyle w:val="Hyperlink"/>
            <w:rFonts w:cs="FrankRuehl" w:hint="cs"/>
            <w:rtl/>
          </w:rPr>
          <w:t xml:space="preserve"> מס' </w:t>
        </w:r>
        <w:r w:rsidR="002E7A5D" w:rsidRPr="00DF52F7">
          <w:rPr>
            <w:rStyle w:val="Hyperlink"/>
            <w:rFonts w:cs="FrankRuehl" w:hint="cs"/>
            <w:rtl/>
          </w:rPr>
          <w:t>7</w:t>
        </w:r>
        <w:r w:rsidR="00E55554" w:rsidRPr="00DF52F7">
          <w:rPr>
            <w:rStyle w:val="Hyperlink"/>
            <w:rFonts w:cs="FrankRuehl" w:hint="cs"/>
            <w:rtl/>
          </w:rPr>
          <w:t>313</w:t>
        </w:r>
      </w:hyperlink>
      <w:r>
        <w:rPr>
          <w:rFonts w:cs="FrankRuehl" w:hint="cs"/>
          <w:rtl/>
        </w:rPr>
        <w:t xml:space="preserve"> מיום </w:t>
      </w:r>
      <w:r w:rsidR="00E55554">
        <w:rPr>
          <w:rFonts w:cs="FrankRuehl" w:hint="cs"/>
          <w:rtl/>
        </w:rPr>
        <w:t>11.12</w:t>
      </w:r>
      <w:r w:rsidR="00C7132A">
        <w:rPr>
          <w:rFonts w:cs="FrankRuehl" w:hint="cs"/>
          <w:rtl/>
        </w:rPr>
        <w:t>.2013</w:t>
      </w:r>
      <w:r>
        <w:rPr>
          <w:rFonts w:cs="FrankRuehl" w:hint="cs"/>
          <w:rtl/>
        </w:rPr>
        <w:t xml:space="preserve"> עמ' </w:t>
      </w:r>
      <w:r w:rsidR="00E55554">
        <w:rPr>
          <w:rFonts w:cs="FrankRuehl" w:hint="cs"/>
          <w:rtl/>
        </w:rPr>
        <w:t>30</w:t>
      </w:r>
      <w:r w:rsidR="0099003F">
        <w:rPr>
          <w:rFonts w:cs="FrankRuehl" w:hint="cs"/>
          <w:rtl/>
        </w:rPr>
        <w:t>8</w:t>
      </w:r>
      <w:r w:rsidR="00C7132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52CE5" w14:textId="77777777" w:rsidR="00DD06A6" w:rsidRDefault="00DD06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העסקת עובדים על ידי קבלני כוח אדם, תשנ"ו–1996</w:t>
    </w:r>
  </w:p>
  <w:p w14:paraId="5B882BC0"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03476F"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FB88" w14:textId="77777777" w:rsidR="00DD06A6" w:rsidRDefault="00A5335B" w:rsidP="0099003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למניעת הסתננות (עבירות ושיפוט) (</w:t>
    </w:r>
    <w:r w:rsidR="0099003F">
      <w:rPr>
        <w:rFonts w:hAnsi="FrankRuehl" w:cs="FrankRuehl" w:hint="cs"/>
        <w:color w:val="000000"/>
        <w:sz w:val="28"/>
        <w:szCs w:val="28"/>
        <w:rtl/>
      </w:rPr>
      <w:t>נוכחות שוהה במרכז ויציאה ממנו</w:t>
    </w:r>
    <w:r>
      <w:rPr>
        <w:rFonts w:hAnsi="FrankRuehl" w:cs="FrankRuehl" w:hint="cs"/>
        <w:color w:val="000000"/>
        <w:sz w:val="28"/>
        <w:szCs w:val="28"/>
        <w:rtl/>
      </w:rPr>
      <w:t>) (הוראת שעה), תשע"ד</w:t>
    </w:r>
    <w:r w:rsidR="00C7132A">
      <w:rPr>
        <w:rFonts w:hAnsi="FrankRuehl" w:cs="FrankRuehl" w:hint="cs"/>
        <w:color w:val="000000"/>
        <w:sz w:val="28"/>
        <w:szCs w:val="28"/>
        <w:rtl/>
      </w:rPr>
      <w:t>-2013</w:t>
    </w:r>
  </w:p>
  <w:p w14:paraId="68C56479"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AC6E83"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5D40"/>
    <w:rsid w:val="000028C6"/>
    <w:rsid w:val="0000488A"/>
    <w:rsid w:val="000730A5"/>
    <w:rsid w:val="0007795D"/>
    <w:rsid w:val="000A4B8A"/>
    <w:rsid w:val="000C4B67"/>
    <w:rsid w:val="000D1C27"/>
    <w:rsid w:val="000D3354"/>
    <w:rsid w:val="00111734"/>
    <w:rsid w:val="00113DFF"/>
    <w:rsid w:val="00127513"/>
    <w:rsid w:val="0013087A"/>
    <w:rsid w:val="00143FB8"/>
    <w:rsid w:val="001B7798"/>
    <w:rsid w:val="001C6E71"/>
    <w:rsid w:val="001D54EA"/>
    <w:rsid w:val="001F648B"/>
    <w:rsid w:val="00233D88"/>
    <w:rsid w:val="0025358C"/>
    <w:rsid w:val="002541F7"/>
    <w:rsid w:val="002668A8"/>
    <w:rsid w:val="00267A92"/>
    <w:rsid w:val="002C021D"/>
    <w:rsid w:val="002C08F5"/>
    <w:rsid w:val="002D3B26"/>
    <w:rsid w:val="002E7A5D"/>
    <w:rsid w:val="002F4CED"/>
    <w:rsid w:val="003442AD"/>
    <w:rsid w:val="00353114"/>
    <w:rsid w:val="003A37E1"/>
    <w:rsid w:val="003B2BFC"/>
    <w:rsid w:val="003D0F6E"/>
    <w:rsid w:val="004004A3"/>
    <w:rsid w:val="004409F6"/>
    <w:rsid w:val="00447823"/>
    <w:rsid w:val="00450703"/>
    <w:rsid w:val="004568AD"/>
    <w:rsid w:val="004803A2"/>
    <w:rsid w:val="00495B03"/>
    <w:rsid w:val="004C4CDF"/>
    <w:rsid w:val="004D04BF"/>
    <w:rsid w:val="004D5301"/>
    <w:rsid w:val="00511EA9"/>
    <w:rsid w:val="005927E4"/>
    <w:rsid w:val="00593EDD"/>
    <w:rsid w:val="00593F93"/>
    <w:rsid w:val="005971E2"/>
    <w:rsid w:val="005A3316"/>
    <w:rsid w:val="005C3E08"/>
    <w:rsid w:val="005F75E6"/>
    <w:rsid w:val="00630C00"/>
    <w:rsid w:val="006374C0"/>
    <w:rsid w:val="00656381"/>
    <w:rsid w:val="006B2DC3"/>
    <w:rsid w:val="006F0F00"/>
    <w:rsid w:val="0070274C"/>
    <w:rsid w:val="00706713"/>
    <w:rsid w:val="00707A0F"/>
    <w:rsid w:val="00747940"/>
    <w:rsid w:val="00764B2F"/>
    <w:rsid w:val="00771429"/>
    <w:rsid w:val="00777EE6"/>
    <w:rsid w:val="007A3945"/>
    <w:rsid w:val="0080326D"/>
    <w:rsid w:val="00826A60"/>
    <w:rsid w:val="00847163"/>
    <w:rsid w:val="00875843"/>
    <w:rsid w:val="008D6036"/>
    <w:rsid w:val="008E276D"/>
    <w:rsid w:val="008E3903"/>
    <w:rsid w:val="008E5993"/>
    <w:rsid w:val="008E6763"/>
    <w:rsid w:val="009232A7"/>
    <w:rsid w:val="0094344B"/>
    <w:rsid w:val="00953DA9"/>
    <w:rsid w:val="00955B9C"/>
    <w:rsid w:val="009747E2"/>
    <w:rsid w:val="0099003F"/>
    <w:rsid w:val="009A5D40"/>
    <w:rsid w:val="009C21B2"/>
    <w:rsid w:val="009C6808"/>
    <w:rsid w:val="00A5335B"/>
    <w:rsid w:val="00A624A4"/>
    <w:rsid w:val="00A653F5"/>
    <w:rsid w:val="00A75A5A"/>
    <w:rsid w:val="00AA1FF0"/>
    <w:rsid w:val="00AB4FFA"/>
    <w:rsid w:val="00AE1BEE"/>
    <w:rsid w:val="00B0325A"/>
    <w:rsid w:val="00B441DA"/>
    <w:rsid w:val="00B60A38"/>
    <w:rsid w:val="00B75491"/>
    <w:rsid w:val="00B91C43"/>
    <w:rsid w:val="00BB59DF"/>
    <w:rsid w:val="00BB7577"/>
    <w:rsid w:val="00BC1DEB"/>
    <w:rsid w:val="00BC336F"/>
    <w:rsid w:val="00BF3303"/>
    <w:rsid w:val="00BF7170"/>
    <w:rsid w:val="00C13A06"/>
    <w:rsid w:val="00C16918"/>
    <w:rsid w:val="00C50BAA"/>
    <w:rsid w:val="00C7132A"/>
    <w:rsid w:val="00C854CA"/>
    <w:rsid w:val="00C926DE"/>
    <w:rsid w:val="00CA1F25"/>
    <w:rsid w:val="00D01845"/>
    <w:rsid w:val="00D2241B"/>
    <w:rsid w:val="00D9593C"/>
    <w:rsid w:val="00D964EB"/>
    <w:rsid w:val="00DD06A6"/>
    <w:rsid w:val="00DF52F7"/>
    <w:rsid w:val="00E00211"/>
    <w:rsid w:val="00E013C7"/>
    <w:rsid w:val="00E10D81"/>
    <w:rsid w:val="00E161EB"/>
    <w:rsid w:val="00E43EDF"/>
    <w:rsid w:val="00E50E32"/>
    <w:rsid w:val="00E55554"/>
    <w:rsid w:val="00E67764"/>
    <w:rsid w:val="00EC1086"/>
    <w:rsid w:val="00EC12C4"/>
    <w:rsid w:val="00EE30FF"/>
    <w:rsid w:val="00F0312D"/>
    <w:rsid w:val="00F04E09"/>
    <w:rsid w:val="00F253F9"/>
    <w:rsid w:val="00F846E5"/>
    <w:rsid w:val="00FC4DB9"/>
    <w:rsid w:val="00FD6028"/>
    <w:rsid w:val="00FF0B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6C8CDD4"/>
  <w15:chartTrackingRefBased/>
  <w15:docId w15:val="{3C834CAE-E6C9-4174-A17D-F92DC7C5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table" w:styleId="a9">
    <w:name w:val="Table Grid"/>
    <w:basedOn w:val="a1"/>
    <w:rsid w:val="000028C6"/>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1875</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Seif6</vt:lpwstr>
      </vt:variant>
      <vt:variant>
        <vt:i4>8323080</vt:i4>
      </vt:variant>
      <vt:variant>
        <vt:i4>0</vt:i4>
      </vt:variant>
      <vt:variant>
        <vt:i4>0</vt:i4>
      </vt:variant>
      <vt:variant>
        <vt:i4>5</vt:i4>
      </vt:variant>
      <vt:variant>
        <vt:lpwstr>http://www.nevo.co.il/Law_word/law06/TAK-7313.pdf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מניעת הסתננות</vt:lpwstr>
  </property>
  <property fmtid="{D5CDD505-2E9C-101B-9397-08002B2CF9AE}" pid="4" name="LAWNAME">
    <vt:lpwstr>תקנות למניעת הסתננות (עבירות ושיפוט) (נוכחות שוהה במרכז ויציאה ממנו) (הוראת שעה), תשע"ד-2013</vt:lpwstr>
  </property>
  <property fmtid="{D5CDD505-2E9C-101B-9397-08002B2CF9AE}" pid="5" name="LAWNUMBER">
    <vt:lpwstr>0959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בטחון</vt:lpwstr>
  </property>
  <property fmtid="{D5CDD505-2E9C-101B-9397-08002B2CF9AE}" pid="21" name="NOSE21">
    <vt:lpwstr>כניסה לישראל</vt:lpwstr>
  </property>
  <property fmtid="{D5CDD505-2E9C-101B-9397-08002B2CF9AE}" pid="22" name="NOSE31">
    <vt:lpwstr/>
  </property>
  <property fmtid="{D5CDD505-2E9C-101B-9397-08002B2CF9AE}" pid="23" name="NOSE41">
    <vt:lpwstr/>
  </property>
  <property fmtid="{D5CDD505-2E9C-101B-9397-08002B2CF9AE}" pid="24" name="NOSE12">
    <vt:lpwstr>עונשין ומשפט פלילי</vt:lpwstr>
  </property>
  <property fmtid="{D5CDD505-2E9C-101B-9397-08002B2CF9AE}" pid="25" name="NOSE22">
    <vt:lpwstr>עבירות</vt:lpwstr>
  </property>
  <property fmtid="{D5CDD505-2E9C-101B-9397-08002B2CF9AE}" pid="26" name="NOSE32">
    <vt:lpwstr>עבירות ביטחוניות</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MEKOR_NAME1">
    <vt:lpwstr>חוק למניעת הסתננות (עבירות ושיפוט)</vt:lpwstr>
  </property>
  <property fmtid="{D5CDD505-2E9C-101B-9397-08002B2CF9AE}" pid="63" name="MEKOR_SAIF1">
    <vt:lpwstr>32חXדX</vt:lpwstr>
  </property>
  <property fmtid="{D5CDD505-2E9C-101B-9397-08002B2CF9AE}" pid="64" name="LINKK1">
    <vt:lpwstr>http://www.nevo.co.il/Law_word/law06/TAK-7313.pdf;‎רשומות - תקנות כלליות#פורסמו ק"ת תשע"ד ‏מס' 7313 #מיום 11.12.2013 עמ' 308‏</vt:lpwstr>
  </property>
</Properties>
</file>