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30B9C" w14:textId="77777777" w:rsidR="00E56B55" w:rsidRDefault="00E56B55">
      <w:pPr>
        <w:pStyle w:val="big-header"/>
        <w:ind w:left="0" w:right="1134"/>
        <w:rPr>
          <w:rFonts w:cs="FrankRuehl" w:hint="cs"/>
          <w:sz w:val="32"/>
          <w:rtl/>
        </w:rPr>
      </w:pPr>
      <w:r>
        <w:rPr>
          <w:rFonts w:cs="FrankRuehl"/>
          <w:sz w:val="32"/>
          <w:rtl/>
        </w:rPr>
        <w:t>תקנות לעידוד השקעות הון (כללים בדבר שינוי שיעור ההצמדה לעניין חישוב ההכנסה החייבת של חלק מאושר במפעל מעורב), תשנ"ח</w:t>
      </w:r>
      <w:r>
        <w:rPr>
          <w:rFonts w:cs="FrankRuehl" w:hint="cs"/>
          <w:sz w:val="32"/>
          <w:rtl/>
        </w:rPr>
        <w:t>-</w:t>
      </w:r>
      <w:r>
        <w:rPr>
          <w:rFonts w:cs="FrankRuehl"/>
          <w:sz w:val="32"/>
          <w:rtl/>
        </w:rPr>
        <w:t>1997</w:t>
      </w:r>
    </w:p>
    <w:p w14:paraId="48D125BB" w14:textId="77777777" w:rsidR="00140FE0" w:rsidRPr="00140FE0" w:rsidRDefault="00140FE0" w:rsidP="00140FE0">
      <w:pPr>
        <w:spacing w:line="320" w:lineRule="auto"/>
        <w:jc w:val="left"/>
        <w:rPr>
          <w:rFonts w:cs="FrankRuehl"/>
          <w:szCs w:val="26"/>
          <w:rtl/>
        </w:rPr>
      </w:pPr>
    </w:p>
    <w:p w14:paraId="1AA14A68" w14:textId="77777777" w:rsidR="00140FE0" w:rsidRDefault="00140FE0" w:rsidP="00140FE0">
      <w:pPr>
        <w:spacing w:line="320" w:lineRule="auto"/>
        <w:jc w:val="left"/>
        <w:rPr>
          <w:rFonts w:cs="Miriam"/>
          <w:szCs w:val="22"/>
          <w:rtl/>
        </w:rPr>
      </w:pPr>
      <w:r w:rsidRPr="00140FE0">
        <w:rPr>
          <w:rFonts w:cs="Miriam"/>
          <w:szCs w:val="22"/>
          <w:rtl/>
        </w:rPr>
        <w:t>משפט פרטי וכלכלה</w:t>
      </w:r>
      <w:r w:rsidRPr="00140FE0">
        <w:rPr>
          <w:rFonts w:cs="FrankRuehl"/>
          <w:szCs w:val="26"/>
          <w:rtl/>
        </w:rPr>
        <w:t xml:space="preserve"> – כספים – השקעות  – השקעות הון ועידודן</w:t>
      </w:r>
    </w:p>
    <w:p w14:paraId="38B03898" w14:textId="77777777" w:rsidR="00C8176A" w:rsidRPr="00140FE0" w:rsidRDefault="00140FE0" w:rsidP="00140FE0">
      <w:pPr>
        <w:spacing w:line="320" w:lineRule="auto"/>
        <w:jc w:val="left"/>
        <w:rPr>
          <w:rFonts w:cs="Miriam" w:hint="cs"/>
          <w:szCs w:val="22"/>
          <w:rtl/>
        </w:rPr>
      </w:pPr>
      <w:r w:rsidRPr="00140FE0">
        <w:rPr>
          <w:rFonts w:cs="Miriam"/>
          <w:szCs w:val="22"/>
          <w:rtl/>
        </w:rPr>
        <w:t>מסים</w:t>
      </w:r>
      <w:r w:rsidRPr="00140FE0">
        <w:rPr>
          <w:rFonts w:cs="FrankRuehl"/>
          <w:szCs w:val="26"/>
          <w:rtl/>
        </w:rPr>
        <w:t xml:space="preserve"> – מס הכנסה – השקעות הון ועידודן</w:t>
      </w:r>
    </w:p>
    <w:p w14:paraId="5B77FDA1" w14:textId="77777777" w:rsidR="00E56B55" w:rsidRDefault="00E56B55">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56B55" w14:paraId="7DE47D2E" w14:textId="77777777">
        <w:tblPrEx>
          <w:tblCellMar>
            <w:top w:w="0" w:type="dxa"/>
            <w:bottom w:w="0" w:type="dxa"/>
          </w:tblCellMar>
        </w:tblPrEx>
        <w:tc>
          <w:tcPr>
            <w:tcW w:w="850" w:type="dxa"/>
          </w:tcPr>
          <w:p w14:paraId="2549DE3C" w14:textId="77777777" w:rsidR="00E56B55" w:rsidRDefault="00E56B5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DDF67FC" w14:textId="77777777" w:rsidR="00E56B55" w:rsidRDefault="00E56B55">
            <w:pPr>
              <w:spacing w:line="240" w:lineRule="auto"/>
              <w:rPr>
                <w:sz w:val="24"/>
              </w:rPr>
            </w:pPr>
            <w:hyperlink w:anchor="Seif0" w:tooltip="הגדרות" w:history="1">
              <w:r>
                <w:rPr>
                  <w:rStyle w:val="Hyperlink"/>
                </w:rPr>
                <w:t>Go</w:t>
              </w:r>
            </w:hyperlink>
          </w:p>
        </w:tc>
        <w:tc>
          <w:tcPr>
            <w:tcW w:w="5669" w:type="dxa"/>
          </w:tcPr>
          <w:p w14:paraId="1EA4ED44" w14:textId="77777777" w:rsidR="00E56B55" w:rsidRDefault="00E56B55">
            <w:pPr>
              <w:spacing w:line="240" w:lineRule="auto"/>
              <w:rPr>
                <w:sz w:val="24"/>
                <w:rtl/>
              </w:rPr>
            </w:pPr>
            <w:r>
              <w:rPr>
                <w:sz w:val="24"/>
                <w:rtl/>
              </w:rPr>
              <w:t>הגדרות</w:t>
            </w:r>
          </w:p>
        </w:tc>
        <w:tc>
          <w:tcPr>
            <w:tcW w:w="1247" w:type="dxa"/>
          </w:tcPr>
          <w:p w14:paraId="382EFE74" w14:textId="77777777" w:rsidR="00E56B55" w:rsidRDefault="00E56B55">
            <w:pPr>
              <w:spacing w:line="240" w:lineRule="auto"/>
              <w:rPr>
                <w:sz w:val="24"/>
              </w:rPr>
            </w:pPr>
            <w:r>
              <w:rPr>
                <w:sz w:val="24"/>
                <w:rtl/>
              </w:rPr>
              <w:t xml:space="preserve">סעיף 1 </w:t>
            </w:r>
          </w:p>
        </w:tc>
      </w:tr>
      <w:tr w:rsidR="00E56B55" w14:paraId="39FE84C5" w14:textId="77777777">
        <w:tblPrEx>
          <w:tblCellMar>
            <w:top w:w="0" w:type="dxa"/>
            <w:bottom w:w="0" w:type="dxa"/>
          </w:tblCellMar>
        </w:tblPrEx>
        <w:tc>
          <w:tcPr>
            <w:tcW w:w="850" w:type="dxa"/>
          </w:tcPr>
          <w:p w14:paraId="41A35422" w14:textId="77777777" w:rsidR="00E56B55" w:rsidRDefault="00E56B5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1DF7119" w14:textId="77777777" w:rsidR="00E56B55" w:rsidRDefault="00E56B55">
            <w:pPr>
              <w:spacing w:line="240" w:lineRule="auto"/>
              <w:rPr>
                <w:sz w:val="24"/>
              </w:rPr>
            </w:pPr>
            <w:hyperlink w:anchor="Seif1" w:tooltip="שיעור ההצמדה" w:history="1">
              <w:r>
                <w:rPr>
                  <w:rStyle w:val="Hyperlink"/>
                </w:rPr>
                <w:t>Go</w:t>
              </w:r>
            </w:hyperlink>
          </w:p>
        </w:tc>
        <w:tc>
          <w:tcPr>
            <w:tcW w:w="5669" w:type="dxa"/>
          </w:tcPr>
          <w:p w14:paraId="64029044" w14:textId="77777777" w:rsidR="00E56B55" w:rsidRDefault="00E56B55">
            <w:pPr>
              <w:spacing w:line="240" w:lineRule="auto"/>
              <w:rPr>
                <w:sz w:val="24"/>
                <w:rtl/>
              </w:rPr>
            </w:pPr>
            <w:r>
              <w:rPr>
                <w:sz w:val="24"/>
                <w:rtl/>
              </w:rPr>
              <w:t>שיעור ההצמדה</w:t>
            </w:r>
          </w:p>
        </w:tc>
        <w:tc>
          <w:tcPr>
            <w:tcW w:w="1247" w:type="dxa"/>
          </w:tcPr>
          <w:p w14:paraId="516565C8" w14:textId="77777777" w:rsidR="00E56B55" w:rsidRDefault="00E56B55">
            <w:pPr>
              <w:spacing w:line="240" w:lineRule="auto"/>
              <w:rPr>
                <w:sz w:val="24"/>
              </w:rPr>
            </w:pPr>
            <w:r>
              <w:rPr>
                <w:sz w:val="24"/>
                <w:rtl/>
              </w:rPr>
              <w:t xml:space="preserve">סעיף 2 </w:t>
            </w:r>
          </w:p>
        </w:tc>
      </w:tr>
      <w:tr w:rsidR="00E56B55" w14:paraId="41363AC5" w14:textId="77777777">
        <w:tblPrEx>
          <w:tblCellMar>
            <w:top w:w="0" w:type="dxa"/>
            <w:bottom w:w="0" w:type="dxa"/>
          </w:tblCellMar>
        </w:tblPrEx>
        <w:tc>
          <w:tcPr>
            <w:tcW w:w="850" w:type="dxa"/>
          </w:tcPr>
          <w:p w14:paraId="74384E9B" w14:textId="77777777" w:rsidR="00E56B55" w:rsidRDefault="00E56B5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F2C96BB" w14:textId="77777777" w:rsidR="00E56B55" w:rsidRDefault="00E56B55">
            <w:pPr>
              <w:spacing w:line="240" w:lineRule="auto"/>
              <w:rPr>
                <w:sz w:val="24"/>
              </w:rPr>
            </w:pPr>
            <w:hyperlink w:anchor="Seif2" w:tooltip="שינוי אופן החישוב" w:history="1">
              <w:r>
                <w:rPr>
                  <w:rStyle w:val="Hyperlink"/>
                </w:rPr>
                <w:t>Go</w:t>
              </w:r>
            </w:hyperlink>
          </w:p>
        </w:tc>
        <w:tc>
          <w:tcPr>
            <w:tcW w:w="5669" w:type="dxa"/>
          </w:tcPr>
          <w:p w14:paraId="5C9F58AD" w14:textId="77777777" w:rsidR="00E56B55" w:rsidRDefault="00E56B55">
            <w:pPr>
              <w:spacing w:line="240" w:lineRule="auto"/>
              <w:rPr>
                <w:sz w:val="24"/>
                <w:rtl/>
              </w:rPr>
            </w:pPr>
            <w:r>
              <w:rPr>
                <w:sz w:val="24"/>
                <w:rtl/>
              </w:rPr>
              <w:t>שינוי אופן החישוב</w:t>
            </w:r>
          </w:p>
        </w:tc>
        <w:tc>
          <w:tcPr>
            <w:tcW w:w="1247" w:type="dxa"/>
          </w:tcPr>
          <w:p w14:paraId="6819CF65" w14:textId="77777777" w:rsidR="00E56B55" w:rsidRDefault="00E56B55">
            <w:pPr>
              <w:spacing w:line="240" w:lineRule="auto"/>
              <w:rPr>
                <w:sz w:val="24"/>
              </w:rPr>
            </w:pPr>
            <w:r>
              <w:rPr>
                <w:sz w:val="24"/>
                <w:rtl/>
              </w:rPr>
              <w:t xml:space="preserve">סעיף 3 </w:t>
            </w:r>
          </w:p>
        </w:tc>
      </w:tr>
      <w:tr w:rsidR="00E56B55" w14:paraId="49C909F4" w14:textId="77777777">
        <w:tblPrEx>
          <w:tblCellMar>
            <w:top w:w="0" w:type="dxa"/>
            <w:bottom w:w="0" w:type="dxa"/>
          </w:tblCellMar>
        </w:tblPrEx>
        <w:tc>
          <w:tcPr>
            <w:tcW w:w="850" w:type="dxa"/>
          </w:tcPr>
          <w:p w14:paraId="587972AE" w14:textId="77777777" w:rsidR="00E56B55" w:rsidRDefault="00E56B5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6315241" w14:textId="77777777" w:rsidR="00E56B55" w:rsidRDefault="00E56B55">
            <w:pPr>
              <w:spacing w:line="240" w:lineRule="auto"/>
              <w:rPr>
                <w:sz w:val="24"/>
              </w:rPr>
            </w:pPr>
            <w:hyperlink w:anchor="Seif3" w:tooltip="תחילה" w:history="1">
              <w:r>
                <w:rPr>
                  <w:rStyle w:val="Hyperlink"/>
                </w:rPr>
                <w:t>Go</w:t>
              </w:r>
            </w:hyperlink>
          </w:p>
        </w:tc>
        <w:tc>
          <w:tcPr>
            <w:tcW w:w="5669" w:type="dxa"/>
          </w:tcPr>
          <w:p w14:paraId="6D2D67AB" w14:textId="77777777" w:rsidR="00E56B55" w:rsidRDefault="00E56B55">
            <w:pPr>
              <w:spacing w:line="240" w:lineRule="auto"/>
              <w:rPr>
                <w:sz w:val="24"/>
                <w:rtl/>
              </w:rPr>
            </w:pPr>
            <w:r>
              <w:rPr>
                <w:sz w:val="24"/>
                <w:rtl/>
              </w:rPr>
              <w:t>תחילה</w:t>
            </w:r>
          </w:p>
        </w:tc>
        <w:tc>
          <w:tcPr>
            <w:tcW w:w="1247" w:type="dxa"/>
          </w:tcPr>
          <w:p w14:paraId="01EF0615" w14:textId="77777777" w:rsidR="00E56B55" w:rsidRDefault="00E56B55">
            <w:pPr>
              <w:spacing w:line="240" w:lineRule="auto"/>
              <w:rPr>
                <w:sz w:val="24"/>
              </w:rPr>
            </w:pPr>
            <w:r>
              <w:rPr>
                <w:sz w:val="24"/>
                <w:rtl/>
              </w:rPr>
              <w:t xml:space="preserve">סעיף 4 </w:t>
            </w:r>
          </w:p>
        </w:tc>
      </w:tr>
    </w:tbl>
    <w:p w14:paraId="408FA392" w14:textId="77777777" w:rsidR="00E56B55" w:rsidRDefault="00E56B55">
      <w:pPr>
        <w:pStyle w:val="big-header"/>
        <w:ind w:left="0" w:right="1134"/>
        <w:rPr>
          <w:rFonts w:cs="FrankRuehl"/>
          <w:sz w:val="32"/>
          <w:rtl/>
        </w:rPr>
      </w:pPr>
    </w:p>
    <w:p w14:paraId="6182DEEB" w14:textId="77777777" w:rsidR="00E56B55" w:rsidRDefault="00E56B55" w:rsidP="00140FE0">
      <w:pPr>
        <w:pStyle w:val="big-header"/>
        <w:ind w:left="0" w:right="1134"/>
        <w:rPr>
          <w:rStyle w:val="default"/>
          <w:rFonts w:cs="FrankRuehl" w:hint="cs"/>
          <w:rtl/>
        </w:rPr>
      </w:pPr>
      <w:r>
        <w:rPr>
          <w:rFonts w:cs="FrankRuehl"/>
          <w:sz w:val="32"/>
          <w:rtl/>
        </w:rPr>
        <w:br w:type="page"/>
      </w:r>
      <w:r w:rsidR="00140FE0">
        <w:rPr>
          <w:rFonts w:cs="FrankRuehl"/>
          <w:sz w:val="32"/>
          <w:rtl/>
        </w:rPr>
        <w:lastRenderedPageBreak/>
        <w:t xml:space="preserve"> </w:t>
      </w:r>
      <w:r>
        <w:rPr>
          <w:rFonts w:cs="FrankRuehl"/>
          <w:sz w:val="32"/>
          <w:rtl/>
        </w:rPr>
        <w:t>תק</w:t>
      </w:r>
      <w:r>
        <w:rPr>
          <w:rFonts w:cs="FrankRuehl" w:hint="cs"/>
          <w:sz w:val="32"/>
          <w:rtl/>
        </w:rPr>
        <w:t>נות לעידוד השקעות הון (כללים בדבר שינוי שיעור ההצמדה לעניין חישוב ההכנסה החייבת של חלק מאושר במפעל מעורב), תשנ"ח-</w:t>
      </w:r>
      <w:r>
        <w:rPr>
          <w:rFonts w:cs="FrankRuehl"/>
          <w:sz w:val="32"/>
          <w:rtl/>
        </w:rPr>
        <w:t>1997</w:t>
      </w:r>
      <w:r>
        <w:rPr>
          <w:rStyle w:val="default"/>
          <w:rtl/>
        </w:rPr>
        <w:footnoteReference w:customMarkFollows="1" w:id="1"/>
        <w:t>*</w:t>
      </w:r>
    </w:p>
    <w:p w14:paraId="74AED720" w14:textId="77777777" w:rsidR="00E56B55" w:rsidRDefault="00E56B5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סמכותנו לפי סעיף 74(ב)(1) לחוק לעידוד השקעות הון, תשי"ט-</w:t>
      </w:r>
      <w:r>
        <w:rPr>
          <w:rStyle w:val="default"/>
          <w:rFonts w:cs="FrankRuehl"/>
          <w:rtl/>
        </w:rPr>
        <w:t>1959 (</w:t>
      </w:r>
      <w:r>
        <w:rPr>
          <w:rStyle w:val="default"/>
          <w:rFonts w:cs="FrankRuehl" w:hint="cs"/>
          <w:rtl/>
        </w:rPr>
        <w:t>להלן -</w:t>
      </w:r>
      <w:r>
        <w:rPr>
          <w:rStyle w:val="default"/>
          <w:rFonts w:cs="FrankRuehl"/>
          <w:rtl/>
        </w:rPr>
        <w:t xml:space="preserve"> </w:t>
      </w:r>
      <w:r>
        <w:rPr>
          <w:rStyle w:val="default"/>
          <w:rFonts w:cs="FrankRuehl" w:hint="cs"/>
          <w:rtl/>
        </w:rPr>
        <w:t>החוק), אנו מתקינים תקנות אלה</w:t>
      </w:r>
      <w:r>
        <w:rPr>
          <w:rStyle w:val="default"/>
          <w:rFonts w:cs="FrankRuehl"/>
          <w:rtl/>
        </w:rPr>
        <w:t>:</w:t>
      </w:r>
    </w:p>
    <w:p w14:paraId="727FED32" w14:textId="77777777" w:rsidR="00E56B55" w:rsidRDefault="00E56B55">
      <w:pPr>
        <w:pStyle w:val="P00"/>
        <w:spacing w:before="72"/>
        <w:ind w:left="0" w:right="1134"/>
        <w:rPr>
          <w:rStyle w:val="default"/>
          <w:rFonts w:cs="FrankRuehl" w:hint="cs"/>
          <w:rtl/>
        </w:rPr>
      </w:pPr>
      <w:bookmarkStart w:id="0" w:name="Seif0"/>
      <w:bookmarkEnd w:id="0"/>
      <w:r>
        <w:rPr>
          <w:lang w:val="he-IL"/>
        </w:rPr>
        <w:pict w14:anchorId="495B4E7A">
          <v:rect id="_x0000_s1026" style="position:absolute;left:0;text-align:left;margin-left:464.5pt;margin-top:8.05pt;width:75.05pt;height:8pt;z-index:251656192" o:allowincell="f" filled="f" stroked="f" strokecolor="lime" strokeweight=".25pt">
            <v:textbox style="mso-next-textbox:#_x0000_s1026" inset="0,0,0,0">
              <w:txbxContent>
                <w:p w14:paraId="59A12E43" w14:textId="77777777" w:rsidR="00E56B55" w:rsidRDefault="00E56B5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30BB79B2" w14:textId="77777777" w:rsidR="00E56B55" w:rsidRDefault="00E56B55">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ער החליפין" -</w:t>
      </w:r>
      <w:r>
        <w:rPr>
          <w:rStyle w:val="default"/>
          <w:rFonts w:cs="FrankRuehl"/>
          <w:rtl/>
        </w:rPr>
        <w:t xml:space="preserve"> </w:t>
      </w:r>
      <w:r>
        <w:rPr>
          <w:rStyle w:val="default"/>
          <w:rFonts w:cs="FrankRuehl" w:hint="cs"/>
          <w:rtl/>
        </w:rPr>
        <w:t>שערו היציג של מטבע חוץ כפי שיקבע בנק ישראל מזמן לזמן;</w:t>
      </w:r>
    </w:p>
    <w:p w14:paraId="2338761C" w14:textId="77777777" w:rsidR="00E56B55" w:rsidRDefault="00E56B5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מטבע העיקרי" -</w:t>
      </w:r>
      <w:r>
        <w:rPr>
          <w:rStyle w:val="default"/>
          <w:rFonts w:cs="FrankRuehl"/>
          <w:rtl/>
        </w:rPr>
        <w:t xml:space="preserve"> </w:t>
      </w:r>
      <w:r>
        <w:rPr>
          <w:rStyle w:val="default"/>
          <w:rFonts w:cs="FrankRuehl" w:hint="cs"/>
          <w:rtl/>
        </w:rPr>
        <w:t>המטבע שבו התקבל עיקר תמורת היצוא;</w:t>
      </w:r>
    </w:p>
    <w:p w14:paraId="4817DED9" w14:textId="77777777" w:rsidR="00E56B55" w:rsidRDefault="00E56B5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דד" -</w:t>
      </w:r>
      <w:r>
        <w:rPr>
          <w:rStyle w:val="default"/>
          <w:rFonts w:cs="FrankRuehl"/>
          <w:rtl/>
        </w:rPr>
        <w:t xml:space="preserve"> </w:t>
      </w:r>
      <w:r>
        <w:rPr>
          <w:rStyle w:val="default"/>
          <w:rFonts w:cs="FrankRuehl" w:hint="cs"/>
          <w:rtl/>
        </w:rPr>
        <w:t>כמשמעותו בסעיף 74(ב)(1) לחוק;</w:t>
      </w:r>
    </w:p>
    <w:p w14:paraId="56CCFA08" w14:textId="77777777" w:rsidR="00E56B55" w:rsidRDefault="00E56B5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חזור מתואם" -</w:t>
      </w:r>
      <w:r>
        <w:rPr>
          <w:rStyle w:val="default"/>
          <w:rFonts w:cs="FrankRuehl"/>
          <w:rtl/>
        </w:rPr>
        <w:t xml:space="preserve"> </w:t>
      </w:r>
      <w:r>
        <w:rPr>
          <w:rStyle w:val="default"/>
          <w:rFonts w:cs="FrankRuehl" w:hint="cs"/>
          <w:rtl/>
        </w:rPr>
        <w:t>המחזור של השנה האחרונה שקדמה להפעלה המשמעותית של ההרחבה, כשה</w:t>
      </w:r>
      <w:r>
        <w:rPr>
          <w:rStyle w:val="default"/>
          <w:rFonts w:cs="FrankRuehl"/>
          <w:rtl/>
        </w:rPr>
        <w:t>וא</w:t>
      </w:r>
      <w:r>
        <w:rPr>
          <w:rStyle w:val="default"/>
          <w:rFonts w:cs="FrankRuehl" w:hint="cs"/>
          <w:rtl/>
        </w:rPr>
        <w:t xml:space="preserve"> צמוד עד לתום שנת המס הקודמת בהתאם לאמור בתקנה 2 או לאמור בסעיף 74(ב) לחוק, לפי העניין.</w:t>
      </w:r>
    </w:p>
    <w:p w14:paraId="10A0DE86" w14:textId="77777777" w:rsidR="00E56B55" w:rsidRDefault="00E56B55">
      <w:pPr>
        <w:pStyle w:val="P00"/>
        <w:spacing w:before="72"/>
        <w:ind w:left="0" w:right="1134"/>
        <w:rPr>
          <w:rStyle w:val="default"/>
          <w:rFonts w:cs="FrankRuehl"/>
          <w:rtl/>
        </w:rPr>
      </w:pPr>
      <w:bookmarkStart w:id="1" w:name="Seif1"/>
      <w:bookmarkEnd w:id="1"/>
      <w:r>
        <w:rPr>
          <w:lang w:val="he-IL"/>
        </w:rPr>
        <w:pict w14:anchorId="4EDE6966">
          <v:rect id="_x0000_s1027" style="position:absolute;left:0;text-align:left;margin-left:464.5pt;margin-top:8.05pt;width:75.05pt;height:8pt;z-index:251657216" o:allowincell="f" filled="f" stroked="f" strokecolor="lime" strokeweight=".25pt">
            <v:textbox inset="0,0,0,0">
              <w:txbxContent>
                <w:p w14:paraId="0A4C568A" w14:textId="77777777" w:rsidR="00E56B55" w:rsidRDefault="00E56B55">
                  <w:pPr>
                    <w:spacing w:line="160" w:lineRule="exact"/>
                    <w:jc w:val="left"/>
                    <w:rPr>
                      <w:rFonts w:cs="Miriam"/>
                      <w:noProof/>
                      <w:sz w:val="18"/>
                      <w:szCs w:val="18"/>
                      <w:rtl/>
                    </w:rPr>
                  </w:pPr>
                  <w:r>
                    <w:rPr>
                      <w:rFonts w:cs="Miriam"/>
                      <w:sz w:val="18"/>
                      <w:szCs w:val="18"/>
                      <w:rtl/>
                    </w:rPr>
                    <w:t>שי</w:t>
                  </w:r>
                  <w:r>
                    <w:rPr>
                      <w:rFonts w:cs="Miriam" w:hint="cs"/>
                      <w:sz w:val="18"/>
                      <w:szCs w:val="18"/>
                      <w:rtl/>
                    </w:rPr>
                    <w:t>עור ההצמדה</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יעור ההצמדה במפעל מעורב, שלפחות שבעים אחוזים מערך תוצרתו נמכרו מחוץ לישראל בשנת המס, לא יעלה על שיעור השינוי בשער החליפין של המטבע </w:t>
      </w:r>
      <w:r>
        <w:rPr>
          <w:rStyle w:val="default"/>
          <w:rFonts w:cs="FrankRuehl"/>
          <w:rtl/>
        </w:rPr>
        <w:t>ה</w:t>
      </w:r>
      <w:r>
        <w:rPr>
          <w:rStyle w:val="default"/>
          <w:rFonts w:cs="FrankRuehl" w:hint="cs"/>
          <w:rtl/>
        </w:rPr>
        <w:t>עיקרי באותה תקופה.</w:t>
      </w:r>
    </w:p>
    <w:p w14:paraId="06857773" w14:textId="77777777" w:rsidR="00E56B55" w:rsidRDefault="00E56B5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 xml:space="preserve">לא </w:t>
      </w:r>
      <w:r>
        <w:rPr>
          <w:rStyle w:val="default"/>
          <w:rFonts w:cs="FrankRuehl" w:hint="cs"/>
          <w:rtl/>
        </w:rPr>
        <w:t>התקבל עיקר תמורת היצוא בשנת המס במפעל מעורב כאמור בסעיף קטן (א) במטבע אחד, לא יעלה שיעור ההצמדה על שיעור השינוי בשער החליפין של סל המטבעות שמפרסם בנק ישראל באותה תקופה.</w:t>
      </w:r>
    </w:p>
    <w:p w14:paraId="4944362B" w14:textId="77777777" w:rsidR="00E56B55" w:rsidRDefault="00E56B55">
      <w:pPr>
        <w:pStyle w:val="P00"/>
        <w:spacing w:before="72"/>
        <w:ind w:left="0" w:right="1134"/>
        <w:rPr>
          <w:rStyle w:val="default"/>
          <w:rFonts w:cs="FrankRuehl"/>
          <w:rtl/>
        </w:rPr>
      </w:pPr>
      <w:bookmarkStart w:id="2" w:name="Seif2"/>
      <w:bookmarkEnd w:id="2"/>
      <w:r>
        <w:rPr>
          <w:lang w:val="he-IL"/>
        </w:rPr>
        <w:pict w14:anchorId="457E480B">
          <v:rect id="_x0000_s1028" style="position:absolute;left:0;text-align:left;margin-left:464.5pt;margin-top:8.05pt;width:75.05pt;height:8pt;z-index:251658240" o:allowincell="f" filled="f" stroked="f" strokecolor="lime" strokeweight=".25pt">
            <v:textbox inset="0,0,0,0">
              <w:txbxContent>
                <w:p w14:paraId="07096A7C" w14:textId="77777777" w:rsidR="00E56B55" w:rsidRDefault="00E56B55">
                  <w:pPr>
                    <w:spacing w:line="160" w:lineRule="exact"/>
                    <w:jc w:val="left"/>
                    <w:rPr>
                      <w:rFonts w:cs="Miriam"/>
                      <w:noProof/>
                      <w:sz w:val="18"/>
                      <w:szCs w:val="18"/>
                      <w:rtl/>
                    </w:rPr>
                  </w:pPr>
                  <w:r>
                    <w:rPr>
                      <w:rFonts w:cs="Miriam"/>
                      <w:sz w:val="18"/>
                      <w:szCs w:val="18"/>
                      <w:rtl/>
                    </w:rPr>
                    <w:t>שי</w:t>
                  </w:r>
                  <w:r>
                    <w:rPr>
                      <w:rFonts w:cs="Miriam" w:hint="cs"/>
                      <w:sz w:val="18"/>
                      <w:szCs w:val="18"/>
                      <w:rtl/>
                    </w:rPr>
                    <w:t>נוי אופן החישוב</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דל מפעל לייצא שבעים אחוזים מער</w:t>
      </w:r>
      <w:r>
        <w:rPr>
          <w:rStyle w:val="default"/>
          <w:rFonts w:cs="FrankRuehl"/>
          <w:rtl/>
        </w:rPr>
        <w:t>ך</w:t>
      </w:r>
      <w:r>
        <w:rPr>
          <w:rStyle w:val="default"/>
          <w:rFonts w:cs="FrankRuehl" w:hint="cs"/>
          <w:rtl/>
        </w:rPr>
        <w:t xml:space="preserve"> תוצרתו, יחושב הגידול במחזור לעניין סעיף 74 ל</w:t>
      </w:r>
      <w:r>
        <w:rPr>
          <w:rStyle w:val="default"/>
          <w:rFonts w:cs="FrankRuehl"/>
          <w:rtl/>
        </w:rPr>
        <w:t>חו</w:t>
      </w:r>
      <w:r>
        <w:rPr>
          <w:rStyle w:val="default"/>
          <w:rFonts w:cs="FrankRuehl" w:hint="cs"/>
          <w:rtl/>
        </w:rPr>
        <w:t>ק, באופן שהמחזור המתואם יוצמד לשיעור עליית המדד, החל בשנה הראשונה שבה חדל המפעל לייצא כאמור.</w:t>
      </w:r>
    </w:p>
    <w:p w14:paraId="58DEDCB9" w14:textId="77777777" w:rsidR="00E56B55" w:rsidRDefault="00E56B5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שינוי בעיקר תמורת היצוא בשנת המס כך שההצמדה בהתאם לתקנה 2 הינה לפי שער חליפין של מטבע חוץ אחר או של סל המטבעות, וזאת בשונה משנת המס הקודמת, יחושב הגידול</w:t>
      </w:r>
      <w:r>
        <w:rPr>
          <w:rStyle w:val="default"/>
          <w:rFonts w:cs="FrankRuehl"/>
          <w:rtl/>
        </w:rPr>
        <w:t xml:space="preserve"> ב</w:t>
      </w:r>
      <w:r>
        <w:rPr>
          <w:rStyle w:val="default"/>
          <w:rFonts w:cs="FrankRuehl" w:hint="cs"/>
          <w:rtl/>
        </w:rPr>
        <w:t>מחזור לעניין סעיף 74 לחוק, באופן שהמחזור המתואם יוצמד לשער החליפין של המטבע העיקרי החדש, החל בשנה הראשונה שבה חל שינוי במטבע כאמור.</w:t>
      </w:r>
    </w:p>
    <w:p w14:paraId="78C67B85" w14:textId="77777777" w:rsidR="00E56B55" w:rsidRDefault="00E56B55">
      <w:pPr>
        <w:pStyle w:val="P00"/>
        <w:spacing w:before="72"/>
        <w:ind w:left="0" w:right="1134"/>
        <w:rPr>
          <w:rStyle w:val="default"/>
          <w:rFonts w:cs="FrankRuehl"/>
          <w:rtl/>
        </w:rPr>
      </w:pPr>
      <w:bookmarkStart w:id="3" w:name="Seif3"/>
      <w:bookmarkEnd w:id="3"/>
      <w:r>
        <w:rPr>
          <w:lang w:val="he-IL"/>
        </w:rPr>
        <w:pict w14:anchorId="189EAD9B">
          <v:rect id="_x0000_s1029" style="position:absolute;left:0;text-align:left;margin-left:464.5pt;margin-top:8.05pt;width:75.05pt;height:8pt;z-index:251659264" o:allowincell="f" filled="f" stroked="f" strokecolor="lime" strokeweight=".25pt">
            <v:textbox inset="0,0,0,0">
              <w:txbxContent>
                <w:p w14:paraId="29A08AAE" w14:textId="77777777" w:rsidR="00E56B55" w:rsidRDefault="00E56B55">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4.</w:t>
      </w:r>
      <w:r>
        <w:rPr>
          <w:rStyle w:val="big-number"/>
          <w:rFonts w:cs="Miriam"/>
          <w:rtl/>
        </w:rPr>
        <w:tab/>
      </w:r>
      <w:r>
        <w:rPr>
          <w:rStyle w:val="default"/>
          <w:rFonts w:cs="FrankRuehl"/>
          <w:rtl/>
        </w:rPr>
        <w:t>תח</w:t>
      </w:r>
      <w:r>
        <w:rPr>
          <w:rStyle w:val="default"/>
          <w:rFonts w:cs="FrankRuehl" w:hint="cs"/>
          <w:rtl/>
        </w:rPr>
        <w:t>ילתן של תקנות אלה ב</w:t>
      </w:r>
      <w:r>
        <w:rPr>
          <w:rStyle w:val="default"/>
          <w:rFonts w:cs="FrankRuehl"/>
          <w:rtl/>
        </w:rPr>
        <w:t>יו</w:t>
      </w:r>
      <w:r>
        <w:rPr>
          <w:rStyle w:val="default"/>
          <w:rFonts w:cs="FrankRuehl" w:hint="cs"/>
          <w:rtl/>
        </w:rPr>
        <w:t>ם כ"ב בטבת תשנ"ז (1 בינואר 1997).</w:t>
      </w:r>
    </w:p>
    <w:p w14:paraId="717DA71B" w14:textId="77777777" w:rsidR="00E56B55" w:rsidRDefault="00E56B55">
      <w:pPr>
        <w:pStyle w:val="P00"/>
        <w:spacing w:before="72"/>
        <w:ind w:left="0" w:right="1134"/>
        <w:rPr>
          <w:rStyle w:val="default"/>
          <w:rFonts w:cs="FrankRuehl"/>
          <w:rtl/>
        </w:rPr>
      </w:pPr>
    </w:p>
    <w:p w14:paraId="7C80B882" w14:textId="77777777" w:rsidR="00E56B55" w:rsidRDefault="00E56B55">
      <w:pPr>
        <w:pStyle w:val="P00"/>
        <w:spacing w:before="72"/>
        <w:ind w:left="0" w:right="1134"/>
        <w:rPr>
          <w:rFonts w:cs="FrankRuehl"/>
          <w:sz w:val="26"/>
          <w:rtl/>
        </w:rPr>
      </w:pPr>
      <w:r>
        <w:rPr>
          <w:rFonts w:cs="FrankRuehl"/>
          <w:sz w:val="26"/>
          <w:rtl/>
        </w:rPr>
        <w:t>י"</w:t>
      </w:r>
      <w:r>
        <w:rPr>
          <w:rFonts w:cs="FrankRuehl" w:hint="cs"/>
          <w:sz w:val="26"/>
          <w:rtl/>
        </w:rPr>
        <w:t>ט בחשון תשנ"ח (19 בנובמבר 1997)</w:t>
      </w:r>
    </w:p>
    <w:p w14:paraId="71333D3F" w14:textId="77777777" w:rsidR="00E56B55" w:rsidRDefault="00E56B55">
      <w:pPr>
        <w:pStyle w:val="P00"/>
        <w:spacing w:before="72"/>
        <w:ind w:left="0" w:right="1134"/>
        <w:rPr>
          <w:rFonts w:cs="FrankRuehl"/>
          <w:sz w:val="26"/>
          <w:rtl/>
        </w:rPr>
      </w:pPr>
    </w:p>
    <w:p w14:paraId="55C19AFD" w14:textId="77777777" w:rsidR="00E56B55" w:rsidRDefault="00E56B55">
      <w:pPr>
        <w:pStyle w:val="sig-1"/>
        <w:widowControl/>
        <w:ind w:left="0" w:right="1134"/>
        <w:rPr>
          <w:rFonts w:cs="FrankRuehl"/>
          <w:sz w:val="26"/>
          <w:szCs w:val="26"/>
          <w:rtl/>
        </w:rPr>
      </w:pPr>
      <w:r>
        <w:rPr>
          <w:rFonts w:cs="FrankRuehl"/>
          <w:sz w:val="26"/>
          <w:szCs w:val="26"/>
          <w:rtl/>
        </w:rPr>
        <w:tab/>
      </w:r>
      <w:r>
        <w:rPr>
          <w:rFonts w:cs="FrankRuehl"/>
          <w:sz w:val="26"/>
          <w:szCs w:val="26"/>
          <w:rtl/>
        </w:rPr>
        <w:tab/>
        <w:t>נ</w:t>
      </w:r>
      <w:r>
        <w:rPr>
          <w:rFonts w:cs="FrankRuehl" w:hint="cs"/>
          <w:sz w:val="26"/>
          <w:szCs w:val="26"/>
          <w:rtl/>
        </w:rPr>
        <w:t>תן שרנסקי</w:t>
      </w:r>
      <w:r>
        <w:rPr>
          <w:rFonts w:cs="FrankRuehl"/>
          <w:sz w:val="26"/>
          <w:szCs w:val="26"/>
          <w:rtl/>
        </w:rPr>
        <w:tab/>
        <w:t>י</w:t>
      </w:r>
      <w:r>
        <w:rPr>
          <w:rFonts w:cs="FrankRuehl" w:hint="cs"/>
          <w:sz w:val="26"/>
          <w:szCs w:val="26"/>
          <w:rtl/>
        </w:rPr>
        <w:t>עקב נאמן</w:t>
      </w:r>
    </w:p>
    <w:p w14:paraId="7F63B48C" w14:textId="77777777" w:rsidR="00E56B55" w:rsidRDefault="00E56B55">
      <w:pPr>
        <w:pStyle w:val="sig-1"/>
        <w:widowControl/>
        <w:ind w:left="0" w:right="1134"/>
        <w:rPr>
          <w:rFonts w:cs="FrankRuehl"/>
          <w:sz w:val="22"/>
          <w:rtl/>
        </w:rPr>
      </w:pPr>
      <w:r>
        <w:rPr>
          <w:rFonts w:cs="FrankRuehl"/>
          <w:sz w:val="22"/>
          <w:rtl/>
        </w:rPr>
        <w:tab/>
      </w:r>
      <w:r>
        <w:rPr>
          <w:rFonts w:cs="FrankRuehl"/>
          <w:sz w:val="22"/>
          <w:rtl/>
        </w:rPr>
        <w:tab/>
        <w:t>ש</w:t>
      </w:r>
      <w:r>
        <w:rPr>
          <w:rFonts w:cs="FrankRuehl" w:hint="cs"/>
          <w:sz w:val="22"/>
          <w:rtl/>
        </w:rPr>
        <w:t>ר התעשיה והמסחר</w:t>
      </w:r>
      <w:r>
        <w:rPr>
          <w:rFonts w:cs="FrankRuehl"/>
          <w:sz w:val="22"/>
          <w:rtl/>
        </w:rPr>
        <w:tab/>
        <w:t>ש</w:t>
      </w:r>
      <w:r>
        <w:rPr>
          <w:rFonts w:cs="FrankRuehl" w:hint="cs"/>
          <w:sz w:val="22"/>
          <w:rtl/>
        </w:rPr>
        <w:t>ר האוצר</w:t>
      </w:r>
    </w:p>
    <w:p w14:paraId="2F125A7E" w14:textId="77777777" w:rsidR="00E56B55" w:rsidRDefault="00E56B55">
      <w:pPr>
        <w:pStyle w:val="P00"/>
        <w:spacing w:before="72"/>
        <w:ind w:left="0" w:right="1134"/>
        <w:rPr>
          <w:rStyle w:val="default"/>
          <w:rFonts w:cs="FrankRuehl"/>
          <w:rtl/>
        </w:rPr>
      </w:pPr>
    </w:p>
    <w:p w14:paraId="6E266285" w14:textId="77777777" w:rsidR="00E56B55" w:rsidRDefault="00E56B55">
      <w:pPr>
        <w:pStyle w:val="P00"/>
        <w:spacing w:before="72"/>
        <w:ind w:left="0" w:right="1134"/>
        <w:rPr>
          <w:rStyle w:val="default"/>
          <w:rFonts w:cs="FrankRuehl"/>
          <w:rtl/>
        </w:rPr>
      </w:pPr>
    </w:p>
    <w:p w14:paraId="519E84D9" w14:textId="77777777" w:rsidR="00E56B55" w:rsidRDefault="00E56B55">
      <w:pPr>
        <w:pStyle w:val="P00"/>
        <w:spacing w:before="72"/>
        <w:ind w:left="0" w:right="1134"/>
        <w:rPr>
          <w:rStyle w:val="default"/>
          <w:rFonts w:cs="FrankRuehl"/>
          <w:rtl/>
        </w:rPr>
      </w:pPr>
    </w:p>
    <w:sectPr w:rsidR="00E56B55">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49DEB" w14:textId="77777777" w:rsidR="008942EF" w:rsidRDefault="008942EF">
      <w:r>
        <w:separator/>
      </w:r>
    </w:p>
  </w:endnote>
  <w:endnote w:type="continuationSeparator" w:id="0">
    <w:p w14:paraId="1975FF0B" w14:textId="77777777" w:rsidR="008942EF" w:rsidRDefault="00894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68C3E" w14:textId="77777777" w:rsidR="00E56B55" w:rsidRDefault="00E56B5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02F1AAA" w14:textId="77777777" w:rsidR="00E56B55" w:rsidRDefault="00E56B5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A1EB410" w14:textId="77777777" w:rsidR="00E56B55" w:rsidRDefault="00E56B5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C:\Yael\hakika\Revadim\p181_036.doc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9DC96" w14:textId="77777777" w:rsidR="00E56B55" w:rsidRDefault="00E56B5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E06CB">
      <w:rPr>
        <w:rFonts w:hAnsi="FrankRuehl" w:cs="FrankRuehl"/>
        <w:noProof/>
        <w:sz w:val="24"/>
        <w:szCs w:val="24"/>
        <w:rtl/>
      </w:rPr>
      <w:t>2</w:t>
    </w:r>
    <w:r>
      <w:rPr>
        <w:rFonts w:hAnsi="FrankRuehl" w:cs="FrankRuehl"/>
        <w:sz w:val="24"/>
        <w:szCs w:val="24"/>
        <w:rtl/>
      </w:rPr>
      <w:fldChar w:fldCharType="end"/>
    </w:r>
  </w:p>
  <w:p w14:paraId="78805023" w14:textId="77777777" w:rsidR="00E56B55" w:rsidRDefault="00E56B5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D8F5369" w14:textId="77777777" w:rsidR="00E56B55" w:rsidRDefault="00E56B5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C:\Yael\hakika\Revadim\p181_036.doc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6E475" w14:textId="77777777" w:rsidR="008942EF" w:rsidRDefault="008942EF">
      <w:pPr>
        <w:spacing w:before="60" w:line="240" w:lineRule="auto"/>
        <w:ind w:right="1134"/>
      </w:pPr>
      <w:r>
        <w:separator/>
      </w:r>
    </w:p>
  </w:footnote>
  <w:footnote w:type="continuationSeparator" w:id="0">
    <w:p w14:paraId="1FBBD265" w14:textId="77777777" w:rsidR="008942EF" w:rsidRDefault="008942EF">
      <w:r>
        <w:continuationSeparator/>
      </w:r>
    </w:p>
  </w:footnote>
  <w:footnote w:id="1">
    <w:p w14:paraId="337E741E" w14:textId="77777777" w:rsidR="00E56B55" w:rsidRDefault="00E56B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תשנ"ח מס' 5865</w:t>
        </w:r>
      </w:hyperlink>
      <w:r>
        <w:rPr>
          <w:rFonts w:cs="FrankRuehl" w:hint="cs"/>
          <w:rtl/>
        </w:rPr>
        <w:t xml:space="preserve"> מיום 10.12.1997 עמ' 117.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BD8C6" w14:textId="77777777" w:rsidR="00E56B55" w:rsidRDefault="00E56B5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לעידוד השקעות הון (כללים בדבר שינוי שיעור ההצמדה לעניין חישוב ההכנסה החייבת של חלק מאושר במפעל מעורב), תשנ"ח–1997</w:t>
    </w:r>
  </w:p>
  <w:p w14:paraId="7A880914" w14:textId="77777777" w:rsidR="00E56B55" w:rsidRDefault="00E56B5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FD14CDC" w14:textId="77777777" w:rsidR="00E56B55" w:rsidRDefault="00E56B5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1AB8" w14:textId="77777777" w:rsidR="00E56B55" w:rsidRDefault="00E56B5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לעידוד השקעות הון (כללים בדבר שינוי שיעור ההצמדה לעניין חישוב ההכנסה החייבת של חלק מאושר במפעל מעורב), תשנ"ח</w:t>
    </w:r>
    <w:r>
      <w:rPr>
        <w:rFonts w:hAnsi="FrankRuehl" w:cs="FrankRuehl" w:hint="cs"/>
        <w:color w:val="000000"/>
        <w:sz w:val="28"/>
        <w:szCs w:val="28"/>
        <w:rtl/>
      </w:rPr>
      <w:t>-</w:t>
    </w:r>
    <w:r>
      <w:rPr>
        <w:rFonts w:hAnsi="FrankRuehl" w:cs="FrankRuehl"/>
        <w:color w:val="000000"/>
        <w:sz w:val="28"/>
        <w:szCs w:val="28"/>
        <w:rtl/>
      </w:rPr>
      <w:t>1997</w:t>
    </w:r>
  </w:p>
  <w:p w14:paraId="5152D28B" w14:textId="77777777" w:rsidR="00E56B55" w:rsidRDefault="00E56B5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1640632" w14:textId="77777777" w:rsidR="00E56B55" w:rsidRDefault="00E56B5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176A"/>
    <w:rsid w:val="00140FE0"/>
    <w:rsid w:val="002E06CB"/>
    <w:rsid w:val="003D0C5B"/>
    <w:rsid w:val="005E6E46"/>
    <w:rsid w:val="007616DC"/>
    <w:rsid w:val="008942EF"/>
    <w:rsid w:val="00B324C4"/>
    <w:rsid w:val="00C8176A"/>
    <w:rsid w:val="00E56B5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48326BF"/>
  <w15:chartTrackingRefBased/>
  <w15:docId w15:val="{27889D70-AAF0-487F-BA4B-FC4C27FEA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86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פרק 181</vt:lpstr>
    </vt:vector>
  </TitlesOfParts>
  <Company/>
  <LinksUpToDate>false</LinksUpToDate>
  <CharactersWithSpaces>2105</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7995397</vt:i4>
      </vt:variant>
      <vt:variant>
        <vt:i4>0</vt:i4>
      </vt:variant>
      <vt:variant>
        <vt:i4>0</vt:i4>
      </vt:variant>
      <vt:variant>
        <vt:i4>5</vt:i4>
      </vt:variant>
      <vt:variant>
        <vt:lpwstr>http://www.nevo.co.il/Law_word/law06/TAK-5865.pdf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181</dc:title>
  <dc:subject/>
  <dc:creator>eli</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p181</vt:lpwstr>
  </property>
  <property fmtid="{D5CDD505-2E9C-101B-9397-08002B2CF9AE}" pid="3" name="CHNAME">
    <vt:lpwstr>עידוד השקעות הון</vt:lpwstr>
  </property>
  <property fmtid="{D5CDD505-2E9C-101B-9397-08002B2CF9AE}" pid="4" name="LAWNAME">
    <vt:lpwstr>תקנות לעידוד השקעות הון (כללים בדבר שינוי שיעור ההצמדה לעניין חישוב ההכנסה החייבת של חלק מאושר במפעל מעורב), תשנ"ח-1997</vt:lpwstr>
  </property>
  <property fmtid="{D5CDD505-2E9C-101B-9397-08002B2CF9AE}" pid="5" name="LAWNUMBER">
    <vt:lpwstr>0036</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השקעות </vt:lpwstr>
  </property>
  <property fmtid="{D5CDD505-2E9C-101B-9397-08002B2CF9AE}" pid="10" name="NOSE41">
    <vt:lpwstr>השקעות הון ועידודן</vt:lpwstr>
  </property>
  <property fmtid="{D5CDD505-2E9C-101B-9397-08002B2CF9AE}" pid="11" name="NOSE12">
    <vt:lpwstr>מסים</vt:lpwstr>
  </property>
  <property fmtid="{D5CDD505-2E9C-101B-9397-08002B2CF9AE}" pid="12" name="NOSE22">
    <vt:lpwstr>מס הכנסה</vt:lpwstr>
  </property>
  <property fmtid="{D5CDD505-2E9C-101B-9397-08002B2CF9AE}" pid="13" name="NOSE32">
    <vt:lpwstr>השקעות הון ועידודן</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לעידוד השקעות הון</vt:lpwstr>
  </property>
  <property fmtid="{D5CDD505-2E9C-101B-9397-08002B2CF9AE}" pid="48" name="MEKOR_SAIF1">
    <vt:lpwstr>74XבX1X</vt:lpwstr>
  </property>
</Properties>
</file>