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D4BB1" w14:textId="77777777" w:rsidR="00F14048" w:rsidRDefault="00F14048">
      <w:pPr>
        <w:pStyle w:val="big-header"/>
        <w:ind w:left="0" w:right="1134"/>
        <w:rPr>
          <w:rFonts w:cs="FrankRuehl" w:hint="cs"/>
          <w:sz w:val="32"/>
          <w:rtl/>
        </w:rPr>
      </w:pPr>
      <w:r>
        <w:rPr>
          <w:rFonts w:cs="FrankRuehl"/>
          <w:sz w:val="32"/>
          <w:rtl/>
        </w:rPr>
        <w:t>תקנות לעידוד השקעות הון (כללים לתשלום מענק יצוא), תשל"ח</w:t>
      </w:r>
      <w:r>
        <w:rPr>
          <w:rFonts w:cs="FrankRuehl" w:hint="cs"/>
          <w:sz w:val="32"/>
          <w:rtl/>
        </w:rPr>
        <w:t>-</w:t>
      </w:r>
      <w:r>
        <w:rPr>
          <w:rFonts w:cs="FrankRuehl"/>
          <w:sz w:val="32"/>
          <w:rtl/>
        </w:rPr>
        <w:t>1978</w:t>
      </w:r>
    </w:p>
    <w:p w14:paraId="36AD7302" w14:textId="77777777" w:rsidR="00F2141E" w:rsidRPr="00F2141E" w:rsidRDefault="00F2141E" w:rsidP="00F2141E">
      <w:pPr>
        <w:spacing w:line="320" w:lineRule="auto"/>
        <w:jc w:val="left"/>
        <w:rPr>
          <w:rFonts w:cs="FrankRuehl"/>
          <w:szCs w:val="26"/>
          <w:rtl/>
        </w:rPr>
      </w:pPr>
    </w:p>
    <w:p w14:paraId="3721E5EC" w14:textId="77777777" w:rsidR="00F2141E" w:rsidRDefault="00F2141E" w:rsidP="00F2141E">
      <w:pPr>
        <w:spacing w:line="320" w:lineRule="auto"/>
        <w:jc w:val="left"/>
        <w:rPr>
          <w:rFonts w:cs="Miriam"/>
          <w:szCs w:val="22"/>
          <w:rtl/>
        </w:rPr>
      </w:pPr>
      <w:r w:rsidRPr="00F2141E">
        <w:rPr>
          <w:rFonts w:cs="Miriam"/>
          <w:szCs w:val="22"/>
          <w:rtl/>
        </w:rPr>
        <w:t>משפט פרטי וכלכלה</w:t>
      </w:r>
      <w:r w:rsidRPr="00F2141E">
        <w:rPr>
          <w:rFonts w:cs="FrankRuehl"/>
          <w:szCs w:val="26"/>
          <w:rtl/>
        </w:rPr>
        <w:t xml:space="preserve"> – כספים – השקעות  – השקעות הון ועידודן</w:t>
      </w:r>
    </w:p>
    <w:p w14:paraId="2A7E728A" w14:textId="77777777" w:rsidR="00F2141E" w:rsidRDefault="00F2141E" w:rsidP="00F2141E">
      <w:pPr>
        <w:spacing w:line="320" w:lineRule="auto"/>
        <w:jc w:val="left"/>
        <w:rPr>
          <w:rFonts w:cs="Miriam"/>
          <w:szCs w:val="22"/>
          <w:rtl/>
        </w:rPr>
      </w:pPr>
      <w:r w:rsidRPr="00F2141E">
        <w:rPr>
          <w:rFonts w:cs="Miriam"/>
          <w:szCs w:val="22"/>
          <w:rtl/>
        </w:rPr>
        <w:t>משפט פרטי וכלכלה</w:t>
      </w:r>
      <w:r w:rsidRPr="00F2141E">
        <w:rPr>
          <w:rFonts w:cs="FrankRuehl"/>
          <w:szCs w:val="26"/>
          <w:rtl/>
        </w:rPr>
        <w:t xml:space="preserve"> – מסחר  – יצוא</w:t>
      </w:r>
    </w:p>
    <w:p w14:paraId="4FFCEFE0" w14:textId="77777777" w:rsidR="00F2141E" w:rsidRPr="00F2141E" w:rsidRDefault="00F2141E" w:rsidP="00F2141E">
      <w:pPr>
        <w:spacing w:line="320" w:lineRule="auto"/>
        <w:jc w:val="left"/>
        <w:rPr>
          <w:rFonts w:cs="Miriam" w:hint="cs"/>
          <w:szCs w:val="22"/>
          <w:rtl/>
        </w:rPr>
      </w:pPr>
      <w:r w:rsidRPr="00F2141E">
        <w:rPr>
          <w:rFonts w:cs="Miriam"/>
          <w:szCs w:val="22"/>
          <w:rtl/>
        </w:rPr>
        <w:t>מסים</w:t>
      </w:r>
      <w:r w:rsidRPr="00F2141E">
        <w:rPr>
          <w:rFonts w:cs="FrankRuehl"/>
          <w:szCs w:val="26"/>
          <w:rtl/>
        </w:rPr>
        <w:t xml:space="preserve"> – מס הכנסה – השקעות הון ועידודן</w:t>
      </w:r>
    </w:p>
    <w:p w14:paraId="358B32C0" w14:textId="77777777" w:rsidR="00F14048" w:rsidRDefault="00F14048">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14048" w14:paraId="2C38F53D" w14:textId="77777777">
        <w:tblPrEx>
          <w:tblCellMar>
            <w:top w:w="0" w:type="dxa"/>
            <w:bottom w:w="0" w:type="dxa"/>
          </w:tblCellMar>
        </w:tblPrEx>
        <w:tc>
          <w:tcPr>
            <w:tcW w:w="850" w:type="dxa"/>
          </w:tcPr>
          <w:p w14:paraId="3826C971" w14:textId="77777777" w:rsidR="00F14048" w:rsidRDefault="00F1404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30AB7C9" w14:textId="77777777" w:rsidR="00F14048" w:rsidRDefault="00F14048">
            <w:pPr>
              <w:spacing w:line="240" w:lineRule="auto"/>
              <w:rPr>
                <w:sz w:val="24"/>
              </w:rPr>
            </w:pPr>
            <w:hyperlink w:anchor="Seif0" w:tooltip="הגדרות" w:history="1">
              <w:r>
                <w:rPr>
                  <w:rStyle w:val="Hyperlink"/>
                </w:rPr>
                <w:t>Go</w:t>
              </w:r>
            </w:hyperlink>
          </w:p>
        </w:tc>
        <w:tc>
          <w:tcPr>
            <w:tcW w:w="5669" w:type="dxa"/>
          </w:tcPr>
          <w:p w14:paraId="0D397BA8" w14:textId="77777777" w:rsidR="00F14048" w:rsidRDefault="00F14048">
            <w:pPr>
              <w:spacing w:line="240" w:lineRule="auto"/>
              <w:rPr>
                <w:sz w:val="24"/>
                <w:rtl/>
              </w:rPr>
            </w:pPr>
            <w:r>
              <w:rPr>
                <w:sz w:val="24"/>
                <w:rtl/>
              </w:rPr>
              <w:t>הגדרות</w:t>
            </w:r>
          </w:p>
        </w:tc>
        <w:tc>
          <w:tcPr>
            <w:tcW w:w="1247" w:type="dxa"/>
          </w:tcPr>
          <w:p w14:paraId="71498324" w14:textId="77777777" w:rsidR="00F14048" w:rsidRDefault="00F14048">
            <w:pPr>
              <w:spacing w:line="240" w:lineRule="auto"/>
              <w:rPr>
                <w:sz w:val="24"/>
              </w:rPr>
            </w:pPr>
            <w:r>
              <w:rPr>
                <w:sz w:val="24"/>
                <w:rtl/>
              </w:rPr>
              <w:t xml:space="preserve">סעיף 1 </w:t>
            </w:r>
          </w:p>
        </w:tc>
      </w:tr>
      <w:tr w:rsidR="00F14048" w14:paraId="5966A9D3" w14:textId="77777777">
        <w:tblPrEx>
          <w:tblCellMar>
            <w:top w:w="0" w:type="dxa"/>
            <w:bottom w:w="0" w:type="dxa"/>
          </w:tblCellMar>
        </w:tblPrEx>
        <w:tc>
          <w:tcPr>
            <w:tcW w:w="850" w:type="dxa"/>
          </w:tcPr>
          <w:p w14:paraId="2024F410" w14:textId="77777777" w:rsidR="00F14048" w:rsidRDefault="00F1404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4B3C78E" w14:textId="77777777" w:rsidR="00F14048" w:rsidRDefault="00F14048">
            <w:pPr>
              <w:spacing w:line="240" w:lineRule="auto"/>
              <w:rPr>
                <w:sz w:val="24"/>
              </w:rPr>
            </w:pPr>
            <w:hyperlink w:anchor="Seif1" w:tooltip="שיעור מענק יצוא" w:history="1">
              <w:r>
                <w:rPr>
                  <w:rStyle w:val="Hyperlink"/>
                </w:rPr>
                <w:t>Go</w:t>
              </w:r>
            </w:hyperlink>
          </w:p>
        </w:tc>
        <w:tc>
          <w:tcPr>
            <w:tcW w:w="5669" w:type="dxa"/>
          </w:tcPr>
          <w:p w14:paraId="3FFB5FD6" w14:textId="77777777" w:rsidR="00F14048" w:rsidRDefault="00F14048">
            <w:pPr>
              <w:spacing w:line="240" w:lineRule="auto"/>
              <w:rPr>
                <w:sz w:val="24"/>
                <w:rtl/>
              </w:rPr>
            </w:pPr>
            <w:r>
              <w:rPr>
                <w:sz w:val="24"/>
                <w:rtl/>
              </w:rPr>
              <w:t>שיעור מענק יצוא</w:t>
            </w:r>
          </w:p>
        </w:tc>
        <w:tc>
          <w:tcPr>
            <w:tcW w:w="1247" w:type="dxa"/>
          </w:tcPr>
          <w:p w14:paraId="299878FF" w14:textId="77777777" w:rsidR="00F14048" w:rsidRDefault="00F14048">
            <w:pPr>
              <w:spacing w:line="240" w:lineRule="auto"/>
              <w:rPr>
                <w:sz w:val="24"/>
              </w:rPr>
            </w:pPr>
            <w:r>
              <w:rPr>
                <w:sz w:val="24"/>
                <w:rtl/>
              </w:rPr>
              <w:t xml:space="preserve">סעיף 2 </w:t>
            </w:r>
          </w:p>
        </w:tc>
      </w:tr>
      <w:tr w:rsidR="00F14048" w14:paraId="193C3A45" w14:textId="77777777">
        <w:tblPrEx>
          <w:tblCellMar>
            <w:top w:w="0" w:type="dxa"/>
            <w:bottom w:w="0" w:type="dxa"/>
          </w:tblCellMar>
        </w:tblPrEx>
        <w:tc>
          <w:tcPr>
            <w:tcW w:w="850" w:type="dxa"/>
          </w:tcPr>
          <w:p w14:paraId="528DDFAA" w14:textId="77777777" w:rsidR="00F14048" w:rsidRDefault="00F1404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7CA58B2" w14:textId="77777777" w:rsidR="00F14048" w:rsidRDefault="00F14048">
            <w:pPr>
              <w:spacing w:line="240" w:lineRule="auto"/>
              <w:rPr>
                <w:sz w:val="24"/>
              </w:rPr>
            </w:pPr>
            <w:hyperlink w:anchor="Seif2" w:tooltip="תשלום המענק ביחס לערך ההשקעות" w:history="1">
              <w:r>
                <w:rPr>
                  <w:rStyle w:val="Hyperlink"/>
                </w:rPr>
                <w:t>Go</w:t>
              </w:r>
            </w:hyperlink>
          </w:p>
        </w:tc>
        <w:tc>
          <w:tcPr>
            <w:tcW w:w="5669" w:type="dxa"/>
          </w:tcPr>
          <w:p w14:paraId="18B979A3" w14:textId="77777777" w:rsidR="00F14048" w:rsidRDefault="00F14048">
            <w:pPr>
              <w:spacing w:line="240" w:lineRule="auto"/>
              <w:rPr>
                <w:sz w:val="24"/>
                <w:rtl/>
              </w:rPr>
            </w:pPr>
            <w:r>
              <w:rPr>
                <w:sz w:val="24"/>
                <w:rtl/>
              </w:rPr>
              <w:t>תשלום המענק ביחס לערך ההשקעות</w:t>
            </w:r>
          </w:p>
        </w:tc>
        <w:tc>
          <w:tcPr>
            <w:tcW w:w="1247" w:type="dxa"/>
          </w:tcPr>
          <w:p w14:paraId="1E7C14F2" w14:textId="77777777" w:rsidR="00F14048" w:rsidRDefault="00F14048">
            <w:pPr>
              <w:spacing w:line="240" w:lineRule="auto"/>
              <w:rPr>
                <w:sz w:val="24"/>
              </w:rPr>
            </w:pPr>
            <w:r>
              <w:rPr>
                <w:sz w:val="24"/>
                <w:rtl/>
              </w:rPr>
              <w:t xml:space="preserve">סעיף 3 </w:t>
            </w:r>
          </w:p>
        </w:tc>
      </w:tr>
      <w:tr w:rsidR="00F14048" w14:paraId="79B954DB" w14:textId="77777777">
        <w:tblPrEx>
          <w:tblCellMar>
            <w:top w:w="0" w:type="dxa"/>
            <w:bottom w:w="0" w:type="dxa"/>
          </w:tblCellMar>
        </w:tblPrEx>
        <w:tc>
          <w:tcPr>
            <w:tcW w:w="850" w:type="dxa"/>
          </w:tcPr>
          <w:p w14:paraId="36941EF1" w14:textId="77777777" w:rsidR="00F14048" w:rsidRDefault="00F1404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B73CE07" w14:textId="77777777" w:rsidR="00F14048" w:rsidRDefault="00F14048">
            <w:pPr>
              <w:spacing w:line="240" w:lineRule="auto"/>
              <w:rPr>
                <w:sz w:val="24"/>
              </w:rPr>
            </w:pPr>
            <w:hyperlink w:anchor="Seif3" w:tooltip="תוספת היצוא בהרחבת מפעל" w:history="1">
              <w:r>
                <w:rPr>
                  <w:rStyle w:val="Hyperlink"/>
                </w:rPr>
                <w:t>Go</w:t>
              </w:r>
            </w:hyperlink>
          </w:p>
        </w:tc>
        <w:tc>
          <w:tcPr>
            <w:tcW w:w="5669" w:type="dxa"/>
          </w:tcPr>
          <w:p w14:paraId="54B3D183" w14:textId="77777777" w:rsidR="00F14048" w:rsidRDefault="00F14048">
            <w:pPr>
              <w:spacing w:line="240" w:lineRule="auto"/>
              <w:rPr>
                <w:sz w:val="24"/>
                <w:rtl/>
              </w:rPr>
            </w:pPr>
            <w:r>
              <w:rPr>
                <w:sz w:val="24"/>
                <w:rtl/>
              </w:rPr>
              <w:t>תוספת היצוא בהרחבת מפעל</w:t>
            </w:r>
          </w:p>
        </w:tc>
        <w:tc>
          <w:tcPr>
            <w:tcW w:w="1247" w:type="dxa"/>
          </w:tcPr>
          <w:p w14:paraId="117968E2" w14:textId="77777777" w:rsidR="00F14048" w:rsidRDefault="00F14048">
            <w:pPr>
              <w:spacing w:line="240" w:lineRule="auto"/>
              <w:rPr>
                <w:sz w:val="24"/>
              </w:rPr>
            </w:pPr>
            <w:r>
              <w:rPr>
                <w:sz w:val="24"/>
                <w:rtl/>
              </w:rPr>
              <w:t xml:space="preserve">סעיף 4 </w:t>
            </w:r>
          </w:p>
        </w:tc>
      </w:tr>
      <w:tr w:rsidR="00F14048" w14:paraId="54766C31" w14:textId="77777777">
        <w:tblPrEx>
          <w:tblCellMar>
            <w:top w:w="0" w:type="dxa"/>
            <w:bottom w:w="0" w:type="dxa"/>
          </w:tblCellMar>
        </w:tblPrEx>
        <w:tc>
          <w:tcPr>
            <w:tcW w:w="850" w:type="dxa"/>
          </w:tcPr>
          <w:p w14:paraId="55F93C96" w14:textId="77777777" w:rsidR="00F14048" w:rsidRDefault="00F1404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596170A" w14:textId="77777777" w:rsidR="00F14048" w:rsidRDefault="00F14048">
            <w:pPr>
              <w:spacing w:line="240" w:lineRule="auto"/>
              <w:rPr>
                <w:sz w:val="24"/>
              </w:rPr>
            </w:pPr>
            <w:hyperlink w:anchor="Seif4" w:tooltip="מפעל עתיר מדע" w:history="1">
              <w:r>
                <w:rPr>
                  <w:rStyle w:val="Hyperlink"/>
                </w:rPr>
                <w:t>Go</w:t>
              </w:r>
            </w:hyperlink>
          </w:p>
        </w:tc>
        <w:tc>
          <w:tcPr>
            <w:tcW w:w="5669" w:type="dxa"/>
          </w:tcPr>
          <w:p w14:paraId="79FEBE95" w14:textId="77777777" w:rsidR="00F14048" w:rsidRDefault="00F14048">
            <w:pPr>
              <w:spacing w:line="240" w:lineRule="auto"/>
              <w:rPr>
                <w:sz w:val="24"/>
                <w:rtl/>
              </w:rPr>
            </w:pPr>
            <w:r>
              <w:rPr>
                <w:sz w:val="24"/>
                <w:rtl/>
              </w:rPr>
              <w:t>מפעל עתיר מדע</w:t>
            </w:r>
          </w:p>
        </w:tc>
        <w:tc>
          <w:tcPr>
            <w:tcW w:w="1247" w:type="dxa"/>
          </w:tcPr>
          <w:p w14:paraId="3CE2662C" w14:textId="77777777" w:rsidR="00F14048" w:rsidRDefault="00F14048">
            <w:pPr>
              <w:spacing w:line="240" w:lineRule="auto"/>
              <w:rPr>
                <w:sz w:val="24"/>
              </w:rPr>
            </w:pPr>
            <w:r>
              <w:rPr>
                <w:sz w:val="24"/>
                <w:rtl/>
              </w:rPr>
              <w:t xml:space="preserve">סעיף 5 </w:t>
            </w:r>
          </w:p>
        </w:tc>
      </w:tr>
      <w:tr w:rsidR="00F14048" w14:paraId="70B0C5EE" w14:textId="77777777">
        <w:tblPrEx>
          <w:tblCellMar>
            <w:top w:w="0" w:type="dxa"/>
            <w:bottom w:w="0" w:type="dxa"/>
          </w:tblCellMar>
        </w:tblPrEx>
        <w:tc>
          <w:tcPr>
            <w:tcW w:w="850" w:type="dxa"/>
          </w:tcPr>
          <w:p w14:paraId="5E217535" w14:textId="77777777" w:rsidR="00F14048" w:rsidRDefault="00F14048">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49A5130" w14:textId="77777777" w:rsidR="00F14048" w:rsidRDefault="00F14048">
            <w:pPr>
              <w:spacing w:line="240" w:lineRule="auto"/>
              <w:rPr>
                <w:sz w:val="24"/>
              </w:rPr>
            </w:pPr>
            <w:hyperlink w:anchor="Seif5" w:tooltip="מועד תשלום המענק" w:history="1">
              <w:r>
                <w:rPr>
                  <w:rStyle w:val="Hyperlink"/>
                </w:rPr>
                <w:t>Go</w:t>
              </w:r>
            </w:hyperlink>
          </w:p>
        </w:tc>
        <w:tc>
          <w:tcPr>
            <w:tcW w:w="5669" w:type="dxa"/>
          </w:tcPr>
          <w:p w14:paraId="6F297D98" w14:textId="77777777" w:rsidR="00F14048" w:rsidRDefault="00F14048">
            <w:pPr>
              <w:spacing w:line="240" w:lineRule="auto"/>
              <w:rPr>
                <w:sz w:val="24"/>
                <w:rtl/>
              </w:rPr>
            </w:pPr>
            <w:r>
              <w:rPr>
                <w:sz w:val="24"/>
                <w:rtl/>
              </w:rPr>
              <w:t>מועד תשלום המענק</w:t>
            </w:r>
          </w:p>
        </w:tc>
        <w:tc>
          <w:tcPr>
            <w:tcW w:w="1247" w:type="dxa"/>
          </w:tcPr>
          <w:p w14:paraId="25C42449" w14:textId="77777777" w:rsidR="00F14048" w:rsidRDefault="00F14048">
            <w:pPr>
              <w:spacing w:line="240" w:lineRule="auto"/>
              <w:rPr>
                <w:sz w:val="24"/>
              </w:rPr>
            </w:pPr>
            <w:r>
              <w:rPr>
                <w:sz w:val="24"/>
                <w:rtl/>
              </w:rPr>
              <w:t xml:space="preserve">סעיף 6 </w:t>
            </w:r>
          </w:p>
        </w:tc>
      </w:tr>
      <w:tr w:rsidR="00F14048" w14:paraId="60B42CAD" w14:textId="77777777">
        <w:tblPrEx>
          <w:tblCellMar>
            <w:top w:w="0" w:type="dxa"/>
            <w:bottom w:w="0" w:type="dxa"/>
          </w:tblCellMar>
        </w:tblPrEx>
        <w:tc>
          <w:tcPr>
            <w:tcW w:w="850" w:type="dxa"/>
          </w:tcPr>
          <w:p w14:paraId="48A62B41" w14:textId="77777777" w:rsidR="00F14048" w:rsidRDefault="00F14048">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9D636C1" w14:textId="77777777" w:rsidR="00F14048" w:rsidRDefault="00F14048">
            <w:pPr>
              <w:spacing w:line="240" w:lineRule="auto"/>
              <w:rPr>
                <w:sz w:val="24"/>
              </w:rPr>
            </w:pPr>
            <w:hyperlink w:anchor="Seif6" w:tooltip="תחילה" w:history="1">
              <w:r>
                <w:rPr>
                  <w:rStyle w:val="Hyperlink"/>
                </w:rPr>
                <w:t>Go</w:t>
              </w:r>
            </w:hyperlink>
          </w:p>
        </w:tc>
        <w:tc>
          <w:tcPr>
            <w:tcW w:w="5669" w:type="dxa"/>
          </w:tcPr>
          <w:p w14:paraId="19FF514C" w14:textId="77777777" w:rsidR="00F14048" w:rsidRDefault="00F14048">
            <w:pPr>
              <w:spacing w:line="240" w:lineRule="auto"/>
              <w:rPr>
                <w:sz w:val="24"/>
                <w:rtl/>
              </w:rPr>
            </w:pPr>
            <w:r>
              <w:rPr>
                <w:sz w:val="24"/>
                <w:rtl/>
              </w:rPr>
              <w:t>תחילה</w:t>
            </w:r>
          </w:p>
        </w:tc>
        <w:tc>
          <w:tcPr>
            <w:tcW w:w="1247" w:type="dxa"/>
          </w:tcPr>
          <w:p w14:paraId="72DE9983" w14:textId="77777777" w:rsidR="00F14048" w:rsidRDefault="00F14048">
            <w:pPr>
              <w:spacing w:line="240" w:lineRule="auto"/>
              <w:rPr>
                <w:sz w:val="24"/>
              </w:rPr>
            </w:pPr>
            <w:r>
              <w:rPr>
                <w:sz w:val="24"/>
                <w:rtl/>
              </w:rPr>
              <w:t xml:space="preserve">סעיף 7 </w:t>
            </w:r>
          </w:p>
        </w:tc>
      </w:tr>
      <w:tr w:rsidR="00F14048" w14:paraId="340959E4" w14:textId="77777777">
        <w:tblPrEx>
          <w:tblCellMar>
            <w:top w:w="0" w:type="dxa"/>
            <w:bottom w:w="0" w:type="dxa"/>
          </w:tblCellMar>
        </w:tblPrEx>
        <w:tc>
          <w:tcPr>
            <w:tcW w:w="850" w:type="dxa"/>
          </w:tcPr>
          <w:p w14:paraId="7B22CCE0" w14:textId="77777777" w:rsidR="00F14048" w:rsidRDefault="00F14048">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11A9A06" w14:textId="77777777" w:rsidR="00F14048" w:rsidRDefault="00F14048">
            <w:pPr>
              <w:spacing w:line="240" w:lineRule="auto"/>
              <w:rPr>
                <w:sz w:val="24"/>
              </w:rPr>
            </w:pPr>
            <w:hyperlink w:anchor="Seif7" w:tooltip="השם" w:history="1">
              <w:r>
                <w:rPr>
                  <w:rStyle w:val="Hyperlink"/>
                </w:rPr>
                <w:t>Go</w:t>
              </w:r>
            </w:hyperlink>
          </w:p>
        </w:tc>
        <w:tc>
          <w:tcPr>
            <w:tcW w:w="5669" w:type="dxa"/>
          </w:tcPr>
          <w:p w14:paraId="74939A57" w14:textId="77777777" w:rsidR="00F14048" w:rsidRDefault="00F14048">
            <w:pPr>
              <w:spacing w:line="240" w:lineRule="auto"/>
              <w:rPr>
                <w:sz w:val="24"/>
                <w:rtl/>
              </w:rPr>
            </w:pPr>
            <w:r>
              <w:rPr>
                <w:sz w:val="24"/>
                <w:rtl/>
              </w:rPr>
              <w:t>השם</w:t>
            </w:r>
          </w:p>
        </w:tc>
        <w:tc>
          <w:tcPr>
            <w:tcW w:w="1247" w:type="dxa"/>
          </w:tcPr>
          <w:p w14:paraId="5D94E45B" w14:textId="77777777" w:rsidR="00F14048" w:rsidRDefault="00F14048">
            <w:pPr>
              <w:spacing w:line="240" w:lineRule="auto"/>
              <w:rPr>
                <w:sz w:val="24"/>
              </w:rPr>
            </w:pPr>
            <w:r>
              <w:rPr>
                <w:sz w:val="24"/>
                <w:rtl/>
              </w:rPr>
              <w:t xml:space="preserve">סעיף 8 </w:t>
            </w:r>
          </w:p>
        </w:tc>
      </w:tr>
    </w:tbl>
    <w:p w14:paraId="65CA49B5" w14:textId="77777777" w:rsidR="00F14048" w:rsidRDefault="00F14048">
      <w:pPr>
        <w:pStyle w:val="big-header"/>
        <w:ind w:left="0" w:right="1134"/>
        <w:rPr>
          <w:rFonts w:cs="FrankRuehl"/>
          <w:sz w:val="32"/>
          <w:rtl/>
        </w:rPr>
      </w:pPr>
    </w:p>
    <w:p w14:paraId="1C7A8258" w14:textId="77777777" w:rsidR="00F14048" w:rsidRDefault="00F14048" w:rsidP="00F2141E">
      <w:pPr>
        <w:pStyle w:val="big-header"/>
        <w:ind w:left="0" w:right="1134"/>
        <w:rPr>
          <w:rStyle w:val="default"/>
          <w:rFonts w:cs="FrankRuehl" w:hint="cs"/>
          <w:rtl/>
        </w:rPr>
      </w:pPr>
      <w:r>
        <w:rPr>
          <w:rFonts w:cs="FrankRuehl"/>
          <w:sz w:val="32"/>
          <w:rtl/>
        </w:rPr>
        <w:br w:type="page"/>
      </w:r>
      <w:r w:rsidR="00F2141E">
        <w:rPr>
          <w:rFonts w:cs="FrankRuehl"/>
          <w:sz w:val="32"/>
          <w:rtl/>
        </w:rPr>
        <w:lastRenderedPageBreak/>
        <w:t xml:space="preserve"> </w:t>
      </w:r>
      <w:r>
        <w:rPr>
          <w:rFonts w:cs="FrankRuehl"/>
          <w:sz w:val="32"/>
          <w:rtl/>
        </w:rPr>
        <w:t>תק</w:t>
      </w:r>
      <w:r>
        <w:rPr>
          <w:rFonts w:cs="FrankRuehl" w:hint="cs"/>
          <w:sz w:val="32"/>
          <w:rtl/>
        </w:rPr>
        <w:t>נות לעידוד השקעות הון (כללים לתשלום מענק יצוא), תשל"ח-</w:t>
      </w:r>
      <w:r>
        <w:rPr>
          <w:rFonts w:cs="FrankRuehl"/>
          <w:sz w:val="32"/>
          <w:rtl/>
        </w:rPr>
        <w:t>1978</w:t>
      </w:r>
      <w:r>
        <w:rPr>
          <w:rStyle w:val="default"/>
          <w:rtl/>
        </w:rPr>
        <w:footnoteReference w:customMarkFollows="1" w:id="1"/>
        <w:t>*</w:t>
      </w:r>
    </w:p>
    <w:p w14:paraId="22E7186D" w14:textId="77777777" w:rsidR="00F14048" w:rsidRDefault="00F1404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סמכויותינו לפי סעיפים 40ה ו-40ו לחוק לעידוד השקעות הון, תשי"ט-</w:t>
      </w:r>
      <w:r>
        <w:rPr>
          <w:rStyle w:val="default"/>
          <w:rFonts w:cs="FrankRuehl"/>
          <w:rtl/>
        </w:rPr>
        <w:t>1959 (</w:t>
      </w:r>
      <w:r>
        <w:rPr>
          <w:rStyle w:val="default"/>
          <w:rFonts w:cs="FrankRuehl" w:hint="cs"/>
          <w:rtl/>
        </w:rPr>
        <w:t>להלן -</w:t>
      </w:r>
      <w:r>
        <w:rPr>
          <w:rStyle w:val="default"/>
          <w:rFonts w:cs="FrankRuehl"/>
          <w:rtl/>
        </w:rPr>
        <w:t xml:space="preserve"> </w:t>
      </w:r>
      <w:r>
        <w:rPr>
          <w:rStyle w:val="default"/>
          <w:rFonts w:cs="FrankRuehl" w:hint="cs"/>
          <w:rtl/>
        </w:rPr>
        <w:t>החוק), ובאישור ועדת הכספים של הכנסת, אנו מתקינים תקנות אלה:</w:t>
      </w:r>
    </w:p>
    <w:p w14:paraId="16A0D8C1" w14:textId="77777777" w:rsidR="00F14048" w:rsidRDefault="00F14048">
      <w:pPr>
        <w:pStyle w:val="P00"/>
        <w:spacing w:before="72"/>
        <w:ind w:left="0" w:right="1134"/>
        <w:rPr>
          <w:rStyle w:val="default"/>
          <w:rFonts w:cs="FrankRuehl" w:hint="cs"/>
          <w:rtl/>
        </w:rPr>
      </w:pPr>
      <w:bookmarkStart w:id="0" w:name="Seif0"/>
      <w:bookmarkEnd w:id="0"/>
      <w:r>
        <w:rPr>
          <w:lang w:val="he-IL"/>
        </w:rPr>
        <w:pict w14:anchorId="36B506C5">
          <v:rect id="_x0000_s1026" style="position:absolute;left:0;text-align:left;margin-left:464.5pt;margin-top:8.05pt;width:75.05pt;height:10.8pt;z-index:251654144" o:allowincell="f" filled="f" stroked="f" strokecolor="lime" strokeweight=".25pt">
            <v:textbox inset="0,0,0,0">
              <w:txbxContent>
                <w:p w14:paraId="6BCFBA75" w14:textId="77777777" w:rsidR="00F14048" w:rsidRDefault="00F1404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33A81EB5" w14:textId="77777777" w:rsidR="00F14048" w:rsidRDefault="00F1404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ענק</w:t>
      </w:r>
      <w:r>
        <w:rPr>
          <w:rStyle w:val="default"/>
          <w:rFonts w:cs="FrankRuehl"/>
          <w:rtl/>
        </w:rPr>
        <w:t xml:space="preserve">" </w:t>
      </w:r>
      <w:r>
        <w:rPr>
          <w:rStyle w:val="default"/>
          <w:rFonts w:cs="FrankRuehl" w:hint="cs"/>
          <w:rtl/>
        </w:rPr>
        <w:t>-</w:t>
      </w:r>
      <w:r>
        <w:rPr>
          <w:rStyle w:val="default"/>
          <w:rFonts w:cs="FrankRuehl"/>
          <w:rtl/>
        </w:rPr>
        <w:t xml:space="preserve"> </w:t>
      </w:r>
      <w:r>
        <w:rPr>
          <w:rStyle w:val="default"/>
          <w:rFonts w:cs="FrankRuehl" w:hint="cs"/>
          <w:rtl/>
        </w:rPr>
        <w:t>מענק יצוא;</w:t>
      </w:r>
    </w:p>
    <w:p w14:paraId="53AEE13E" w14:textId="77777777" w:rsidR="00F14048" w:rsidRDefault="00F14048">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רך השקעות" -</w:t>
      </w:r>
      <w:r>
        <w:rPr>
          <w:rStyle w:val="default"/>
          <w:rFonts w:cs="FrankRuehl"/>
          <w:rtl/>
        </w:rPr>
        <w:t xml:space="preserve"> </w:t>
      </w:r>
      <w:r>
        <w:rPr>
          <w:rStyle w:val="default"/>
          <w:rFonts w:cs="FrankRuehl" w:hint="cs"/>
          <w:rtl/>
        </w:rPr>
        <w:t>ערך השקעות שהכיר בהן המנהל כאמור בסעיף 40ו לחוק.</w:t>
      </w:r>
    </w:p>
    <w:p w14:paraId="7703D90B" w14:textId="77777777" w:rsidR="00F14048" w:rsidRDefault="00F14048">
      <w:pPr>
        <w:pStyle w:val="P00"/>
        <w:spacing w:before="72"/>
        <w:ind w:left="0" w:right="1134"/>
        <w:rPr>
          <w:rStyle w:val="default"/>
          <w:rFonts w:cs="FrankRuehl"/>
          <w:rtl/>
        </w:rPr>
      </w:pPr>
      <w:bookmarkStart w:id="1" w:name="Seif1"/>
      <w:bookmarkEnd w:id="1"/>
      <w:r>
        <w:rPr>
          <w:lang w:val="he-IL"/>
        </w:rPr>
        <w:pict w14:anchorId="59D1969F">
          <v:rect id="_x0000_s1027" style="position:absolute;left:0;text-align:left;margin-left:464.5pt;margin-top:8.05pt;width:75.05pt;height:16pt;z-index:251655168" o:allowincell="f" filled="f" stroked="f" strokecolor="lime" strokeweight=".25pt">
            <v:textbox inset="0,0,0,0">
              <w:txbxContent>
                <w:p w14:paraId="457E67A4" w14:textId="77777777" w:rsidR="00F14048" w:rsidRDefault="00F14048">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עור מענק </w:t>
                  </w:r>
                  <w:r>
                    <w:rPr>
                      <w:rFonts w:cs="Miriam"/>
                      <w:sz w:val="18"/>
                      <w:szCs w:val="18"/>
                      <w:rtl/>
                    </w:rPr>
                    <w:t>יצ</w:t>
                  </w:r>
                  <w:r>
                    <w:rPr>
                      <w:rFonts w:cs="Miriam" w:hint="cs"/>
                      <w:sz w:val="18"/>
                      <w:szCs w:val="18"/>
                      <w:rtl/>
                    </w:rPr>
                    <w:t>וא</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ענק יהיה בשיעור של לירה אחת בשל כל דולר של ארצות-הברית שנתקבל בתמורת יצוא טובין, או כנגד שוויו אם נתקבלה תמורת היצוא במטבע חוץ אחרת.</w:t>
      </w:r>
    </w:p>
    <w:p w14:paraId="69AA6CCF" w14:textId="77777777" w:rsidR="00F14048" w:rsidRDefault="00F1404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תקנת משנה (א) השווי בדו</w:t>
      </w:r>
      <w:r>
        <w:rPr>
          <w:rStyle w:val="default"/>
          <w:rFonts w:cs="FrankRuehl"/>
          <w:rtl/>
        </w:rPr>
        <w:t>לר</w:t>
      </w:r>
      <w:r>
        <w:rPr>
          <w:rStyle w:val="default"/>
          <w:rFonts w:cs="FrankRuehl" w:hint="cs"/>
          <w:rtl/>
        </w:rPr>
        <w:t xml:space="preserve"> של ארצות הברית של תמורת יצוא שנתקבלה במטבע חוץ אחרת יחושב לפי השווי ביום המרת התמורה ללירות ישראליות או ביום הפקדתה בחשבון במטבע חוץ בבנק בישראל, לפ</w:t>
      </w:r>
      <w:r>
        <w:rPr>
          <w:rStyle w:val="default"/>
          <w:rFonts w:cs="FrankRuehl"/>
          <w:rtl/>
        </w:rPr>
        <w:t>י</w:t>
      </w:r>
      <w:r>
        <w:rPr>
          <w:rStyle w:val="default"/>
          <w:rFonts w:cs="FrankRuehl" w:hint="cs"/>
          <w:rtl/>
        </w:rPr>
        <w:t xml:space="preserve"> המוקדם כלהלן:</w:t>
      </w:r>
    </w:p>
    <w:p w14:paraId="4A1D3E1B" w14:textId="77777777" w:rsidR="00F14048" w:rsidRDefault="00F1404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גבי תמורת יצוא שנתקבלה לפני כ' בחשוון תשל"ח (1 בנובמבר 1977) -</w:t>
      </w:r>
      <w:r>
        <w:rPr>
          <w:rStyle w:val="default"/>
          <w:rFonts w:cs="FrankRuehl"/>
          <w:rtl/>
        </w:rPr>
        <w:t xml:space="preserve"> </w:t>
      </w:r>
      <w:r>
        <w:rPr>
          <w:rStyle w:val="default"/>
          <w:rFonts w:cs="FrankRuehl" w:hint="cs"/>
          <w:rtl/>
        </w:rPr>
        <w:t>לפי שערי הקניה של המט</w:t>
      </w:r>
      <w:r>
        <w:rPr>
          <w:rStyle w:val="default"/>
          <w:rFonts w:cs="FrankRuehl"/>
          <w:rtl/>
        </w:rPr>
        <w:t>בע</w:t>
      </w:r>
      <w:r>
        <w:rPr>
          <w:rStyle w:val="default"/>
          <w:rFonts w:cs="FrankRuehl" w:hint="cs"/>
          <w:rtl/>
        </w:rPr>
        <w:t>ות כפי שפרסם בנק ישראל;</w:t>
      </w:r>
    </w:p>
    <w:p w14:paraId="5EE463C7" w14:textId="77777777" w:rsidR="00F14048" w:rsidRDefault="00F1404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גבי תמורת יצוא שנתקבלה ביום כ' בחשון תשל"ח (1 בנובמבר 1977) או אחרי מועד זה -</w:t>
      </w:r>
      <w:r>
        <w:rPr>
          <w:rStyle w:val="default"/>
          <w:rFonts w:cs="FrankRuehl"/>
          <w:rtl/>
        </w:rPr>
        <w:t xml:space="preserve"> </w:t>
      </w:r>
      <w:r>
        <w:rPr>
          <w:rStyle w:val="default"/>
          <w:rFonts w:cs="FrankRuehl" w:hint="cs"/>
          <w:rtl/>
        </w:rPr>
        <w:t>לפי השערים היציגים שמפרסם בנק ישראל.</w:t>
      </w:r>
    </w:p>
    <w:p w14:paraId="7AD4BE8D" w14:textId="77777777" w:rsidR="00F14048" w:rsidRDefault="00F14048">
      <w:pPr>
        <w:pStyle w:val="P00"/>
        <w:spacing w:before="72"/>
        <w:ind w:left="0" w:right="1134"/>
        <w:rPr>
          <w:rStyle w:val="default"/>
          <w:rFonts w:cs="FrankRuehl"/>
          <w:rtl/>
        </w:rPr>
      </w:pPr>
      <w:bookmarkStart w:id="2" w:name="Seif2"/>
      <w:bookmarkEnd w:id="2"/>
      <w:r>
        <w:rPr>
          <w:lang w:val="he-IL"/>
        </w:rPr>
        <w:pict w14:anchorId="588C308B">
          <v:rect id="_x0000_s1028" style="position:absolute;left:0;text-align:left;margin-left:464.5pt;margin-top:8.05pt;width:75.05pt;height:24pt;z-index:251656192" o:allowincell="f" filled="f" stroked="f" strokecolor="lime" strokeweight=".25pt">
            <v:textbox inset="0,0,0,0">
              <w:txbxContent>
                <w:p w14:paraId="3EEB8C8A" w14:textId="77777777" w:rsidR="00F14048" w:rsidRDefault="00F14048">
                  <w:pPr>
                    <w:spacing w:line="160" w:lineRule="exact"/>
                    <w:jc w:val="left"/>
                    <w:rPr>
                      <w:rFonts w:cs="Miriam"/>
                      <w:noProof/>
                      <w:sz w:val="18"/>
                      <w:szCs w:val="18"/>
                      <w:rtl/>
                    </w:rPr>
                  </w:pPr>
                  <w:r>
                    <w:rPr>
                      <w:rFonts w:cs="Miriam"/>
                      <w:sz w:val="18"/>
                      <w:szCs w:val="18"/>
                      <w:rtl/>
                    </w:rPr>
                    <w:t>תש</w:t>
                  </w:r>
                  <w:r>
                    <w:rPr>
                      <w:rFonts w:cs="Miriam" w:hint="cs"/>
                      <w:sz w:val="18"/>
                      <w:szCs w:val="18"/>
                      <w:rtl/>
                    </w:rPr>
                    <w:t>לום</w:t>
                  </w:r>
                  <w:r>
                    <w:rPr>
                      <w:rFonts w:cs="Miriam"/>
                      <w:sz w:val="18"/>
                      <w:szCs w:val="18"/>
                      <w:rtl/>
                    </w:rPr>
                    <w:t xml:space="preserve"> </w:t>
                  </w:r>
                  <w:r>
                    <w:rPr>
                      <w:rFonts w:cs="Miriam" w:hint="cs"/>
                      <w:sz w:val="18"/>
                      <w:szCs w:val="18"/>
                      <w:rtl/>
                    </w:rPr>
                    <w:t xml:space="preserve">המענק </w:t>
                  </w:r>
                  <w:r>
                    <w:rPr>
                      <w:rFonts w:cs="Miriam"/>
                      <w:sz w:val="18"/>
                      <w:szCs w:val="18"/>
                      <w:rtl/>
                    </w:rPr>
                    <w:t>בי</w:t>
                  </w:r>
                  <w:r>
                    <w:rPr>
                      <w:rFonts w:cs="Miriam" w:hint="cs"/>
                      <w:sz w:val="18"/>
                      <w:szCs w:val="18"/>
                      <w:rtl/>
                    </w:rPr>
                    <w:t xml:space="preserve">חס לערך </w:t>
                  </w:r>
                  <w:r>
                    <w:rPr>
                      <w:rFonts w:cs="Miriam"/>
                      <w:sz w:val="18"/>
                      <w:szCs w:val="18"/>
                      <w:rtl/>
                    </w:rPr>
                    <w:t>הה</w:t>
                  </w:r>
                  <w:r>
                    <w:rPr>
                      <w:rFonts w:cs="Miriam" w:hint="cs"/>
                      <w:sz w:val="18"/>
                      <w:szCs w:val="18"/>
                      <w:rtl/>
                    </w:rPr>
                    <w:t>שקעות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סכום הכולל של מענק יצוא שישולם למפעל או לחלק מפעל בשנה פלונית, המחושב כאמור בסעיף 40ו(ב) לחוק, לא יעל</w:t>
      </w:r>
      <w:r>
        <w:rPr>
          <w:rStyle w:val="default"/>
          <w:rFonts w:cs="FrankRuehl"/>
          <w:rtl/>
        </w:rPr>
        <w:t xml:space="preserve">ה </w:t>
      </w:r>
      <w:r>
        <w:rPr>
          <w:rStyle w:val="default"/>
          <w:rFonts w:cs="FrankRuehl" w:hint="cs"/>
          <w:rtl/>
        </w:rPr>
        <w:t>על 6% מערך ההשקעות כאמור בסעיף 40ו(א), בכפוף לאמור בתקנת משנה (ב).</w:t>
      </w:r>
    </w:p>
    <w:p w14:paraId="4E9F31B1" w14:textId="77777777" w:rsidR="00F14048" w:rsidRDefault="00F1404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פעל ששנה פלונית מענק היצוא שהוא זכאי לו אינו מגיע כדי 6% מערך ההשקעות, אך בשנה כלשהי שלאחר מכן עלה יצוא המפעל או חלק המפעל באופן שהיה עשוי לזכות את בעליו, אילולא ההגבלה שבתקנת משנה </w:t>
      </w:r>
      <w:r>
        <w:rPr>
          <w:rStyle w:val="default"/>
          <w:rFonts w:cs="FrankRuehl"/>
          <w:rtl/>
        </w:rPr>
        <w:t>(א</w:t>
      </w:r>
      <w:r>
        <w:rPr>
          <w:rStyle w:val="default"/>
          <w:rFonts w:cs="FrankRuehl" w:hint="cs"/>
          <w:rtl/>
        </w:rPr>
        <w:t>), במענק בשיעור העולה על 6% מערך ההשקעות, יהיה זכאי באותן שנים למענק בשיעור יותר גבוה לפי זה, ובלבד שהמענק לא יעלה על</w:t>
      </w:r>
      <w:r>
        <w:rPr>
          <w:rStyle w:val="default"/>
          <w:rFonts w:cs="FrankRuehl"/>
          <w:rtl/>
        </w:rPr>
        <w:t xml:space="preserve"> 12% </w:t>
      </w:r>
      <w:r>
        <w:rPr>
          <w:rStyle w:val="default"/>
          <w:rFonts w:cs="FrankRuehl" w:hint="cs"/>
          <w:rtl/>
        </w:rPr>
        <w:t>מערך ההשקעות לגבי שנתיים, על 18% לגבי שלוש שנים או על 24% לגבי ארבע שנים.</w:t>
      </w:r>
    </w:p>
    <w:p w14:paraId="4C42208D" w14:textId="77777777" w:rsidR="00F14048" w:rsidRDefault="00F14048">
      <w:pPr>
        <w:pStyle w:val="P00"/>
        <w:spacing w:before="72"/>
        <w:ind w:left="0" w:right="1134"/>
        <w:rPr>
          <w:rFonts w:cs="FrankRuehl"/>
          <w:sz w:val="26"/>
          <w:rtl/>
        </w:rPr>
      </w:pPr>
      <w:bookmarkStart w:id="3" w:name="Seif3"/>
      <w:bookmarkEnd w:id="3"/>
      <w:r>
        <w:rPr>
          <w:lang w:val="he-IL"/>
        </w:rPr>
        <w:pict w14:anchorId="152F3C16">
          <v:rect id="_x0000_s1029" style="position:absolute;left:0;text-align:left;margin-left:464.5pt;margin-top:8.05pt;width:75.05pt;height:25.45pt;z-index:251657216" o:allowincell="f" filled="f" stroked="f" strokecolor="lime" strokeweight=".25pt">
            <v:textbox inset="0,0,0,0">
              <w:txbxContent>
                <w:p w14:paraId="2F4D14EF" w14:textId="77777777" w:rsidR="00F14048" w:rsidRDefault="00F14048">
                  <w:pPr>
                    <w:spacing w:line="160" w:lineRule="exact"/>
                    <w:jc w:val="left"/>
                    <w:rPr>
                      <w:rFonts w:cs="Miriam"/>
                      <w:noProof/>
                      <w:sz w:val="18"/>
                      <w:szCs w:val="18"/>
                      <w:rtl/>
                    </w:rPr>
                  </w:pPr>
                  <w:r>
                    <w:rPr>
                      <w:rFonts w:cs="Miriam"/>
                      <w:sz w:val="18"/>
                      <w:szCs w:val="18"/>
                      <w:rtl/>
                    </w:rPr>
                    <w:t>תו</w:t>
                  </w:r>
                  <w:r>
                    <w:rPr>
                      <w:rFonts w:cs="Miriam" w:hint="cs"/>
                      <w:sz w:val="18"/>
                      <w:szCs w:val="18"/>
                      <w:rtl/>
                    </w:rPr>
                    <w:t xml:space="preserve">ספת היצוא </w:t>
                  </w:r>
                  <w:r>
                    <w:rPr>
                      <w:rFonts w:cs="Miriam"/>
                      <w:sz w:val="18"/>
                      <w:szCs w:val="18"/>
                      <w:rtl/>
                    </w:rPr>
                    <w:t>בה</w:t>
                  </w:r>
                  <w:r>
                    <w:rPr>
                      <w:rFonts w:cs="Miriam" w:hint="cs"/>
                      <w:sz w:val="18"/>
                      <w:szCs w:val="18"/>
                      <w:rtl/>
                    </w:rPr>
                    <w:t>רחבת מפעל</w:t>
                  </w:r>
                </w:p>
              </w:txbxContent>
            </v:textbox>
            <w10:anchorlock/>
          </v:rect>
        </w:pict>
      </w:r>
      <w:r>
        <w:rPr>
          <w:rStyle w:val="big-number"/>
          <w:rFonts w:cs="Miriam"/>
          <w:rtl/>
        </w:rPr>
        <w:t>4.</w:t>
      </w:r>
      <w:r>
        <w:rPr>
          <w:rStyle w:val="big-number"/>
          <w:rFonts w:cs="Miriam"/>
          <w:rtl/>
        </w:rPr>
        <w:tab/>
      </w:r>
      <w:r>
        <w:rPr>
          <w:rStyle w:val="default"/>
          <w:rFonts w:cs="FrankRuehl"/>
          <w:rtl/>
        </w:rPr>
        <w:t>לע</w:t>
      </w:r>
      <w:r>
        <w:rPr>
          <w:rStyle w:val="default"/>
          <w:rFonts w:cs="FrankRuehl" w:hint="cs"/>
          <w:rtl/>
        </w:rPr>
        <w:t xml:space="preserve">נין מענק בשל הרחבת מפעל, יראו כתוספת היצוא את ההפרש </w:t>
      </w:r>
      <w:r>
        <w:rPr>
          <w:rStyle w:val="default"/>
          <w:rFonts w:cs="FrankRuehl"/>
          <w:rtl/>
        </w:rPr>
        <w:t>בי</w:t>
      </w:r>
      <w:r>
        <w:rPr>
          <w:rStyle w:val="default"/>
          <w:rFonts w:cs="FrankRuehl" w:hint="cs"/>
          <w:rtl/>
        </w:rPr>
        <w:t xml:space="preserve">ן תמורת היצוא במטבע חוץ שנתקבלה בשנה שקדמה לשנה שבה הופעלה </w:t>
      </w:r>
      <w:r>
        <w:rPr>
          <w:rFonts w:cs="FrankRuehl"/>
          <w:sz w:val="26"/>
          <w:rtl/>
        </w:rPr>
        <w:t>הר</w:t>
      </w:r>
      <w:r>
        <w:rPr>
          <w:rFonts w:cs="FrankRuehl" w:hint="cs"/>
          <w:sz w:val="26"/>
          <w:rtl/>
        </w:rPr>
        <w:t xml:space="preserve">חבת המפעל שבשלה זכאי המפעל למענק יצוא </w:t>
      </w:r>
      <w:r>
        <w:rPr>
          <w:rFonts w:cs="FrankRuehl"/>
          <w:sz w:val="26"/>
          <w:rtl/>
        </w:rPr>
        <w:t xml:space="preserve">— </w:t>
      </w:r>
      <w:r>
        <w:rPr>
          <w:rFonts w:cs="FrankRuehl" w:hint="cs"/>
          <w:sz w:val="26"/>
          <w:rtl/>
        </w:rPr>
        <w:t>אך לא פחות מתמורת היצוא שחוייב בה המפעל על פי תכנית קודמת</w:t>
      </w:r>
      <w:r>
        <w:rPr>
          <w:rFonts w:cs="FrankRuehl"/>
          <w:sz w:val="26"/>
          <w:rtl/>
        </w:rPr>
        <w:t xml:space="preserve"> </w:t>
      </w:r>
      <w:r>
        <w:rPr>
          <w:rFonts w:cs="FrankRuehl" w:hint="cs"/>
          <w:sz w:val="26"/>
          <w:rtl/>
        </w:rPr>
        <w:t>-</w:t>
      </w:r>
      <w:r>
        <w:rPr>
          <w:rFonts w:cs="FrankRuehl"/>
          <w:sz w:val="26"/>
          <w:rtl/>
        </w:rPr>
        <w:t xml:space="preserve"> </w:t>
      </w:r>
      <w:r>
        <w:rPr>
          <w:rFonts w:cs="FrankRuehl" w:hint="cs"/>
          <w:sz w:val="26"/>
          <w:rtl/>
        </w:rPr>
        <w:t>לבין תמורת היצוא במטבע חוץ בשנה שבשלה ניתן המענק.</w:t>
      </w:r>
    </w:p>
    <w:p w14:paraId="1FE7A57B" w14:textId="77777777" w:rsidR="00F14048" w:rsidRDefault="00F14048">
      <w:pPr>
        <w:pStyle w:val="P00"/>
        <w:spacing w:before="72"/>
        <w:ind w:left="0" w:right="1134"/>
        <w:rPr>
          <w:rStyle w:val="default"/>
          <w:rFonts w:cs="FrankRuehl"/>
          <w:rtl/>
        </w:rPr>
      </w:pPr>
      <w:bookmarkStart w:id="4" w:name="Seif4"/>
      <w:bookmarkEnd w:id="4"/>
      <w:r>
        <w:rPr>
          <w:lang w:val="he-IL"/>
        </w:rPr>
        <w:pict w14:anchorId="5020C792">
          <v:rect id="_x0000_s1030" style="position:absolute;left:0;text-align:left;margin-left:464.5pt;margin-top:8.05pt;width:75.05pt;height:16pt;z-index:251658240" o:allowincell="f" filled="f" stroked="f" strokecolor="lime" strokeweight=".25pt">
            <v:textbox inset="0,0,0,0">
              <w:txbxContent>
                <w:p w14:paraId="2CD73BBE" w14:textId="77777777" w:rsidR="00F14048" w:rsidRDefault="00F14048">
                  <w:pPr>
                    <w:spacing w:line="160" w:lineRule="exact"/>
                    <w:jc w:val="left"/>
                    <w:rPr>
                      <w:rFonts w:cs="Miriam"/>
                      <w:noProof/>
                      <w:sz w:val="18"/>
                      <w:szCs w:val="18"/>
                      <w:rtl/>
                    </w:rPr>
                  </w:pPr>
                  <w:r>
                    <w:rPr>
                      <w:rFonts w:cs="Miriam"/>
                      <w:sz w:val="18"/>
                      <w:szCs w:val="18"/>
                      <w:rtl/>
                    </w:rPr>
                    <w:t>מפ</w:t>
                  </w:r>
                  <w:r>
                    <w:rPr>
                      <w:rFonts w:cs="Miriam" w:hint="cs"/>
                      <w:sz w:val="18"/>
                      <w:szCs w:val="18"/>
                      <w:rtl/>
                    </w:rPr>
                    <w:t xml:space="preserve">על עתיר </w:t>
                  </w:r>
                  <w:r>
                    <w:rPr>
                      <w:rFonts w:cs="Miriam"/>
                      <w:sz w:val="18"/>
                      <w:szCs w:val="18"/>
                      <w:rtl/>
                    </w:rPr>
                    <w:t>מד</w:t>
                  </w:r>
                  <w:r>
                    <w:rPr>
                      <w:rFonts w:cs="Miriam" w:hint="cs"/>
                      <w:sz w:val="18"/>
                      <w:szCs w:val="18"/>
                      <w:rtl/>
                    </w:rPr>
                    <w:t>ע</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ענין סעיף 40ו יראו כמפעל עתיר מדע מפעל תעשייתי שהוצאותיו בשל מחקר ופיתוח בשנים שבהן הוצאו, מגיעות ל-5% לפחות מהוצאותיו באותן שנים המותרות בניכוי לפי סעיף 17 לפקודת מס הכנסה.</w:t>
      </w:r>
    </w:p>
    <w:p w14:paraId="14C41483" w14:textId="77777777" w:rsidR="00F14048" w:rsidRDefault="00F1404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ראו כהשקעות מח</w:t>
      </w:r>
      <w:r>
        <w:rPr>
          <w:rStyle w:val="default"/>
          <w:rFonts w:cs="FrankRuehl"/>
          <w:rtl/>
        </w:rPr>
        <w:t>קר</w:t>
      </w:r>
      <w:r>
        <w:rPr>
          <w:rStyle w:val="default"/>
          <w:rFonts w:cs="FrankRuehl" w:hint="cs"/>
          <w:rtl/>
        </w:rPr>
        <w:t xml:space="preserve"> ופיתוח הוצאות שכר עבודה, חמרים ושירותים, ובלבד שהם משמשים ישירות בפעילות ש</w:t>
      </w:r>
      <w:r>
        <w:rPr>
          <w:rStyle w:val="default"/>
          <w:rFonts w:cs="FrankRuehl"/>
          <w:rtl/>
        </w:rPr>
        <w:t>ל</w:t>
      </w:r>
      <w:r>
        <w:rPr>
          <w:rStyle w:val="default"/>
          <w:rFonts w:cs="FrankRuehl" w:hint="cs"/>
          <w:rtl/>
        </w:rPr>
        <w:t xml:space="preserve"> מחקר או פיתוח.</w:t>
      </w:r>
    </w:p>
    <w:p w14:paraId="41539B3D" w14:textId="77777777" w:rsidR="00F14048" w:rsidRDefault="00F1404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תקנה זו </w:t>
      </w:r>
      <w:r>
        <w:rPr>
          <w:rStyle w:val="default"/>
          <w:rFonts w:cs="FrankRuehl"/>
          <w:rtl/>
        </w:rPr>
        <w:t>–</w:t>
      </w:r>
    </w:p>
    <w:p w14:paraId="3F774F19" w14:textId="77777777" w:rsidR="00F14048" w:rsidRDefault="00F1404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חקר" -</w:t>
      </w:r>
      <w:r>
        <w:rPr>
          <w:rStyle w:val="default"/>
          <w:rFonts w:cs="FrankRuehl"/>
          <w:rtl/>
        </w:rPr>
        <w:t xml:space="preserve"> </w:t>
      </w:r>
      <w:r>
        <w:rPr>
          <w:rStyle w:val="default"/>
          <w:rFonts w:cs="FrankRuehl" w:hint="cs"/>
          <w:rtl/>
        </w:rPr>
        <w:t>חקירה מתוכננת במטרה לגלות ידע חדש, מתוך ציפיה שידע זה יהא מועיל בפיתוח מוצר חדש או תהליך חדש או בשיפור משמעותי במוצר או בתהליך קיימ</w:t>
      </w:r>
      <w:r>
        <w:rPr>
          <w:rStyle w:val="default"/>
          <w:rFonts w:cs="FrankRuehl"/>
          <w:rtl/>
        </w:rPr>
        <w:t>ים</w:t>
      </w:r>
      <w:r>
        <w:rPr>
          <w:rStyle w:val="default"/>
          <w:rFonts w:cs="FrankRuehl" w:hint="cs"/>
          <w:rtl/>
        </w:rPr>
        <w:t>;</w:t>
      </w:r>
    </w:p>
    <w:p w14:paraId="5F22470D" w14:textId="77777777" w:rsidR="00F14048" w:rsidRDefault="00F14048">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יתוח" -</w:t>
      </w:r>
      <w:r>
        <w:rPr>
          <w:rStyle w:val="default"/>
          <w:rFonts w:cs="FrankRuehl"/>
          <w:rtl/>
        </w:rPr>
        <w:t xml:space="preserve"> </w:t>
      </w:r>
      <w:r>
        <w:rPr>
          <w:rStyle w:val="default"/>
          <w:rFonts w:cs="FrankRuehl" w:hint="cs"/>
          <w:rtl/>
        </w:rPr>
        <w:t>יישום ממצאי מחקר בתכנית, תכנון דגם לייצור מוצר חדש, או הפעלת תהליך חדש או שיפור ניכר באחד מאלה, בשלב מן השלבים של גיבוש קווי התכנית, הכנת תכניות ומדגמים, בדיקת אפשרויות חילופיות למוצר, בניית אב-טיפוס והפעלת דגם ניסוי, ובלבד שהשלבים שלאחר בדי</w:t>
      </w:r>
      <w:r>
        <w:rPr>
          <w:rStyle w:val="default"/>
          <w:rFonts w:cs="FrankRuehl"/>
          <w:rtl/>
        </w:rPr>
        <w:t>קת</w:t>
      </w:r>
      <w:r>
        <w:rPr>
          <w:rStyle w:val="default"/>
          <w:rFonts w:cs="FrankRuehl" w:hint="cs"/>
          <w:rtl/>
        </w:rPr>
        <w:t xml:space="preserve"> דגם הניסוי או הוכחת התהליך בתנאי הניסוי, לרבות חקירת שווקים, שינויים שיגרת</w:t>
      </w:r>
      <w:r>
        <w:rPr>
          <w:rStyle w:val="default"/>
          <w:rFonts w:cs="FrankRuehl"/>
          <w:rtl/>
        </w:rPr>
        <w:t>י</w:t>
      </w:r>
      <w:r>
        <w:rPr>
          <w:rStyle w:val="default"/>
          <w:rFonts w:cs="FrankRuehl" w:hint="cs"/>
          <w:rtl/>
        </w:rPr>
        <w:t>ים או עונתיים במוצרים קיימים, בקווי ייצור ובתהליכי ייצור ופעילויות אחרות שיש בהן שיפור שאינו ניכר -</w:t>
      </w:r>
      <w:r>
        <w:rPr>
          <w:rStyle w:val="default"/>
          <w:rFonts w:cs="FrankRuehl"/>
          <w:rtl/>
        </w:rPr>
        <w:t xml:space="preserve"> </w:t>
      </w:r>
      <w:r>
        <w:rPr>
          <w:rStyle w:val="default"/>
          <w:rFonts w:cs="FrankRuehl" w:hint="cs"/>
          <w:rtl/>
        </w:rPr>
        <w:t>לא ייחשבו כפיתוח.</w:t>
      </w:r>
    </w:p>
    <w:p w14:paraId="410C96D0" w14:textId="77777777" w:rsidR="00F14048" w:rsidRDefault="00F14048">
      <w:pPr>
        <w:pStyle w:val="P00"/>
        <w:spacing w:before="72"/>
        <w:ind w:left="0" w:right="1134"/>
        <w:rPr>
          <w:rStyle w:val="default"/>
          <w:rFonts w:cs="FrankRuehl"/>
          <w:rtl/>
        </w:rPr>
      </w:pPr>
      <w:bookmarkStart w:id="5" w:name="Seif5"/>
      <w:bookmarkEnd w:id="5"/>
      <w:r>
        <w:rPr>
          <w:lang w:val="he-IL"/>
        </w:rPr>
        <w:lastRenderedPageBreak/>
        <w:pict w14:anchorId="149512FE">
          <v:rect id="_x0000_s1031" style="position:absolute;left:0;text-align:left;margin-left:464.5pt;margin-top:8.05pt;width:75.05pt;height:16pt;z-index:251659264" o:allowincell="f" filled="f" stroked="f" strokecolor="lime" strokeweight=".25pt">
            <v:textbox inset="0,0,0,0">
              <w:txbxContent>
                <w:p w14:paraId="37AA7DD8" w14:textId="77777777" w:rsidR="00F14048" w:rsidRDefault="00F14048">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תשלום </w:t>
                  </w:r>
                  <w:r>
                    <w:rPr>
                      <w:rFonts w:cs="Miriam"/>
                      <w:sz w:val="18"/>
                      <w:szCs w:val="18"/>
                      <w:rtl/>
                    </w:rPr>
                    <w:t>המ</w:t>
                  </w:r>
                  <w:r>
                    <w:rPr>
                      <w:rFonts w:cs="Miriam" w:hint="cs"/>
                      <w:sz w:val="18"/>
                      <w:szCs w:val="18"/>
                      <w:rtl/>
                    </w:rPr>
                    <w:t>ענק</w:t>
                  </w:r>
                </w:p>
              </w:txbxContent>
            </v:textbox>
            <w10:anchorlock/>
          </v:rect>
        </w:pict>
      </w:r>
      <w:r>
        <w:rPr>
          <w:rStyle w:val="big-number"/>
          <w:rFonts w:cs="Miriam"/>
          <w:rtl/>
        </w:rPr>
        <w:t>6.</w:t>
      </w:r>
      <w:r>
        <w:rPr>
          <w:rStyle w:val="big-number"/>
          <w:rFonts w:cs="Miriam"/>
          <w:rtl/>
        </w:rPr>
        <w:tab/>
      </w:r>
      <w:r>
        <w:rPr>
          <w:rStyle w:val="default"/>
          <w:rFonts w:cs="FrankRuehl"/>
          <w:rtl/>
        </w:rPr>
        <w:t>מע</w:t>
      </w:r>
      <w:r>
        <w:rPr>
          <w:rStyle w:val="default"/>
          <w:rFonts w:cs="FrankRuehl" w:hint="cs"/>
          <w:rtl/>
        </w:rPr>
        <w:t>נק יצוא ישולם אחת לשנה, תוך ששים יום מיום שבעל המפעל ה</w:t>
      </w:r>
      <w:r>
        <w:rPr>
          <w:rStyle w:val="default"/>
          <w:rFonts w:cs="FrankRuehl"/>
          <w:rtl/>
        </w:rPr>
        <w:t>וכ</w:t>
      </w:r>
      <w:r>
        <w:rPr>
          <w:rStyle w:val="default"/>
          <w:rFonts w:cs="FrankRuehl" w:hint="cs"/>
          <w:rtl/>
        </w:rPr>
        <w:t xml:space="preserve">יח להנחת דעתו של המנהל את כל הפרטים השייכים לענין אישור </w:t>
      </w:r>
      <w:r>
        <w:rPr>
          <w:rStyle w:val="default"/>
          <w:rFonts w:cs="FrankRuehl"/>
          <w:rtl/>
        </w:rPr>
        <w:t>ה</w:t>
      </w:r>
      <w:r>
        <w:rPr>
          <w:rStyle w:val="default"/>
          <w:rFonts w:cs="FrankRuehl" w:hint="cs"/>
          <w:rtl/>
        </w:rPr>
        <w:t>מענק, לרבות ביצוע היצוא, קבלת התמורה, המרתה ללירות ישראליות או הפקדתה בחשבון מטבע חוץ בבנק ישראל, וביצוע ההשקעות כאמור בסעיף 40ו לחוק.</w:t>
      </w:r>
    </w:p>
    <w:p w14:paraId="1B028248" w14:textId="77777777" w:rsidR="00F14048" w:rsidRDefault="00F14048">
      <w:pPr>
        <w:pStyle w:val="P00"/>
        <w:spacing w:before="72"/>
        <w:ind w:left="0" w:right="1134"/>
        <w:rPr>
          <w:rStyle w:val="default"/>
          <w:rFonts w:cs="FrankRuehl"/>
          <w:rtl/>
        </w:rPr>
      </w:pPr>
      <w:bookmarkStart w:id="6" w:name="Seif6"/>
      <w:bookmarkEnd w:id="6"/>
      <w:r>
        <w:rPr>
          <w:lang w:val="he-IL"/>
        </w:rPr>
        <w:pict w14:anchorId="360663C7">
          <v:rect id="_x0000_s1032" style="position:absolute;left:0;text-align:left;margin-left:464.5pt;margin-top:8.05pt;width:75.05pt;height:8pt;z-index:251660288" o:allowincell="f" filled="f" stroked="f" strokecolor="lime" strokeweight=".25pt">
            <v:textbox inset="0,0,0,0">
              <w:txbxContent>
                <w:p w14:paraId="04A54046" w14:textId="77777777" w:rsidR="00F14048" w:rsidRDefault="00F14048">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7.</w:t>
      </w:r>
      <w:r>
        <w:rPr>
          <w:rStyle w:val="big-number"/>
          <w:rFonts w:cs="Miriam"/>
          <w:rtl/>
        </w:rPr>
        <w:tab/>
      </w:r>
      <w:r>
        <w:rPr>
          <w:rStyle w:val="default"/>
          <w:rFonts w:cs="FrankRuehl"/>
          <w:rtl/>
        </w:rPr>
        <w:t>תח</w:t>
      </w:r>
      <w:r>
        <w:rPr>
          <w:rStyle w:val="default"/>
          <w:rFonts w:cs="FrankRuehl" w:hint="cs"/>
          <w:rtl/>
        </w:rPr>
        <w:t>ילתן של תקנות אלה מיום תחילתו של חוק לעידוד השקעות הון (</w:t>
      </w:r>
      <w:r>
        <w:rPr>
          <w:rStyle w:val="default"/>
          <w:rFonts w:cs="FrankRuehl"/>
          <w:rtl/>
        </w:rPr>
        <w:t>תי</w:t>
      </w:r>
      <w:r>
        <w:rPr>
          <w:rStyle w:val="default"/>
          <w:rFonts w:cs="FrankRuehl" w:hint="cs"/>
          <w:rtl/>
        </w:rPr>
        <w:t>קון מס' 14), תשל"ו-</w:t>
      </w:r>
      <w:r>
        <w:rPr>
          <w:rStyle w:val="default"/>
          <w:rFonts w:cs="FrankRuehl"/>
          <w:rtl/>
        </w:rPr>
        <w:t>1976.</w:t>
      </w:r>
    </w:p>
    <w:p w14:paraId="4A4CBA08" w14:textId="77777777" w:rsidR="00F14048" w:rsidRDefault="00F14048">
      <w:pPr>
        <w:pStyle w:val="P00"/>
        <w:spacing w:before="72"/>
        <w:ind w:left="0" w:right="1134"/>
        <w:rPr>
          <w:rStyle w:val="default"/>
          <w:rFonts w:cs="FrankRuehl"/>
          <w:rtl/>
        </w:rPr>
      </w:pPr>
      <w:bookmarkStart w:id="7" w:name="Seif7"/>
      <w:bookmarkEnd w:id="7"/>
      <w:r>
        <w:rPr>
          <w:lang w:val="he-IL"/>
        </w:rPr>
        <w:pict w14:anchorId="2E2EAA67">
          <v:rect id="_x0000_s1033" style="position:absolute;left:0;text-align:left;margin-left:464.5pt;margin-top:8.05pt;width:75.05pt;height:8pt;z-index:251661312" o:allowincell="f" filled="f" stroked="f" strokecolor="lime" strokeweight=".25pt">
            <v:textbox inset="0,0,0,0">
              <w:txbxContent>
                <w:p w14:paraId="4BA3EFF8" w14:textId="77777777" w:rsidR="00F14048" w:rsidRDefault="00F14048">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8.</w:t>
      </w:r>
      <w:r>
        <w:rPr>
          <w:rStyle w:val="big-number"/>
          <w:rFonts w:cs="Miriam"/>
          <w:rtl/>
        </w:rPr>
        <w:tab/>
      </w:r>
      <w:r>
        <w:rPr>
          <w:rStyle w:val="default"/>
          <w:rFonts w:cs="FrankRuehl"/>
          <w:rtl/>
        </w:rPr>
        <w:t>לת</w:t>
      </w:r>
      <w:r>
        <w:rPr>
          <w:rStyle w:val="default"/>
          <w:rFonts w:cs="FrankRuehl" w:hint="cs"/>
          <w:rtl/>
        </w:rPr>
        <w:t>קנות אלה ייקרא "תקנות לעידוד השקעות הון (כללים לתשלום מענק יצוא), תשל"ח-</w:t>
      </w:r>
      <w:r>
        <w:rPr>
          <w:rStyle w:val="default"/>
          <w:rFonts w:cs="FrankRuehl"/>
          <w:rtl/>
        </w:rPr>
        <w:t>1976".</w:t>
      </w:r>
    </w:p>
    <w:p w14:paraId="7C898F62" w14:textId="77777777" w:rsidR="00F14048" w:rsidRDefault="00F14048">
      <w:pPr>
        <w:pStyle w:val="P00"/>
        <w:spacing w:before="72"/>
        <w:ind w:left="0" w:right="1134"/>
        <w:rPr>
          <w:rStyle w:val="default"/>
          <w:rFonts w:cs="FrankRuehl"/>
          <w:rtl/>
        </w:rPr>
      </w:pPr>
    </w:p>
    <w:p w14:paraId="444E9192" w14:textId="77777777" w:rsidR="00F14048" w:rsidRDefault="00F14048">
      <w:pPr>
        <w:pStyle w:val="P00"/>
        <w:spacing w:before="72"/>
        <w:ind w:left="0" w:right="1134"/>
        <w:rPr>
          <w:rFonts w:cs="FrankRuehl"/>
          <w:sz w:val="26"/>
          <w:rtl/>
        </w:rPr>
      </w:pPr>
      <w:r>
        <w:rPr>
          <w:rFonts w:cs="FrankRuehl"/>
          <w:sz w:val="26"/>
          <w:rtl/>
        </w:rPr>
        <w:t>ט"</w:t>
      </w:r>
      <w:r>
        <w:rPr>
          <w:rFonts w:cs="FrankRuehl" w:hint="cs"/>
          <w:sz w:val="26"/>
          <w:rtl/>
        </w:rPr>
        <w:t>ז באייר תשל"ח (23 במאי 1978)</w:t>
      </w:r>
    </w:p>
    <w:p w14:paraId="15336855" w14:textId="77777777" w:rsidR="00F14048" w:rsidRDefault="00F14048">
      <w:pPr>
        <w:pStyle w:val="P00"/>
        <w:spacing w:before="72"/>
        <w:ind w:left="0" w:right="1134"/>
        <w:rPr>
          <w:rFonts w:cs="FrankRuehl"/>
          <w:sz w:val="26"/>
          <w:rtl/>
        </w:rPr>
      </w:pPr>
    </w:p>
    <w:p w14:paraId="703633A2" w14:textId="77777777" w:rsidR="00F14048" w:rsidRDefault="00F14048">
      <w:pPr>
        <w:pStyle w:val="sig-1"/>
        <w:widowControl/>
        <w:ind w:left="0" w:right="1134"/>
        <w:rPr>
          <w:rFonts w:cs="FrankRuehl"/>
          <w:sz w:val="26"/>
          <w:szCs w:val="26"/>
          <w:rtl/>
        </w:rPr>
      </w:pPr>
      <w:r>
        <w:rPr>
          <w:rFonts w:cs="FrankRuehl"/>
          <w:sz w:val="26"/>
          <w:szCs w:val="26"/>
          <w:rtl/>
        </w:rPr>
        <w:tab/>
        <w:t>ש</w:t>
      </w:r>
      <w:r>
        <w:rPr>
          <w:rFonts w:cs="FrankRuehl" w:hint="cs"/>
          <w:sz w:val="26"/>
          <w:szCs w:val="26"/>
          <w:rtl/>
        </w:rPr>
        <w:t>מחה ארליך</w:t>
      </w:r>
      <w:r>
        <w:rPr>
          <w:rFonts w:cs="FrankRuehl"/>
          <w:sz w:val="26"/>
          <w:szCs w:val="26"/>
          <w:rtl/>
        </w:rPr>
        <w:tab/>
      </w:r>
      <w:r>
        <w:rPr>
          <w:rFonts w:cs="FrankRuehl"/>
          <w:sz w:val="26"/>
          <w:szCs w:val="26"/>
          <w:rtl/>
        </w:rPr>
        <w:tab/>
        <w:t>י</w:t>
      </w:r>
      <w:r>
        <w:rPr>
          <w:rFonts w:cs="FrankRuehl" w:hint="cs"/>
          <w:sz w:val="26"/>
          <w:szCs w:val="26"/>
          <w:rtl/>
        </w:rPr>
        <w:t>גאל הורביץ</w:t>
      </w:r>
    </w:p>
    <w:p w14:paraId="6A67B4E0" w14:textId="77777777" w:rsidR="00F14048" w:rsidRDefault="00F14048">
      <w:pPr>
        <w:pStyle w:val="sig-1"/>
        <w:widowControl/>
        <w:tabs>
          <w:tab w:val="left" w:pos="6095"/>
        </w:tabs>
        <w:ind w:left="0" w:right="1134"/>
        <w:rPr>
          <w:rFonts w:cs="FrankRuehl" w:hint="cs"/>
          <w:sz w:val="22"/>
          <w:rtl/>
        </w:rPr>
      </w:pPr>
      <w:r>
        <w:rPr>
          <w:rFonts w:cs="FrankRuehl"/>
          <w:sz w:val="22"/>
          <w:rtl/>
        </w:rPr>
        <w:tab/>
        <w:t>ש</w:t>
      </w:r>
      <w:r>
        <w:rPr>
          <w:rFonts w:cs="FrankRuehl" w:hint="cs"/>
          <w:sz w:val="22"/>
          <w:rtl/>
        </w:rPr>
        <w:t>ר האוצר</w:t>
      </w:r>
      <w:r>
        <w:rPr>
          <w:rFonts w:cs="FrankRuehl"/>
          <w:sz w:val="22"/>
          <w:rtl/>
        </w:rPr>
        <w:tab/>
      </w:r>
      <w:r>
        <w:rPr>
          <w:rFonts w:cs="FrankRuehl"/>
          <w:sz w:val="22"/>
          <w:rtl/>
        </w:rPr>
        <w:tab/>
        <w:t>ש</w:t>
      </w:r>
      <w:r>
        <w:rPr>
          <w:rFonts w:cs="FrankRuehl" w:hint="cs"/>
          <w:sz w:val="22"/>
          <w:rtl/>
        </w:rPr>
        <w:t>ר התעשיה, המסחר והתיירות</w:t>
      </w:r>
    </w:p>
    <w:p w14:paraId="2792EC4A" w14:textId="77777777" w:rsidR="00F14048" w:rsidRDefault="00F14048">
      <w:pPr>
        <w:pStyle w:val="P00"/>
        <w:spacing w:before="72"/>
        <w:ind w:left="0" w:right="1134"/>
        <w:rPr>
          <w:rStyle w:val="default"/>
          <w:rFonts w:cs="FrankRuehl" w:hint="cs"/>
          <w:rtl/>
        </w:rPr>
      </w:pPr>
    </w:p>
    <w:p w14:paraId="4A7F9079" w14:textId="77777777" w:rsidR="00F14048" w:rsidRDefault="00F14048">
      <w:pPr>
        <w:pStyle w:val="P00"/>
        <w:spacing w:before="72"/>
        <w:ind w:left="0" w:right="1134"/>
        <w:rPr>
          <w:rStyle w:val="default"/>
          <w:rFonts w:cs="FrankRuehl"/>
          <w:rtl/>
        </w:rPr>
      </w:pPr>
    </w:p>
    <w:p w14:paraId="1AD657A3" w14:textId="77777777" w:rsidR="00F14048" w:rsidRDefault="00F14048">
      <w:pPr>
        <w:pStyle w:val="P00"/>
        <w:spacing w:before="72"/>
        <w:ind w:left="0" w:right="1134"/>
        <w:rPr>
          <w:rStyle w:val="default"/>
          <w:rFonts w:cs="FrankRuehl"/>
          <w:rtl/>
        </w:rPr>
      </w:pPr>
      <w:bookmarkStart w:id="8" w:name="LawPartEnd"/>
    </w:p>
    <w:bookmarkEnd w:id="8"/>
    <w:p w14:paraId="2BECCE59" w14:textId="77777777" w:rsidR="00F14048" w:rsidRDefault="00F14048">
      <w:pPr>
        <w:pStyle w:val="P00"/>
        <w:spacing w:before="72"/>
        <w:ind w:left="0" w:right="1134"/>
        <w:rPr>
          <w:rStyle w:val="default"/>
          <w:rFonts w:cs="FrankRuehl"/>
          <w:rtl/>
        </w:rPr>
      </w:pPr>
    </w:p>
    <w:sectPr w:rsidR="00F14048">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14D68" w14:textId="77777777" w:rsidR="00F14048" w:rsidRDefault="00F14048">
      <w:r>
        <w:separator/>
      </w:r>
    </w:p>
  </w:endnote>
  <w:endnote w:type="continuationSeparator" w:id="0">
    <w:p w14:paraId="7C0B92BC" w14:textId="77777777" w:rsidR="00F14048" w:rsidRDefault="00F14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09C9" w14:textId="77777777" w:rsidR="00F14048" w:rsidRDefault="00F1404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CEA1E04" w14:textId="77777777" w:rsidR="00F14048" w:rsidRDefault="00F1404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C8E4990" w14:textId="77777777" w:rsidR="00F14048" w:rsidRDefault="00F1404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C:\Yael\hakika\Revadim\p181_029.doc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72AB8" w14:textId="77777777" w:rsidR="00F14048" w:rsidRDefault="00F1404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2141E">
      <w:rPr>
        <w:rFonts w:hAnsi="FrankRuehl" w:cs="FrankRuehl"/>
        <w:noProof/>
        <w:sz w:val="24"/>
        <w:szCs w:val="24"/>
        <w:rtl/>
      </w:rPr>
      <w:t>2</w:t>
    </w:r>
    <w:r>
      <w:rPr>
        <w:rFonts w:hAnsi="FrankRuehl" w:cs="FrankRuehl"/>
        <w:sz w:val="24"/>
        <w:szCs w:val="24"/>
        <w:rtl/>
      </w:rPr>
      <w:fldChar w:fldCharType="end"/>
    </w:r>
  </w:p>
  <w:p w14:paraId="32EEC77C" w14:textId="77777777" w:rsidR="00F14048" w:rsidRDefault="00F1404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D67B671" w14:textId="77777777" w:rsidR="00F14048" w:rsidRDefault="00F1404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C:\Yael\hakika\Revadim\p181_029.doc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BF47A" w14:textId="77777777" w:rsidR="00F14048" w:rsidRDefault="00F14048">
      <w:pPr>
        <w:spacing w:before="60" w:line="240" w:lineRule="auto"/>
        <w:ind w:right="1134"/>
      </w:pPr>
      <w:r>
        <w:separator/>
      </w:r>
    </w:p>
  </w:footnote>
  <w:footnote w:type="continuationSeparator" w:id="0">
    <w:p w14:paraId="79795EEE" w14:textId="77777777" w:rsidR="00F14048" w:rsidRDefault="00F14048">
      <w:r>
        <w:continuationSeparator/>
      </w:r>
    </w:p>
  </w:footnote>
  <w:footnote w:id="1">
    <w:p w14:paraId="64CFCBB4" w14:textId="77777777" w:rsidR="00F14048" w:rsidRDefault="00F140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w:t>
        </w:r>
        <w:r>
          <w:rPr>
            <w:rStyle w:val="Hyperlink"/>
            <w:rFonts w:cs="FrankRuehl"/>
            <w:rtl/>
          </w:rPr>
          <w:t>"</w:t>
        </w:r>
        <w:r>
          <w:rPr>
            <w:rStyle w:val="Hyperlink"/>
            <w:rFonts w:cs="FrankRuehl" w:hint="cs"/>
            <w:rtl/>
          </w:rPr>
          <w:t>ח מס' 3857</w:t>
        </w:r>
      </w:hyperlink>
      <w:r>
        <w:rPr>
          <w:rFonts w:cs="FrankRuehl" w:hint="cs"/>
          <w:rtl/>
        </w:rPr>
        <w:t xml:space="preserve"> מיום 8.6.1978 עמ' 1452.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A664" w14:textId="77777777" w:rsidR="00F14048" w:rsidRDefault="00F1404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לעידוד השקעות הון (כללים לתשלום מענק יצוא), תשל"ח–1978</w:t>
    </w:r>
  </w:p>
  <w:p w14:paraId="17423361" w14:textId="77777777" w:rsidR="00F14048" w:rsidRDefault="00F1404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1B9DD30" w14:textId="77777777" w:rsidR="00F14048" w:rsidRDefault="00F1404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F562" w14:textId="77777777" w:rsidR="00F14048" w:rsidRDefault="00F1404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לעידוד השקעות הון (כללים לתשלום מענק יצוא), תשל"ח</w:t>
    </w:r>
    <w:r>
      <w:rPr>
        <w:rFonts w:hAnsi="FrankRuehl" w:cs="FrankRuehl" w:hint="cs"/>
        <w:color w:val="000000"/>
        <w:sz w:val="28"/>
        <w:szCs w:val="28"/>
        <w:rtl/>
      </w:rPr>
      <w:t>-</w:t>
    </w:r>
    <w:r>
      <w:rPr>
        <w:rFonts w:hAnsi="FrankRuehl" w:cs="FrankRuehl"/>
        <w:color w:val="000000"/>
        <w:sz w:val="28"/>
        <w:szCs w:val="28"/>
        <w:rtl/>
      </w:rPr>
      <w:t>1978</w:t>
    </w:r>
  </w:p>
  <w:p w14:paraId="24E48B1E" w14:textId="77777777" w:rsidR="00F14048" w:rsidRDefault="00F1404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EB9C18E" w14:textId="77777777" w:rsidR="00F14048" w:rsidRDefault="00F1404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141E"/>
    <w:rsid w:val="007E14BC"/>
    <w:rsid w:val="00F14048"/>
    <w:rsid w:val="00F214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B8009A0"/>
  <w15:chartTrackingRefBased/>
  <w15:docId w15:val="{BE5A9600-8842-4433-B9DE-AFB05BCE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8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3495</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פרק 181</vt:lpstr>
    </vt:vector>
  </TitlesOfParts>
  <Company/>
  <LinksUpToDate>false</LinksUpToDate>
  <CharactersWithSpaces>4100</CharactersWithSpaces>
  <SharedDoc>false</SharedDoc>
  <HLinks>
    <vt:vector size="54" baseType="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8323079</vt:i4>
      </vt:variant>
      <vt:variant>
        <vt:i4>0</vt:i4>
      </vt:variant>
      <vt:variant>
        <vt:i4>0</vt:i4>
      </vt:variant>
      <vt:variant>
        <vt:i4>5</vt:i4>
      </vt:variant>
      <vt:variant>
        <vt:lpwstr>http://www.nevo.co.il/Law_word/law06/TAK-3857.pdf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181</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vt:lpwstr>
  </property>
  <property fmtid="{D5CDD505-2E9C-101B-9397-08002B2CF9AE}" pid="3" name="CHNAME">
    <vt:lpwstr>עידוד השקעות הון</vt:lpwstr>
  </property>
  <property fmtid="{D5CDD505-2E9C-101B-9397-08002B2CF9AE}" pid="4" name="LAWNAME">
    <vt:lpwstr>תקנות לעידוד השקעות הון (כללים לתשלום מענק יצוא), תשל"ח-1978</vt:lpwstr>
  </property>
  <property fmtid="{D5CDD505-2E9C-101B-9397-08002B2CF9AE}" pid="5" name="LAWNUMBER">
    <vt:lpwstr>0029</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השקעות </vt:lpwstr>
  </property>
  <property fmtid="{D5CDD505-2E9C-101B-9397-08002B2CF9AE}" pid="10" name="NOSE41">
    <vt:lpwstr>השקעות הון ועידודן</vt:lpwstr>
  </property>
  <property fmtid="{D5CDD505-2E9C-101B-9397-08002B2CF9AE}" pid="11" name="NOSE12">
    <vt:lpwstr>משפט פרטי וכלכלה</vt:lpwstr>
  </property>
  <property fmtid="{D5CDD505-2E9C-101B-9397-08002B2CF9AE}" pid="12" name="NOSE22">
    <vt:lpwstr>מסחר </vt:lpwstr>
  </property>
  <property fmtid="{D5CDD505-2E9C-101B-9397-08002B2CF9AE}" pid="13" name="NOSE32">
    <vt:lpwstr>יצוא</vt:lpwstr>
  </property>
  <property fmtid="{D5CDD505-2E9C-101B-9397-08002B2CF9AE}" pid="14" name="NOSE42">
    <vt:lpwstr/>
  </property>
  <property fmtid="{D5CDD505-2E9C-101B-9397-08002B2CF9AE}" pid="15" name="NOSE13">
    <vt:lpwstr>מסים</vt:lpwstr>
  </property>
  <property fmtid="{D5CDD505-2E9C-101B-9397-08002B2CF9AE}" pid="16" name="NOSE23">
    <vt:lpwstr>מס הכנסה</vt:lpwstr>
  </property>
  <property fmtid="{D5CDD505-2E9C-101B-9397-08002B2CF9AE}" pid="17" name="NOSE33">
    <vt:lpwstr>השקעות הון ועידודן</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