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3E0D6" w14:textId="77777777" w:rsidR="00976C88" w:rsidRDefault="00976C88" w:rsidP="00AC7226">
      <w:pPr>
        <w:pStyle w:val="big-header"/>
        <w:ind w:left="0" w:right="1134"/>
        <w:rPr>
          <w:rFonts w:hint="cs"/>
          <w:rtl/>
        </w:rPr>
      </w:pPr>
      <w:r>
        <w:rPr>
          <w:rtl/>
        </w:rPr>
        <w:t xml:space="preserve">תקנות </w:t>
      </w:r>
      <w:r w:rsidR="00725552">
        <w:rPr>
          <w:rFonts w:hint="cs"/>
          <w:rtl/>
        </w:rPr>
        <w:t>לקידום התחרות ולצמצום הריכוזיות (</w:t>
      </w:r>
      <w:r w:rsidR="00AC7226">
        <w:rPr>
          <w:rFonts w:hint="cs"/>
          <w:rtl/>
        </w:rPr>
        <w:t>סוג של חברה שאינה חברת שכבה והוראות לעניין ייחוס שליטה</w:t>
      </w:r>
      <w:r>
        <w:rPr>
          <w:rtl/>
        </w:rPr>
        <w:t xml:space="preserve">), </w:t>
      </w:r>
      <w:r>
        <w:rPr>
          <w:rFonts w:hint="cs"/>
          <w:rtl/>
        </w:rPr>
        <w:t>תש</w:t>
      </w:r>
      <w:r w:rsidR="00752775">
        <w:rPr>
          <w:rFonts w:hint="cs"/>
          <w:rtl/>
        </w:rPr>
        <w:t>ע</w:t>
      </w:r>
      <w:r>
        <w:rPr>
          <w:rFonts w:hint="cs"/>
          <w:rtl/>
        </w:rPr>
        <w:t>"</w:t>
      </w:r>
      <w:r w:rsidR="00336C76">
        <w:rPr>
          <w:rFonts w:hint="cs"/>
          <w:rtl/>
        </w:rPr>
        <w:t>ד</w:t>
      </w:r>
      <w:r>
        <w:rPr>
          <w:rFonts w:hint="cs"/>
          <w:rtl/>
        </w:rPr>
        <w:t>-20</w:t>
      </w:r>
      <w:r w:rsidR="00752775">
        <w:rPr>
          <w:rFonts w:hint="cs"/>
          <w:rtl/>
        </w:rPr>
        <w:t>1</w:t>
      </w:r>
      <w:r w:rsidR="00336C76">
        <w:rPr>
          <w:rFonts w:hint="cs"/>
          <w:rtl/>
        </w:rPr>
        <w:t>4</w:t>
      </w:r>
    </w:p>
    <w:p w14:paraId="78E544E9" w14:textId="77777777" w:rsidR="00725552" w:rsidRPr="00725552" w:rsidRDefault="00725552" w:rsidP="00725552">
      <w:pPr>
        <w:spacing w:line="320" w:lineRule="auto"/>
        <w:jc w:val="left"/>
        <w:rPr>
          <w:rFonts w:cs="FrankRuehl"/>
          <w:szCs w:val="26"/>
          <w:rtl/>
        </w:rPr>
      </w:pPr>
    </w:p>
    <w:p w14:paraId="0E919050" w14:textId="77777777" w:rsidR="00725552" w:rsidRDefault="00725552" w:rsidP="00725552">
      <w:pPr>
        <w:spacing w:line="320" w:lineRule="auto"/>
        <w:jc w:val="left"/>
        <w:rPr>
          <w:rtl/>
        </w:rPr>
      </w:pPr>
    </w:p>
    <w:p w14:paraId="015A15AC" w14:textId="77777777" w:rsidR="00725552" w:rsidRPr="00725552" w:rsidRDefault="00725552" w:rsidP="00725552">
      <w:pPr>
        <w:spacing w:line="320" w:lineRule="auto"/>
        <w:jc w:val="left"/>
        <w:rPr>
          <w:rFonts w:cs="Miriam" w:hint="cs"/>
          <w:szCs w:val="22"/>
          <w:rtl/>
        </w:rPr>
      </w:pPr>
      <w:r w:rsidRPr="00725552">
        <w:rPr>
          <w:rFonts w:cs="Miriam"/>
          <w:szCs w:val="22"/>
          <w:rtl/>
        </w:rPr>
        <w:t>משפט פרטי וכלכלה</w:t>
      </w:r>
      <w:r w:rsidRPr="00725552">
        <w:rPr>
          <w:rFonts w:cs="FrankRuehl"/>
          <w:szCs w:val="26"/>
          <w:rtl/>
        </w:rPr>
        <w:t xml:space="preserve"> – כספים – שוק ההון – הגברת התחרות וצמצום הריכוזיות</w:t>
      </w:r>
    </w:p>
    <w:p w14:paraId="77FE1B55" w14:textId="77777777" w:rsidR="00976C88" w:rsidRDefault="00976C88">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A1558" w:rsidRPr="007A1558" w14:paraId="41CF70B5" w14:textId="77777777" w:rsidTr="007A1558">
        <w:tblPrEx>
          <w:tblCellMar>
            <w:top w:w="0" w:type="dxa"/>
            <w:bottom w:w="0" w:type="dxa"/>
          </w:tblCellMar>
        </w:tblPrEx>
        <w:tc>
          <w:tcPr>
            <w:tcW w:w="1247" w:type="dxa"/>
          </w:tcPr>
          <w:p w14:paraId="6A6B8064" w14:textId="77777777" w:rsidR="007A1558" w:rsidRPr="007A1558" w:rsidRDefault="007A1558" w:rsidP="007A1558">
            <w:pPr>
              <w:spacing w:line="240" w:lineRule="auto"/>
              <w:jc w:val="left"/>
              <w:rPr>
                <w:rFonts w:cs="Frankruhel"/>
                <w:sz w:val="24"/>
                <w:rtl/>
              </w:rPr>
            </w:pPr>
            <w:r>
              <w:rPr>
                <w:rFonts w:cs="Times New Roman"/>
                <w:sz w:val="24"/>
                <w:rtl/>
              </w:rPr>
              <w:t xml:space="preserve">סעיף 1 </w:t>
            </w:r>
          </w:p>
        </w:tc>
        <w:tc>
          <w:tcPr>
            <w:tcW w:w="5669" w:type="dxa"/>
          </w:tcPr>
          <w:p w14:paraId="39297317" w14:textId="77777777" w:rsidR="007A1558" w:rsidRPr="007A1558" w:rsidRDefault="007A1558" w:rsidP="007A1558">
            <w:pPr>
              <w:spacing w:line="240" w:lineRule="auto"/>
              <w:jc w:val="left"/>
              <w:rPr>
                <w:rFonts w:cs="Frankruhel"/>
                <w:sz w:val="24"/>
                <w:rtl/>
              </w:rPr>
            </w:pPr>
            <w:r>
              <w:rPr>
                <w:rFonts w:cs="Times New Roman"/>
                <w:sz w:val="24"/>
                <w:rtl/>
              </w:rPr>
              <w:t>הגדרות</w:t>
            </w:r>
          </w:p>
        </w:tc>
        <w:tc>
          <w:tcPr>
            <w:tcW w:w="567" w:type="dxa"/>
          </w:tcPr>
          <w:p w14:paraId="06310F61" w14:textId="77777777" w:rsidR="007A1558" w:rsidRPr="007A1558" w:rsidRDefault="007A1558" w:rsidP="007A1558">
            <w:pPr>
              <w:spacing w:line="240" w:lineRule="auto"/>
              <w:jc w:val="left"/>
              <w:rPr>
                <w:rStyle w:val="Hyperlink"/>
                <w:rtl/>
              </w:rPr>
            </w:pPr>
            <w:hyperlink w:anchor="Seif1" w:tooltip="הגדרות" w:history="1">
              <w:r w:rsidRPr="007A1558">
                <w:rPr>
                  <w:rStyle w:val="Hyperlink"/>
                </w:rPr>
                <w:t>Go</w:t>
              </w:r>
            </w:hyperlink>
          </w:p>
        </w:tc>
        <w:tc>
          <w:tcPr>
            <w:tcW w:w="850" w:type="dxa"/>
          </w:tcPr>
          <w:p w14:paraId="23279D6F" w14:textId="77777777" w:rsidR="007A1558" w:rsidRPr="007A1558" w:rsidRDefault="007A1558" w:rsidP="007A155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A1558" w:rsidRPr="007A1558" w14:paraId="27C3BB95" w14:textId="77777777" w:rsidTr="007A1558">
        <w:tblPrEx>
          <w:tblCellMar>
            <w:top w:w="0" w:type="dxa"/>
            <w:bottom w:w="0" w:type="dxa"/>
          </w:tblCellMar>
        </w:tblPrEx>
        <w:tc>
          <w:tcPr>
            <w:tcW w:w="1247" w:type="dxa"/>
          </w:tcPr>
          <w:p w14:paraId="4E23B13C" w14:textId="77777777" w:rsidR="007A1558" w:rsidRPr="007A1558" w:rsidRDefault="007A1558" w:rsidP="007A1558">
            <w:pPr>
              <w:spacing w:line="240" w:lineRule="auto"/>
              <w:jc w:val="left"/>
              <w:rPr>
                <w:rFonts w:cs="Frankruhel"/>
                <w:sz w:val="24"/>
                <w:rtl/>
              </w:rPr>
            </w:pPr>
            <w:r>
              <w:rPr>
                <w:rFonts w:cs="Times New Roman"/>
                <w:sz w:val="24"/>
                <w:rtl/>
              </w:rPr>
              <w:t xml:space="preserve">סעיף 2 </w:t>
            </w:r>
          </w:p>
        </w:tc>
        <w:tc>
          <w:tcPr>
            <w:tcW w:w="5669" w:type="dxa"/>
          </w:tcPr>
          <w:p w14:paraId="4A5330B3" w14:textId="77777777" w:rsidR="007A1558" w:rsidRPr="007A1558" w:rsidRDefault="007A1558" w:rsidP="007A1558">
            <w:pPr>
              <w:spacing w:line="240" w:lineRule="auto"/>
              <w:jc w:val="left"/>
              <w:rPr>
                <w:rFonts w:cs="Frankruhel"/>
                <w:sz w:val="24"/>
                <w:rtl/>
              </w:rPr>
            </w:pPr>
            <w:r>
              <w:rPr>
                <w:rFonts w:cs="Times New Roman"/>
                <w:sz w:val="24"/>
                <w:rtl/>
              </w:rPr>
              <w:t>חברות שלא יסווגו כחברות שכבה</w:t>
            </w:r>
          </w:p>
        </w:tc>
        <w:tc>
          <w:tcPr>
            <w:tcW w:w="567" w:type="dxa"/>
          </w:tcPr>
          <w:p w14:paraId="74801E10" w14:textId="77777777" w:rsidR="007A1558" w:rsidRPr="007A1558" w:rsidRDefault="007A1558" w:rsidP="007A1558">
            <w:pPr>
              <w:spacing w:line="240" w:lineRule="auto"/>
              <w:jc w:val="left"/>
              <w:rPr>
                <w:rStyle w:val="Hyperlink"/>
                <w:rtl/>
              </w:rPr>
            </w:pPr>
            <w:hyperlink w:anchor="Seif2" w:tooltip="חברות שלא יסווגו כחברות שכבה" w:history="1">
              <w:r w:rsidRPr="007A1558">
                <w:rPr>
                  <w:rStyle w:val="Hyperlink"/>
                </w:rPr>
                <w:t>Go</w:t>
              </w:r>
            </w:hyperlink>
          </w:p>
        </w:tc>
        <w:tc>
          <w:tcPr>
            <w:tcW w:w="850" w:type="dxa"/>
          </w:tcPr>
          <w:p w14:paraId="720E4040" w14:textId="77777777" w:rsidR="007A1558" w:rsidRPr="007A1558" w:rsidRDefault="007A1558" w:rsidP="007A155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A1558" w:rsidRPr="007A1558" w14:paraId="36C33992" w14:textId="77777777" w:rsidTr="007A1558">
        <w:tblPrEx>
          <w:tblCellMar>
            <w:top w:w="0" w:type="dxa"/>
            <w:bottom w:w="0" w:type="dxa"/>
          </w:tblCellMar>
        </w:tblPrEx>
        <w:tc>
          <w:tcPr>
            <w:tcW w:w="1247" w:type="dxa"/>
          </w:tcPr>
          <w:p w14:paraId="1AFFFF00" w14:textId="77777777" w:rsidR="007A1558" w:rsidRPr="007A1558" w:rsidRDefault="007A1558" w:rsidP="007A1558">
            <w:pPr>
              <w:spacing w:line="240" w:lineRule="auto"/>
              <w:jc w:val="left"/>
              <w:rPr>
                <w:rFonts w:cs="Frankruhel"/>
                <w:sz w:val="24"/>
                <w:rtl/>
              </w:rPr>
            </w:pPr>
            <w:r>
              <w:rPr>
                <w:rFonts w:cs="Times New Roman"/>
                <w:sz w:val="24"/>
                <w:rtl/>
              </w:rPr>
              <w:t xml:space="preserve">סעיף 3 </w:t>
            </w:r>
          </w:p>
        </w:tc>
        <w:tc>
          <w:tcPr>
            <w:tcW w:w="5669" w:type="dxa"/>
          </w:tcPr>
          <w:p w14:paraId="69E65B7E" w14:textId="77777777" w:rsidR="007A1558" w:rsidRPr="007A1558" w:rsidRDefault="007A1558" w:rsidP="007A1558">
            <w:pPr>
              <w:spacing w:line="240" w:lineRule="auto"/>
              <w:jc w:val="left"/>
              <w:rPr>
                <w:rFonts w:cs="Frankruhel"/>
                <w:sz w:val="24"/>
                <w:rtl/>
              </w:rPr>
            </w:pPr>
            <w:r>
              <w:rPr>
                <w:rFonts w:cs="Times New Roman"/>
                <w:sz w:val="24"/>
                <w:rtl/>
              </w:rPr>
              <w:t>חברות שלא יסווגו חברות שכבה לעניין סעיף 25</w:t>
            </w:r>
          </w:p>
        </w:tc>
        <w:tc>
          <w:tcPr>
            <w:tcW w:w="567" w:type="dxa"/>
          </w:tcPr>
          <w:p w14:paraId="4550EF54" w14:textId="77777777" w:rsidR="007A1558" w:rsidRPr="007A1558" w:rsidRDefault="007A1558" w:rsidP="007A1558">
            <w:pPr>
              <w:spacing w:line="240" w:lineRule="auto"/>
              <w:jc w:val="left"/>
              <w:rPr>
                <w:rStyle w:val="Hyperlink"/>
                <w:rtl/>
              </w:rPr>
            </w:pPr>
            <w:hyperlink w:anchor="Seif3" w:tooltip="חברות שלא יסווגו חברות שכבה לעניין סעיף 25" w:history="1">
              <w:r w:rsidRPr="007A1558">
                <w:rPr>
                  <w:rStyle w:val="Hyperlink"/>
                </w:rPr>
                <w:t>Go</w:t>
              </w:r>
            </w:hyperlink>
          </w:p>
        </w:tc>
        <w:tc>
          <w:tcPr>
            <w:tcW w:w="850" w:type="dxa"/>
          </w:tcPr>
          <w:p w14:paraId="4CFA3B56" w14:textId="77777777" w:rsidR="007A1558" w:rsidRPr="007A1558" w:rsidRDefault="007A1558" w:rsidP="007A155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A1558" w:rsidRPr="007A1558" w14:paraId="05DEA580" w14:textId="77777777" w:rsidTr="007A1558">
        <w:tblPrEx>
          <w:tblCellMar>
            <w:top w:w="0" w:type="dxa"/>
            <w:bottom w:w="0" w:type="dxa"/>
          </w:tblCellMar>
        </w:tblPrEx>
        <w:tc>
          <w:tcPr>
            <w:tcW w:w="1247" w:type="dxa"/>
          </w:tcPr>
          <w:p w14:paraId="7A845C05" w14:textId="77777777" w:rsidR="007A1558" w:rsidRPr="007A1558" w:rsidRDefault="007A1558" w:rsidP="007A1558">
            <w:pPr>
              <w:spacing w:line="240" w:lineRule="auto"/>
              <w:jc w:val="left"/>
              <w:rPr>
                <w:rFonts w:cs="Frankruhel"/>
                <w:sz w:val="24"/>
                <w:rtl/>
              </w:rPr>
            </w:pPr>
            <w:r>
              <w:rPr>
                <w:rFonts w:cs="Times New Roman"/>
                <w:sz w:val="24"/>
                <w:rtl/>
              </w:rPr>
              <w:t xml:space="preserve">סעיף 4 </w:t>
            </w:r>
          </w:p>
        </w:tc>
        <w:tc>
          <w:tcPr>
            <w:tcW w:w="5669" w:type="dxa"/>
          </w:tcPr>
          <w:p w14:paraId="42CB1EAE" w14:textId="77777777" w:rsidR="007A1558" w:rsidRPr="007A1558" w:rsidRDefault="007A1558" w:rsidP="007A1558">
            <w:pPr>
              <w:spacing w:line="240" w:lineRule="auto"/>
              <w:jc w:val="left"/>
              <w:rPr>
                <w:rFonts w:cs="Frankruhel"/>
                <w:sz w:val="24"/>
                <w:rtl/>
              </w:rPr>
            </w:pPr>
            <w:r>
              <w:rPr>
                <w:rFonts w:cs="Times New Roman"/>
                <w:sz w:val="24"/>
                <w:rtl/>
              </w:rPr>
              <w:t>הוראות לעניין ייחוס שליטה</w:t>
            </w:r>
          </w:p>
        </w:tc>
        <w:tc>
          <w:tcPr>
            <w:tcW w:w="567" w:type="dxa"/>
          </w:tcPr>
          <w:p w14:paraId="0564E496" w14:textId="77777777" w:rsidR="007A1558" w:rsidRPr="007A1558" w:rsidRDefault="007A1558" w:rsidP="007A1558">
            <w:pPr>
              <w:spacing w:line="240" w:lineRule="auto"/>
              <w:jc w:val="left"/>
              <w:rPr>
                <w:rStyle w:val="Hyperlink"/>
                <w:rtl/>
              </w:rPr>
            </w:pPr>
            <w:hyperlink w:anchor="Seif4" w:tooltip="הוראות לעניין ייחוס שליטה" w:history="1">
              <w:r w:rsidRPr="007A1558">
                <w:rPr>
                  <w:rStyle w:val="Hyperlink"/>
                </w:rPr>
                <w:t>Go</w:t>
              </w:r>
            </w:hyperlink>
          </w:p>
        </w:tc>
        <w:tc>
          <w:tcPr>
            <w:tcW w:w="850" w:type="dxa"/>
          </w:tcPr>
          <w:p w14:paraId="0AA20D23" w14:textId="77777777" w:rsidR="007A1558" w:rsidRPr="007A1558" w:rsidRDefault="007A1558" w:rsidP="007A155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7A1558" w:rsidRPr="007A1558" w14:paraId="202A907B" w14:textId="77777777" w:rsidTr="007A1558">
        <w:tblPrEx>
          <w:tblCellMar>
            <w:top w:w="0" w:type="dxa"/>
            <w:bottom w:w="0" w:type="dxa"/>
          </w:tblCellMar>
        </w:tblPrEx>
        <w:tc>
          <w:tcPr>
            <w:tcW w:w="1247" w:type="dxa"/>
          </w:tcPr>
          <w:p w14:paraId="497FD24D" w14:textId="77777777" w:rsidR="007A1558" w:rsidRPr="007A1558" w:rsidRDefault="007A1558" w:rsidP="007A1558">
            <w:pPr>
              <w:spacing w:line="240" w:lineRule="auto"/>
              <w:jc w:val="left"/>
              <w:rPr>
                <w:rFonts w:cs="Frankruhel"/>
                <w:sz w:val="24"/>
                <w:rtl/>
              </w:rPr>
            </w:pPr>
            <w:r>
              <w:rPr>
                <w:rFonts w:cs="Times New Roman"/>
                <w:sz w:val="24"/>
                <w:rtl/>
              </w:rPr>
              <w:t xml:space="preserve">סעיף 5 </w:t>
            </w:r>
          </w:p>
        </w:tc>
        <w:tc>
          <w:tcPr>
            <w:tcW w:w="5669" w:type="dxa"/>
          </w:tcPr>
          <w:p w14:paraId="47B3B3A8" w14:textId="77777777" w:rsidR="007A1558" w:rsidRPr="007A1558" w:rsidRDefault="007A1558" w:rsidP="007A1558">
            <w:pPr>
              <w:spacing w:line="240" w:lineRule="auto"/>
              <w:jc w:val="left"/>
              <w:rPr>
                <w:rFonts w:cs="Frankruhel"/>
                <w:sz w:val="24"/>
                <w:rtl/>
              </w:rPr>
            </w:pPr>
            <w:r>
              <w:rPr>
                <w:rFonts w:cs="Times New Roman"/>
                <w:sz w:val="24"/>
                <w:rtl/>
              </w:rPr>
              <w:t>תחילה</w:t>
            </w:r>
          </w:p>
        </w:tc>
        <w:tc>
          <w:tcPr>
            <w:tcW w:w="567" w:type="dxa"/>
          </w:tcPr>
          <w:p w14:paraId="54000C25" w14:textId="77777777" w:rsidR="007A1558" w:rsidRPr="007A1558" w:rsidRDefault="007A1558" w:rsidP="007A1558">
            <w:pPr>
              <w:spacing w:line="240" w:lineRule="auto"/>
              <w:jc w:val="left"/>
              <w:rPr>
                <w:rStyle w:val="Hyperlink"/>
                <w:rtl/>
              </w:rPr>
            </w:pPr>
            <w:hyperlink w:anchor="Seif5" w:tooltip="תחילה" w:history="1">
              <w:r w:rsidRPr="007A1558">
                <w:rPr>
                  <w:rStyle w:val="Hyperlink"/>
                </w:rPr>
                <w:t>Go</w:t>
              </w:r>
            </w:hyperlink>
          </w:p>
        </w:tc>
        <w:tc>
          <w:tcPr>
            <w:tcW w:w="850" w:type="dxa"/>
          </w:tcPr>
          <w:p w14:paraId="20DED8A9" w14:textId="77777777" w:rsidR="007A1558" w:rsidRPr="007A1558" w:rsidRDefault="007A1558" w:rsidP="007A155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7A1558" w:rsidRPr="007A1558" w14:paraId="2A509878" w14:textId="77777777" w:rsidTr="007A1558">
        <w:tblPrEx>
          <w:tblCellMar>
            <w:top w:w="0" w:type="dxa"/>
            <w:bottom w:w="0" w:type="dxa"/>
          </w:tblCellMar>
        </w:tblPrEx>
        <w:tc>
          <w:tcPr>
            <w:tcW w:w="1247" w:type="dxa"/>
          </w:tcPr>
          <w:p w14:paraId="1BF5844B" w14:textId="77777777" w:rsidR="007A1558" w:rsidRPr="007A1558" w:rsidRDefault="007A1558" w:rsidP="007A1558">
            <w:pPr>
              <w:spacing w:line="240" w:lineRule="auto"/>
              <w:jc w:val="left"/>
              <w:rPr>
                <w:rFonts w:cs="Frankruhel"/>
                <w:sz w:val="24"/>
                <w:rtl/>
              </w:rPr>
            </w:pPr>
            <w:r>
              <w:rPr>
                <w:rFonts w:cs="Times New Roman"/>
                <w:sz w:val="24"/>
                <w:rtl/>
              </w:rPr>
              <w:t xml:space="preserve">סעיף 6 </w:t>
            </w:r>
          </w:p>
        </w:tc>
        <w:tc>
          <w:tcPr>
            <w:tcW w:w="5669" w:type="dxa"/>
          </w:tcPr>
          <w:p w14:paraId="34E10145" w14:textId="77777777" w:rsidR="007A1558" w:rsidRPr="007A1558" w:rsidRDefault="007A1558" w:rsidP="007A1558">
            <w:pPr>
              <w:spacing w:line="240" w:lineRule="auto"/>
              <w:jc w:val="left"/>
              <w:rPr>
                <w:rFonts w:cs="Frankruhel"/>
                <w:sz w:val="24"/>
                <w:rtl/>
              </w:rPr>
            </w:pPr>
            <w:r>
              <w:rPr>
                <w:rFonts w:cs="Times New Roman"/>
                <w:sz w:val="24"/>
                <w:rtl/>
              </w:rPr>
              <w:t>תוקף ודיווח</w:t>
            </w:r>
          </w:p>
        </w:tc>
        <w:tc>
          <w:tcPr>
            <w:tcW w:w="567" w:type="dxa"/>
          </w:tcPr>
          <w:p w14:paraId="36FA8D9B" w14:textId="77777777" w:rsidR="007A1558" w:rsidRPr="007A1558" w:rsidRDefault="007A1558" w:rsidP="007A1558">
            <w:pPr>
              <w:spacing w:line="240" w:lineRule="auto"/>
              <w:jc w:val="left"/>
              <w:rPr>
                <w:rStyle w:val="Hyperlink"/>
                <w:rtl/>
              </w:rPr>
            </w:pPr>
            <w:hyperlink w:anchor="Seif6" w:tooltip="תוקף ודיווח" w:history="1">
              <w:r w:rsidRPr="007A1558">
                <w:rPr>
                  <w:rStyle w:val="Hyperlink"/>
                </w:rPr>
                <w:t>Go</w:t>
              </w:r>
            </w:hyperlink>
          </w:p>
        </w:tc>
        <w:tc>
          <w:tcPr>
            <w:tcW w:w="850" w:type="dxa"/>
          </w:tcPr>
          <w:p w14:paraId="45174F78" w14:textId="77777777" w:rsidR="007A1558" w:rsidRPr="007A1558" w:rsidRDefault="007A1558" w:rsidP="007A1558">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70F60051" w14:textId="77777777" w:rsidR="00976C88" w:rsidRDefault="00976C88">
      <w:pPr>
        <w:pStyle w:val="big-header"/>
        <w:ind w:left="0" w:right="1134"/>
        <w:rPr>
          <w:rtl/>
        </w:rPr>
      </w:pPr>
    </w:p>
    <w:p w14:paraId="287723A1" w14:textId="77777777" w:rsidR="00976C88" w:rsidRDefault="00976C88" w:rsidP="00AC7226">
      <w:pPr>
        <w:pStyle w:val="big-header"/>
        <w:ind w:left="0" w:right="1134"/>
        <w:rPr>
          <w:rStyle w:val="default"/>
          <w:rFonts w:cs="FrankRuehl"/>
          <w:rtl/>
        </w:rPr>
      </w:pPr>
      <w:r>
        <w:rPr>
          <w:rtl/>
        </w:rPr>
        <w:br w:type="page"/>
      </w:r>
      <w:r w:rsidR="00725552">
        <w:rPr>
          <w:rtl/>
        </w:rPr>
        <w:lastRenderedPageBreak/>
        <w:t xml:space="preserve">תקנות </w:t>
      </w:r>
      <w:r w:rsidR="00725552">
        <w:rPr>
          <w:rFonts w:hint="cs"/>
          <w:rtl/>
        </w:rPr>
        <w:t>לקידום התחרות ולצמצום הריכוזיות (</w:t>
      </w:r>
      <w:r w:rsidR="00AC7226">
        <w:rPr>
          <w:rFonts w:hint="cs"/>
          <w:rtl/>
        </w:rPr>
        <w:t>סוג של חברה שאינה חברת שכבה והוראות לעניין ייחוס שליטה</w:t>
      </w:r>
      <w:r w:rsidR="00725552">
        <w:rPr>
          <w:rtl/>
        </w:rPr>
        <w:t xml:space="preserve">), </w:t>
      </w:r>
      <w:r w:rsidR="00725552">
        <w:rPr>
          <w:rFonts w:hint="cs"/>
          <w:rtl/>
        </w:rPr>
        <w:t>תשע"ד-2014</w:t>
      </w:r>
      <w:r>
        <w:rPr>
          <w:rStyle w:val="default"/>
          <w:sz w:val="22"/>
          <w:szCs w:val="22"/>
          <w:rtl/>
        </w:rPr>
        <w:footnoteReference w:customMarkFollows="1" w:id="1"/>
        <w:t>*</w:t>
      </w:r>
    </w:p>
    <w:p w14:paraId="7D9EA93B" w14:textId="77777777" w:rsidR="00976C88" w:rsidRDefault="00976C88" w:rsidP="00AC7226">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תוקף סמכות</w:t>
      </w:r>
      <w:r w:rsidR="00AC7226">
        <w:rPr>
          <w:rStyle w:val="default"/>
          <w:rFonts w:cs="FrankRuehl" w:hint="cs"/>
          <w:rtl/>
        </w:rPr>
        <w:t>נו</w:t>
      </w:r>
      <w:r>
        <w:rPr>
          <w:rStyle w:val="default"/>
          <w:rFonts w:cs="FrankRuehl" w:hint="cs"/>
          <w:rtl/>
        </w:rPr>
        <w:t xml:space="preserve"> לפי סעי</w:t>
      </w:r>
      <w:r w:rsidR="00AC7226">
        <w:rPr>
          <w:rStyle w:val="default"/>
          <w:rFonts w:cs="FrankRuehl" w:hint="cs"/>
          <w:rtl/>
        </w:rPr>
        <w:t>פים 20 ו-23</w:t>
      </w:r>
      <w:r>
        <w:rPr>
          <w:rStyle w:val="default"/>
          <w:rFonts w:cs="FrankRuehl" w:hint="cs"/>
          <w:rtl/>
        </w:rPr>
        <w:t xml:space="preserve"> לחוק </w:t>
      </w:r>
      <w:r w:rsidR="00725552">
        <w:rPr>
          <w:rStyle w:val="default"/>
          <w:rFonts w:cs="FrankRuehl" w:hint="cs"/>
          <w:rtl/>
        </w:rPr>
        <w:t xml:space="preserve">לקידום התחרות ולצמצום הריכוזיות, התשע"ד-2014 (להלן </w:t>
      </w:r>
      <w:r w:rsidR="00725552">
        <w:rPr>
          <w:rStyle w:val="default"/>
          <w:rFonts w:cs="FrankRuehl"/>
          <w:rtl/>
        </w:rPr>
        <w:t>–</w:t>
      </w:r>
      <w:r w:rsidR="00725552">
        <w:rPr>
          <w:rStyle w:val="default"/>
          <w:rFonts w:cs="FrankRuehl" w:hint="cs"/>
          <w:rtl/>
        </w:rPr>
        <w:t xml:space="preserve"> החוק)</w:t>
      </w:r>
      <w:r>
        <w:rPr>
          <w:rStyle w:val="default"/>
          <w:rFonts w:cs="FrankRuehl" w:hint="cs"/>
          <w:rtl/>
        </w:rPr>
        <w:t xml:space="preserve">, </w:t>
      </w:r>
      <w:r w:rsidR="00AC7226">
        <w:rPr>
          <w:rStyle w:val="default"/>
          <w:rFonts w:cs="FrankRuehl" w:hint="cs"/>
          <w:rtl/>
        </w:rPr>
        <w:t xml:space="preserve">משאין אינטרס ציבורי לסווג את החברות המפורטות בתקנות אלה כחברות שכבה, לעניין הסמכות לפי סעיף 20, ולאחר התייעצות עם רשות ניירות ערך, </w:t>
      </w:r>
      <w:r w:rsidR="00725552">
        <w:rPr>
          <w:rStyle w:val="default"/>
          <w:rFonts w:cs="FrankRuehl" w:hint="cs"/>
          <w:rtl/>
        </w:rPr>
        <w:t>ובאישור ועדת הכספים של הכנסת, אנ</w:t>
      </w:r>
      <w:r w:rsidR="00AC7226">
        <w:rPr>
          <w:rStyle w:val="default"/>
          <w:rFonts w:cs="FrankRuehl" w:hint="cs"/>
          <w:rtl/>
        </w:rPr>
        <w:t>ו מתקינים</w:t>
      </w:r>
      <w:r>
        <w:rPr>
          <w:rStyle w:val="default"/>
          <w:rFonts w:cs="FrankRuehl" w:hint="cs"/>
          <w:rtl/>
        </w:rPr>
        <w:t xml:space="preserve"> תקנות אלה:</w:t>
      </w:r>
    </w:p>
    <w:p w14:paraId="4ACF4328" w14:textId="77777777" w:rsidR="00976C88" w:rsidRDefault="00976C88" w:rsidP="00AC7226">
      <w:pPr>
        <w:pStyle w:val="P00"/>
        <w:spacing w:before="72"/>
        <w:ind w:left="0" w:right="1134"/>
        <w:rPr>
          <w:rStyle w:val="default"/>
          <w:rFonts w:cs="FrankRuehl" w:hint="cs"/>
          <w:rtl/>
        </w:rPr>
      </w:pPr>
      <w:bookmarkStart w:id="0" w:name="Seif1"/>
      <w:bookmarkEnd w:id="0"/>
      <w:r>
        <w:rPr>
          <w:lang w:val="he-IL"/>
        </w:rPr>
        <w:pict w14:anchorId="52C59675">
          <v:rect id="_x0000_s1026" style="position:absolute;left:0;text-align:left;margin-left:464.5pt;margin-top:8.05pt;width:75.05pt;height:11.15pt;z-index:251655168" o:allowincell="f" filled="f" stroked="f" strokecolor="lime" strokeweight=".25pt">
            <v:textbox inset="0,0,0,0">
              <w:txbxContent>
                <w:p w14:paraId="7BDC3E2D" w14:textId="77777777" w:rsidR="00976C88" w:rsidRDefault="00AC7226">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big-number"/>
          <w:rtl/>
        </w:rPr>
        <w:tab/>
      </w:r>
      <w:r w:rsidR="00AC7226">
        <w:rPr>
          <w:rStyle w:val="default"/>
          <w:rFonts w:cs="FrankRuehl" w:hint="cs"/>
          <w:rtl/>
        </w:rPr>
        <w:t xml:space="preserve">בתקנות אלה, "חברת הנפקה של תאגיד בנקאי או מבטח", "מנפיק מוצרי מדדים", "מנפיק מוצרים מובנים" </w:t>
      </w:r>
      <w:r w:rsidR="00AC7226">
        <w:rPr>
          <w:rStyle w:val="default"/>
          <w:rFonts w:cs="FrankRuehl"/>
          <w:rtl/>
        </w:rPr>
        <w:t>–</w:t>
      </w:r>
      <w:r w:rsidR="00AC7226">
        <w:rPr>
          <w:rStyle w:val="default"/>
          <w:rFonts w:cs="FrankRuehl" w:hint="cs"/>
          <w:rtl/>
        </w:rPr>
        <w:t xml:space="preserve"> כהגדרתם בתקנות החברות (הקלות לסוגים מסוימים של חברות איגרות חוב), התשע"ב-2012.</w:t>
      </w:r>
    </w:p>
    <w:p w14:paraId="0C501FCA" w14:textId="77777777" w:rsidR="00976C88" w:rsidRDefault="00976C88" w:rsidP="00AC7226">
      <w:pPr>
        <w:pStyle w:val="P00"/>
        <w:spacing w:before="72"/>
        <w:ind w:left="0" w:right="1134"/>
        <w:rPr>
          <w:rStyle w:val="default"/>
          <w:rFonts w:cs="FrankRuehl" w:hint="cs"/>
          <w:rtl/>
        </w:rPr>
      </w:pPr>
      <w:bookmarkStart w:id="1" w:name="Seif2"/>
      <w:bookmarkEnd w:id="1"/>
      <w:r>
        <w:rPr>
          <w:lang w:val="he-IL"/>
        </w:rPr>
        <w:pict w14:anchorId="0129E298">
          <v:rect id="_x0000_s1029" style="position:absolute;left:0;text-align:left;margin-left:464.5pt;margin-top:8.05pt;width:75.05pt;height:17.4pt;z-index:251656192" o:allowincell="f" filled="f" stroked="f" strokecolor="lime" strokeweight=".25pt">
            <v:textbox inset="0,0,0,0">
              <w:txbxContent>
                <w:p w14:paraId="79743B24" w14:textId="77777777" w:rsidR="00976C88" w:rsidRDefault="00AC7226">
                  <w:pPr>
                    <w:spacing w:line="160" w:lineRule="exact"/>
                    <w:jc w:val="left"/>
                    <w:rPr>
                      <w:rFonts w:cs="Miriam" w:hint="cs"/>
                      <w:noProof/>
                      <w:szCs w:val="18"/>
                      <w:rtl/>
                    </w:rPr>
                  </w:pPr>
                  <w:r>
                    <w:rPr>
                      <w:rFonts w:cs="Miriam" w:hint="cs"/>
                      <w:szCs w:val="18"/>
                      <w:rtl/>
                    </w:rPr>
                    <w:t>חברות שלא יסווגו כחברות שכבה</w:t>
                  </w:r>
                </w:p>
              </w:txbxContent>
            </v:textbox>
            <w10:anchorlock/>
          </v:rect>
        </w:pict>
      </w:r>
      <w:r>
        <w:rPr>
          <w:rStyle w:val="big-number"/>
          <w:rtl/>
        </w:rPr>
        <w:t>2</w:t>
      </w:r>
      <w:r w:rsidRPr="00AC7226">
        <w:rPr>
          <w:rStyle w:val="default"/>
          <w:rFonts w:cs="FrankRuehl"/>
          <w:rtl/>
        </w:rPr>
        <w:t>.</w:t>
      </w:r>
      <w:r w:rsidRPr="00AC7226">
        <w:rPr>
          <w:rStyle w:val="default"/>
          <w:rFonts w:cs="FrankRuehl"/>
          <w:rtl/>
        </w:rPr>
        <w:tab/>
      </w:r>
      <w:r w:rsidR="00AC7226">
        <w:rPr>
          <w:rStyle w:val="default"/>
          <w:rFonts w:cs="FrankRuehl" w:hint="cs"/>
          <w:rtl/>
        </w:rPr>
        <w:t xml:space="preserve">חברה או חברת חוץ, שאינה שולטת בחברת שכבה והיא אחד מאלה, לא תסווג כחברת שכבה </w:t>
      </w:r>
      <w:r w:rsidR="00AC7226">
        <w:rPr>
          <w:rStyle w:val="default"/>
          <w:rFonts w:cs="FrankRuehl"/>
          <w:rtl/>
        </w:rPr>
        <w:t>–</w:t>
      </w:r>
    </w:p>
    <w:p w14:paraId="78E03C15" w14:textId="77777777" w:rsidR="00AC7226" w:rsidRDefault="00AC7226" w:rsidP="00AC722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חברת הנפקה של תאגיד בנקאי או מבטח שהוא חברת שכבה;</w:t>
      </w:r>
    </w:p>
    <w:p w14:paraId="4D6DD835" w14:textId="77777777" w:rsidR="00AC7226" w:rsidRDefault="00AC7226" w:rsidP="00AC722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מנפיק מוצרי מדדים;</w:t>
      </w:r>
    </w:p>
    <w:p w14:paraId="0A0C365C" w14:textId="77777777" w:rsidR="00AC7226" w:rsidRDefault="00AC7226" w:rsidP="00AC722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מנפיק מוצרים מובנים.</w:t>
      </w:r>
    </w:p>
    <w:p w14:paraId="118E1761" w14:textId="77777777" w:rsidR="00AC7226" w:rsidRDefault="00AC7226" w:rsidP="00AC7226">
      <w:pPr>
        <w:pStyle w:val="P00"/>
        <w:spacing w:before="72"/>
        <w:ind w:left="0" w:right="1134"/>
        <w:rPr>
          <w:rStyle w:val="default"/>
          <w:rFonts w:cs="FrankRuehl" w:hint="cs"/>
          <w:rtl/>
        </w:rPr>
      </w:pPr>
      <w:bookmarkStart w:id="2" w:name="Seif3"/>
      <w:bookmarkEnd w:id="2"/>
      <w:r>
        <w:rPr>
          <w:lang w:val="he-IL"/>
        </w:rPr>
        <w:pict w14:anchorId="3EE69DC3">
          <v:rect id="_x0000_s1113" style="position:absolute;left:0;text-align:left;margin-left:464.5pt;margin-top:8.05pt;width:75.05pt;height:33.7pt;z-index:251657216" o:allowincell="f" filled="f" stroked="f" strokecolor="lime" strokeweight=".25pt">
            <v:textbox inset="0,0,0,0">
              <w:txbxContent>
                <w:p w14:paraId="5C2B44C3" w14:textId="77777777" w:rsidR="00AC7226" w:rsidRDefault="00AC7226" w:rsidP="00AC7226">
                  <w:pPr>
                    <w:spacing w:line="160" w:lineRule="exact"/>
                    <w:jc w:val="left"/>
                    <w:rPr>
                      <w:rFonts w:cs="Miriam" w:hint="cs"/>
                      <w:noProof/>
                      <w:szCs w:val="18"/>
                      <w:rtl/>
                    </w:rPr>
                  </w:pPr>
                  <w:r>
                    <w:rPr>
                      <w:rFonts w:cs="Miriam" w:hint="cs"/>
                      <w:szCs w:val="18"/>
                      <w:rtl/>
                    </w:rPr>
                    <w:t>חברות שלא יסווגו חברות שכבה לעניין סעיף 25(ד) לחוק</w:t>
                  </w:r>
                </w:p>
              </w:txbxContent>
            </v:textbox>
            <w10:anchorlock/>
          </v:rect>
        </w:pict>
      </w:r>
      <w:r>
        <w:rPr>
          <w:rStyle w:val="big-number"/>
          <w:rFonts w:hint="cs"/>
          <w:rtl/>
        </w:rPr>
        <w:t>3</w:t>
      </w:r>
      <w:r w:rsidRPr="00AC7226">
        <w:rPr>
          <w:rStyle w:val="default"/>
          <w:rFonts w:cs="FrankRuehl"/>
          <w:rtl/>
        </w:rPr>
        <w:t>.</w:t>
      </w:r>
      <w:r w:rsidRPr="00AC7226">
        <w:rPr>
          <w:rStyle w:val="default"/>
          <w:rFonts w:cs="FrankRuehl"/>
          <w:rtl/>
        </w:rPr>
        <w:tab/>
      </w:r>
      <w:r>
        <w:rPr>
          <w:rStyle w:val="default"/>
          <w:rFonts w:cs="FrankRuehl" w:hint="cs"/>
          <w:rtl/>
        </w:rPr>
        <w:t xml:space="preserve">חברה או חברת חוץ שמתקיים לגביה אחד מאלה לא תסווג כחברת שכבה לעניין הוראות סעיף 25(ד) לחוק </w:t>
      </w:r>
      <w:r>
        <w:rPr>
          <w:rStyle w:val="default"/>
          <w:rFonts w:cs="FrankRuehl"/>
          <w:rtl/>
        </w:rPr>
        <w:t>–</w:t>
      </w:r>
    </w:p>
    <w:p w14:paraId="1323A14F" w14:textId="77777777" w:rsidR="00AC7226" w:rsidRDefault="00AC7226" w:rsidP="00AC722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החברה היא חברת הנפקה של תאגיד בנקאי או מבטח שאינו חברת שכבה, ובלבד שאינה שולטת בחברת שכבה;</w:t>
      </w:r>
    </w:p>
    <w:p w14:paraId="58F00899" w14:textId="77777777" w:rsidR="00AC7226" w:rsidRDefault="00AC7226" w:rsidP="00AC722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מתקיימים בחברה כל אלה:</w:t>
      </w:r>
    </w:p>
    <w:p w14:paraId="0B86B891" w14:textId="77777777" w:rsidR="00AC7226" w:rsidRDefault="00AC7226" w:rsidP="00734F87">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החברה נשלטת בידי שניים או יותר, שאחד או יותר מהם הם חברת שכבה שנייה והשולטים בה (להלן </w:t>
      </w:r>
      <w:r>
        <w:rPr>
          <w:rStyle w:val="default"/>
          <w:rFonts w:cs="FrankRuehl"/>
          <w:rtl/>
        </w:rPr>
        <w:t>–</w:t>
      </w:r>
      <w:r>
        <w:rPr>
          <w:rStyle w:val="default"/>
          <w:rFonts w:cs="FrankRuehl" w:hint="cs"/>
          <w:rtl/>
        </w:rPr>
        <w:t xml:space="preserve"> השולט האחד), ושאר המחזיקים אינם חברת שכבה שנייה (להלן </w:t>
      </w:r>
      <w:r>
        <w:rPr>
          <w:rStyle w:val="default"/>
          <w:rFonts w:cs="FrankRuehl"/>
          <w:rtl/>
        </w:rPr>
        <w:t>–</w:t>
      </w:r>
      <w:r>
        <w:rPr>
          <w:rStyle w:val="default"/>
          <w:rFonts w:cs="FrankRuehl" w:hint="cs"/>
          <w:rtl/>
        </w:rPr>
        <w:t xml:space="preserve"> השולט האחר);</w:t>
      </w:r>
    </w:p>
    <w:p w14:paraId="4A634421" w14:textId="77777777" w:rsidR="00AC7226" w:rsidRDefault="00AC7226" w:rsidP="00734F87">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השולט האחר בחברה אינו בעל עניין בחברת שכבה שהיא השולט האחד כאמור בפסקת משנה (א);</w:t>
      </w:r>
    </w:p>
    <w:p w14:paraId="5D397B55" w14:textId="77777777" w:rsidR="00AC7226" w:rsidRDefault="00AC7226" w:rsidP="00734F87">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r>
      <w:r w:rsidR="00734F87">
        <w:rPr>
          <w:rStyle w:val="default"/>
          <w:rFonts w:cs="FrankRuehl" w:hint="cs"/>
          <w:rtl/>
        </w:rPr>
        <w:t>השולט האחד קובע את זהותם של לא יותר מרבע ממספר הדירקטורים המכהנים, ואילו השולט האחר קובע את זהותם של מחצית לפחות ממספר הדירקטורים המכהנים, והכול לפי תקנות החברה או לפי הסכם שנערכו לפני יום תחילתן של תקנות אלה בין השולט האחד לשולט האחר;</w:t>
      </w:r>
    </w:p>
    <w:p w14:paraId="013D4174" w14:textId="77777777" w:rsidR="00734F87" w:rsidRDefault="00734F87" w:rsidP="00734F87">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השולט האחד אינו מחזיק לבדו בזכות למנות את המנהל הכללי;</w:t>
      </w:r>
    </w:p>
    <w:p w14:paraId="26049CE4" w14:textId="77777777" w:rsidR="00734F87" w:rsidRDefault="00734F87" w:rsidP="00E17DBB">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r>
      <w:r w:rsidR="00E17DBB">
        <w:rPr>
          <w:rStyle w:val="default"/>
          <w:rFonts w:cs="FrankRuehl" w:hint="cs"/>
          <w:rtl/>
        </w:rPr>
        <w:t>החברה היא חברת חוץ, ובלבד שרוב הדירקטורים המכהנים בה מתקיימים שני אלה:</w:t>
      </w:r>
    </w:p>
    <w:p w14:paraId="1A038E94" w14:textId="77777777" w:rsidR="00E17DBB" w:rsidRDefault="00E17DBB" w:rsidP="00E17DBB">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הדירקטור עונה על הגדרת דירקטור עצמאי או בלתי תלוי לפי הדין הזר החל על חברת החוץ;</w:t>
      </w:r>
    </w:p>
    <w:p w14:paraId="15818824" w14:textId="77777777" w:rsidR="00E17DBB" w:rsidRDefault="00E17DBB" w:rsidP="00E17DBB">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בדירקטור מתקיים האמור בפסקה (1) להגדרה "דירקטור בלתי תלוי" בחוק החברות.</w:t>
      </w:r>
    </w:p>
    <w:p w14:paraId="25508A09" w14:textId="77777777" w:rsidR="00AC7226" w:rsidRDefault="00AC7226" w:rsidP="00E17DBB">
      <w:pPr>
        <w:pStyle w:val="P00"/>
        <w:spacing w:before="72"/>
        <w:ind w:left="0" w:right="1134"/>
        <w:rPr>
          <w:rStyle w:val="default"/>
          <w:rFonts w:cs="FrankRuehl" w:hint="cs"/>
          <w:rtl/>
        </w:rPr>
      </w:pPr>
      <w:bookmarkStart w:id="3" w:name="Seif4"/>
      <w:bookmarkEnd w:id="3"/>
      <w:r>
        <w:rPr>
          <w:lang w:val="he-IL"/>
        </w:rPr>
        <w:pict w14:anchorId="303F12B1">
          <v:rect id="_x0000_s1114" style="position:absolute;left:0;text-align:left;margin-left:464.5pt;margin-top:8.05pt;width:75.05pt;height:17.4pt;z-index:251658240" o:allowincell="f" filled="f" stroked="f" strokecolor="lime" strokeweight=".25pt">
            <v:textbox inset="0,0,0,0">
              <w:txbxContent>
                <w:p w14:paraId="452ABD28" w14:textId="77777777" w:rsidR="00AC7226" w:rsidRDefault="00E17DBB" w:rsidP="00AC7226">
                  <w:pPr>
                    <w:spacing w:line="160" w:lineRule="exact"/>
                    <w:jc w:val="left"/>
                    <w:rPr>
                      <w:rFonts w:cs="Miriam" w:hint="cs"/>
                      <w:noProof/>
                      <w:szCs w:val="18"/>
                      <w:rtl/>
                    </w:rPr>
                  </w:pPr>
                  <w:r>
                    <w:rPr>
                      <w:rFonts w:cs="Miriam" w:hint="cs"/>
                      <w:szCs w:val="18"/>
                      <w:rtl/>
                    </w:rPr>
                    <w:t>הוראות לעניין ייחוס שליטה</w:t>
                  </w:r>
                </w:p>
              </w:txbxContent>
            </v:textbox>
            <w10:anchorlock/>
          </v:rect>
        </w:pict>
      </w:r>
      <w:r w:rsidR="00E17DBB">
        <w:rPr>
          <w:rStyle w:val="big-number"/>
          <w:rFonts w:hint="cs"/>
          <w:rtl/>
        </w:rPr>
        <w:t>4</w:t>
      </w:r>
      <w:r w:rsidRPr="00AC7226">
        <w:rPr>
          <w:rStyle w:val="default"/>
          <w:rFonts w:cs="FrankRuehl"/>
          <w:rtl/>
        </w:rPr>
        <w:t>.</w:t>
      </w:r>
      <w:r w:rsidRPr="00AC7226">
        <w:rPr>
          <w:rStyle w:val="default"/>
          <w:rFonts w:cs="FrankRuehl"/>
          <w:rtl/>
        </w:rPr>
        <w:tab/>
      </w:r>
      <w:r w:rsidR="00E17DBB">
        <w:rPr>
          <w:rStyle w:val="default"/>
          <w:rFonts w:cs="FrankRuehl" w:hint="cs"/>
          <w:rtl/>
        </w:rPr>
        <w:t>(א)</w:t>
      </w:r>
      <w:r w:rsidR="00E17DBB">
        <w:rPr>
          <w:rStyle w:val="default"/>
          <w:rFonts w:cs="FrankRuehl" w:hint="cs"/>
          <w:rtl/>
        </w:rPr>
        <w:tab/>
        <w:t>על אף האמור בהגדרה "שליטה" שבסעיף 20(א) לחוק, לחברת שכבה שהיא גוף פיננסי או השולטת בגוף פיננסי, ומחזיקה אמצעי שליטה בחברת שכבה נוספת שבשליטת אותו בעל שליטה, לא ייוחסו לעניין החוק כל החזקות באמצעי שליטה בחברת השכבה הנוספת בשל החזקות כמפורט בתקנת משנה (ב).</w:t>
      </w:r>
    </w:p>
    <w:p w14:paraId="1DCC38E7" w14:textId="77777777" w:rsidR="00E17DBB" w:rsidRDefault="00E17DBB" w:rsidP="00E17D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החזקות של גוף פיננסי שעליהן יחולו הוראות תקנת משנה (א) הן כמפורט להלן:</w:t>
      </w:r>
    </w:p>
    <w:p w14:paraId="3EAFA589" w14:textId="77777777" w:rsidR="00E17DBB" w:rsidRDefault="00E17DBB" w:rsidP="00E17DBB">
      <w:pPr>
        <w:pStyle w:val="P00"/>
        <w:spacing w:before="72"/>
        <w:ind w:left="1021" w:right="1134"/>
        <w:rPr>
          <w:rStyle w:val="default"/>
          <w:rFonts w:cs="FrankRuehl" w:hint="cs"/>
          <w:rtl/>
        </w:rPr>
      </w:pPr>
      <w:r>
        <w:rPr>
          <w:rStyle w:val="default"/>
          <w:rFonts w:cs="FrankRuehl" w:hint="cs"/>
          <w:rtl/>
        </w:rPr>
        <w:lastRenderedPageBreak/>
        <w:t>(1)</w:t>
      </w:r>
      <w:r>
        <w:rPr>
          <w:rStyle w:val="default"/>
          <w:rFonts w:cs="FrankRuehl" w:hint="cs"/>
          <w:rtl/>
        </w:rPr>
        <w:tab/>
        <w:t>התחייבויות תלויות תשואה וקופות גמל שבניהולו של גוף מוסדי כהגדרתו בחוק הפיקוח על שירותים פיננסיים (ביטוח), התשמ"א-1981;</w:t>
      </w:r>
    </w:p>
    <w:p w14:paraId="736E5005" w14:textId="77777777" w:rsidR="00E17DBB" w:rsidRDefault="00E17DBB" w:rsidP="00E17DB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נכסי הקרן שבניהולו של מנהל קרן להשקעות משותפות בנאמנות כמשמעותו בסעיף 4 לחוק השקעות משותפות בנאמנות, התשנ"ד-1994;</w:t>
      </w:r>
    </w:p>
    <w:p w14:paraId="6A00D0D7" w14:textId="77777777" w:rsidR="00E17DBB" w:rsidRDefault="00E17DBB" w:rsidP="00E17DB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נכסים מגבים של תעודת סל שהוצעה לציבור בידי מנפיק תעודת סל; לעניין זה, "נכסים מגבים" </w:t>
      </w:r>
      <w:r>
        <w:rPr>
          <w:rStyle w:val="default"/>
          <w:rFonts w:cs="FrankRuehl"/>
          <w:rtl/>
        </w:rPr>
        <w:t>–</w:t>
      </w:r>
      <w:r>
        <w:rPr>
          <w:rStyle w:val="default"/>
          <w:rFonts w:cs="FrankRuehl" w:hint="cs"/>
          <w:rtl/>
        </w:rPr>
        <w:t xml:space="preserve"> ניירות ערך המוחזקים במטרה להבטיח את התחייבות מנהל תעודת הסל למשקיעים בתעודת הסל, לפי תשקיף או הסכם.</w:t>
      </w:r>
    </w:p>
    <w:p w14:paraId="3C58C037" w14:textId="77777777" w:rsidR="00AC7226" w:rsidRDefault="00AC7226" w:rsidP="00AC7226">
      <w:pPr>
        <w:pStyle w:val="P00"/>
        <w:spacing w:before="72"/>
        <w:ind w:left="0" w:right="1134"/>
        <w:rPr>
          <w:rStyle w:val="default"/>
          <w:rFonts w:cs="FrankRuehl" w:hint="cs"/>
          <w:rtl/>
        </w:rPr>
      </w:pPr>
      <w:bookmarkStart w:id="4" w:name="Seif5"/>
      <w:bookmarkEnd w:id="4"/>
      <w:r>
        <w:rPr>
          <w:lang w:val="he-IL"/>
        </w:rPr>
        <w:pict w14:anchorId="7EBCCEDD">
          <v:rect id="_x0000_s1115" style="position:absolute;left:0;text-align:left;margin-left:464.5pt;margin-top:8.05pt;width:75.05pt;height:17.4pt;z-index:251659264" o:allowincell="f" filled="f" stroked="f" strokecolor="lime" strokeweight=".25pt">
            <v:textbox inset="0,0,0,0">
              <w:txbxContent>
                <w:p w14:paraId="1BC4C612" w14:textId="77777777" w:rsidR="00AC7226" w:rsidRDefault="00AC7226" w:rsidP="00AC7226">
                  <w:pPr>
                    <w:spacing w:line="160" w:lineRule="exact"/>
                    <w:jc w:val="left"/>
                    <w:rPr>
                      <w:rFonts w:cs="Miriam" w:hint="cs"/>
                      <w:noProof/>
                      <w:szCs w:val="18"/>
                      <w:rtl/>
                    </w:rPr>
                  </w:pPr>
                  <w:r>
                    <w:rPr>
                      <w:rFonts w:cs="Miriam" w:hint="cs"/>
                      <w:szCs w:val="18"/>
                      <w:rtl/>
                    </w:rPr>
                    <w:t>תחילה</w:t>
                  </w:r>
                </w:p>
              </w:txbxContent>
            </v:textbox>
            <w10:anchorlock/>
          </v:rect>
        </w:pict>
      </w:r>
      <w:r w:rsidR="00E17DBB">
        <w:rPr>
          <w:rStyle w:val="big-number"/>
          <w:rFonts w:hint="cs"/>
          <w:rtl/>
        </w:rPr>
        <w:t>5</w:t>
      </w:r>
      <w:r w:rsidRPr="00AC7226">
        <w:rPr>
          <w:rStyle w:val="default"/>
          <w:rFonts w:cs="FrankRuehl"/>
          <w:rtl/>
        </w:rPr>
        <w:t>.</w:t>
      </w:r>
      <w:r w:rsidRPr="00AC7226">
        <w:rPr>
          <w:rStyle w:val="default"/>
          <w:rFonts w:cs="FrankRuehl"/>
          <w:rtl/>
        </w:rPr>
        <w:tab/>
      </w:r>
      <w:r>
        <w:rPr>
          <w:rStyle w:val="default"/>
          <w:rFonts w:cs="FrankRuehl" w:hint="cs"/>
          <w:rtl/>
        </w:rPr>
        <w:t>תחילתן</w:t>
      </w:r>
      <w:r w:rsidR="00E17DBB">
        <w:rPr>
          <w:rStyle w:val="default"/>
          <w:rFonts w:cs="FrankRuehl" w:hint="cs"/>
          <w:rtl/>
        </w:rPr>
        <w:t xml:space="preserve"> של תקנות אלה ביום י"ג בסיוון התשע"ד (11 ביוני 2014).</w:t>
      </w:r>
    </w:p>
    <w:p w14:paraId="33D2DE57" w14:textId="77777777" w:rsidR="00AC7226" w:rsidRDefault="00AC7226" w:rsidP="00E17DBB">
      <w:pPr>
        <w:pStyle w:val="P00"/>
        <w:spacing w:before="72"/>
        <w:ind w:left="0" w:right="1134"/>
        <w:rPr>
          <w:rStyle w:val="default"/>
          <w:rFonts w:cs="FrankRuehl" w:hint="cs"/>
          <w:rtl/>
        </w:rPr>
      </w:pPr>
      <w:bookmarkStart w:id="5" w:name="Seif6"/>
      <w:bookmarkEnd w:id="5"/>
      <w:r>
        <w:rPr>
          <w:lang w:val="he-IL"/>
        </w:rPr>
        <w:pict w14:anchorId="2C58E7D3">
          <v:rect id="_x0000_s1116" style="position:absolute;left:0;text-align:left;margin-left:464.5pt;margin-top:8.05pt;width:75.05pt;height:17.4pt;z-index:251660288" o:allowincell="f" filled="f" stroked="f" strokecolor="lime" strokeweight=".25pt">
            <v:textbox inset="0,0,0,0">
              <w:txbxContent>
                <w:p w14:paraId="065190CF" w14:textId="77777777" w:rsidR="00AC7226" w:rsidRDefault="00083820" w:rsidP="00AC7226">
                  <w:pPr>
                    <w:spacing w:line="160" w:lineRule="exact"/>
                    <w:jc w:val="left"/>
                    <w:rPr>
                      <w:rFonts w:cs="Miriam" w:hint="cs"/>
                      <w:noProof/>
                      <w:szCs w:val="18"/>
                      <w:rtl/>
                    </w:rPr>
                  </w:pPr>
                  <w:r>
                    <w:rPr>
                      <w:rFonts w:cs="Miriam" w:hint="cs"/>
                      <w:szCs w:val="18"/>
                      <w:rtl/>
                    </w:rPr>
                    <w:t>תק' תשע"ח-2018</w:t>
                  </w:r>
                </w:p>
              </w:txbxContent>
            </v:textbox>
            <w10:anchorlock/>
          </v:rect>
        </w:pict>
      </w:r>
      <w:r w:rsidR="00E17DBB">
        <w:rPr>
          <w:rStyle w:val="big-number"/>
          <w:rFonts w:hint="cs"/>
          <w:rtl/>
        </w:rPr>
        <w:t>6</w:t>
      </w:r>
      <w:r w:rsidRPr="00AC7226">
        <w:rPr>
          <w:rStyle w:val="default"/>
          <w:rFonts w:cs="FrankRuehl"/>
          <w:rtl/>
        </w:rPr>
        <w:t>.</w:t>
      </w:r>
      <w:r w:rsidRPr="00AC7226">
        <w:rPr>
          <w:rStyle w:val="default"/>
          <w:rFonts w:cs="FrankRuehl"/>
          <w:rtl/>
        </w:rPr>
        <w:tab/>
      </w:r>
      <w:r w:rsidR="00E17DBB">
        <w:rPr>
          <w:rStyle w:val="default"/>
          <w:rFonts w:cs="FrankRuehl" w:hint="cs"/>
          <w:rtl/>
        </w:rPr>
        <w:t>(</w:t>
      </w:r>
      <w:r w:rsidR="00083820">
        <w:rPr>
          <w:rStyle w:val="default"/>
          <w:rFonts w:cs="FrankRuehl" w:hint="cs"/>
          <w:rtl/>
        </w:rPr>
        <w:t>בוטלה</w:t>
      </w:r>
      <w:r w:rsidR="00E17DBB">
        <w:rPr>
          <w:rStyle w:val="default"/>
          <w:rFonts w:cs="FrankRuehl" w:hint="cs"/>
          <w:rtl/>
        </w:rPr>
        <w:t>).</w:t>
      </w:r>
    </w:p>
    <w:p w14:paraId="3BA879B6" w14:textId="77777777" w:rsidR="00083820" w:rsidRPr="00083820" w:rsidRDefault="00083820" w:rsidP="00083820">
      <w:pPr>
        <w:pStyle w:val="P00"/>
        <w:spacing w:before="0"/>
        <w:ind w:left="0" w:right="1134"/>
        <w:rPr>
          <w:rStyle w:val="default"/>
          <w:rFonts w:cs="FrankRuehl"/>
          <w:vanish/>
          <w:color w:val="FF0000"/>
          <w:szCs w:val="20"/>
          <w:shd w:val="clear" w:color="auto" w:fill="FFFF99"/>
          <w:rtl/>
        </w:rPr>
      </w:pPr>
      <w:bookmarkStart w:id="6" w:name="Rov8"/>
      <w:r w:rsidRPr="00083820">
        <w:rPr>
          <w:rStyle w:val="default"/>
          <w:rFonts w:cs="FrankRuehl" w:hint="cs"/>
          <w:vanish/>
          <w:color w:val="FF0000"/>
          <w:szCs w:val="20"/>
          <w:shd w:val="clear" w:color="auto" w:fill="FFFF99"/>
          <w:rtl/>
        </w:rPr>
        <w:t>מיום 12.6.2015</w:t>
      </w:r>
    </w:p>
    <w:p w14:paraId="4952073E" w14:textId="77777777" w:rsidR="00083820" w:rsidRPr="00083820" w:rsidRDefault="00083820" w:rsidP="00083820">
      <w:pPr>
        <w:pStyle w:val="P00"/>
        <w:spacing w:before="0"/>
        <w:ind w:left="0" w:right="1134"/>
        <w:rPr>
          <w:rStyle w:val="default"/>
          <w:rFonts w:cs="FrankRuehl"/>
          <w:vanish/>
          <w:szCs w:val="20"/>
          <w:shd w:val="clear" w:color="auto" w:fill="FFFF99"/>
          <w:rtl/>
        </w:rPr>
      </w:pPr>
      <w:r w:rsidRPr="00083820">
        <w:rPr>
          <w:rStyle w:val="default"/>
          <w:rFonts w:cs="FrankRuehl" w:hint="cs"/>
          <w:b/>
          <w:bCs/>
          <w:vanish/>
          <w:szCs w:val="20"/>
          <w:shd w:val="clear" w:color="auto" w:fill="FFFF99"/>
          <w:rtl/>
        </w:rPr>
        <w:t>תק' תשע"ח-2018</w:t>
      </w:r>
    </w:p>
    <w:p w14:paraId="6AECC457" w14:textId="77777777" w:rsidR="00083820" w:rsidRPr="00083820" w:rsidRDefault="00083820" w:rsidP="00083820">
      <w:pPr>
        <w:pStyle w:val="P00"/>
        <w:spacing w:before="0"/>
        <w:ind w:left="0" w:right="1134"/>
        <w:rPr>
          <w:rStyle w:val="default"/>
          <w:rFonts w:cs="FrankRuehl"/>
          <w:vanish/>
          <w:szCs w:val="20"/>
          <w:shd w:val="clear" w:color="auto" w:fill="FFFF99"/>
          <w:rtl/>
        </w:rPr>
      </w:pPr>
      <w:hyperlink r:id="rId6" w:history="1">
        <w:r w:rsidRPr="00083820">
          <w:rPr>
            <w:rStyle w:val="Hyperlink"/>
            <w:rFonts w:hint="cs"/>
            <w:vanish/>
            <w:szCs w:val="20"/>
            <w:shd w:val="clear" w:color="auto" w:fill="FFFF99"/>
            <w:rtl/>
          </w:rPr>
          <w:t>ק"ת תשע"ח מס' 7991</w:t>
        </w:r>
      </w:hyperlink>
      <w:r w:rsidRPr="00083820">
        <w:rPr>
          <w:rStyle w:val="default"/>
          <w:rFonts w:cs="FrankRuehl" w:hint="cs"/>
          <w:vanish/>
          <w:szCs w:val="20"/>
          <w:shd w:val="clear" w:color="auto" w:fill="FFFF99"/>
          <w:rtl/>
        </w:rPr>
        <w:t xml:space="preserve"> מיום 25.4.2018 עמ' 1868</w:t>
      </w:r>
    </w:p>
    <w:p w14:paraId="18353040" w14:textId="77777777" w:rsidR="00083820" w:rsidRPr="00083820" w:rsidRDefault="00083820" w:rsidP="00083820">
      <w:pPr>
        <w:pStyle w:val="P00"/>
        <w:spacing w:before="0"/>
        <w:ind w:left="0" w:right="1134"/>
        <w:rPr>
          <w:rStyle w:val="default"/>
          <w:rFonts w:cs="FrankRuehl"/>
          <w:vanish/>
          <w:szCs w:val="20"/>
          <w:shd w:val="clear" w:color="auto" w:fill="FFFF99"/>
          <w:rtl/>
        </w:rPr>
      </w:pPr>
      <w:r w:rsidRPr="00083820">
        <w:rPr>
          <w:rStyle w:val="default"/>
          <w:rFonts w:cs="FrankRuehl" w:hint="cs"/>
          <w:b/>
          <w:bCs/>
          <w:vanish/>
          <w:szCs w:val="20"/>
          <w:shd w:val="clear" w:color="auto" w:fill="FFFF99"/>
          <w:rtl/>
        </w:rPr>
        <w:t>ביטול תקנה 6</w:t>
      </w:r>
    </w:p>
    <w:p w14:paraId="4B88B76E" w14:textId="77777777" w:rsidR="00083820" w:rsidRPr="00083820" w:rsidRDefault="00083820" w:rsidP="00083820">
      <w:pPr>
        <w:pStyle w:val="P00"/>
        <w:ind w:left="0" w:right="1134"/>
        <w:rPr>
          <w:rStyle w:val="default"/>
          <w:rFonts w:cs="FrankRuehl" w:hint="cs"/>
          <w:vanish/>
          <w:szCs w:val="20"/>
          <w:shd w:val="clear" w:color="auto" w:fill="FFFF99"/>
          <w:rtl/>
        </w:rPr>
      </w:pPr>
      <w:r w:rsidRPr="00083820">
        <w:rPr>
          <w:rStyle w:val="default"/>
          <w:rFonts w:cs="FrankRuehl" w:hint="cs"/>
          <w:vanish/>
          <w:szCs w:val="20"/>
          <w:shd w:val="clear" w:color="auto" w:fill="FFFF99"/>
          <w:rtl/>
        </w:rPr>
        <w:t>הנוסח הקודם:</w:t>
      </w:r>
    </w:p>
    <w:p w14:paraId="56F1C8EE" w14:textId="77777777" w:rsidR="00083820" w:rsidRPr="00083820" w:rsidRDefault="00083820" w:rsidP="00083820">
      <w:pPr>
        <w:pStyle w:val="P00"/>
        <w:spacing w:before="0"/>
        <w:ind w:left="0" w:right="1134"/>
        <w:rPr>
          <w:rStyle w:val="default"/>
          <w:rFonts w:ascii="Miriam" w:hAnsi="Miriam" w:cs="Miriam"/>
          <w:strike/>
          <w:vanish/>
          <w:sz w:val="16"/>
          <w:szCs w:val="16"/>
          <w:shd w:val="clear" w:color="auto" w:fill="FFFF99"/>
          <w:rtl/>
        </w:rPr>
      </w:pPr>
      <w:r w:rsidRPr="00083820">
        <w:rPr>
          <w:rStyle w:val="default"/>
          <w:rFonts w:ascii="Miriam" w:hAnsi="Miriam" w:cs="Miriam"/>
          <w:strike/>
          <w:vanish/>
          <w:sz w:val="16"/>
          <w:szCs w:val="16"/>
          <w:shd w:val="clear" w:color="auto" w:fill="FFFF99"/>
          <w:rtl/>
        </w:rPr>
        <w:t>תוקף ודיווח</w:t>
      </w:r>
    </w:p>
    <w:p w14:paraId="14B647BA" w14:textId="77777777" w:rsidR="00083820" w:rsidRPr="00083820" w:rsidRDefault="00083820" w:rsidP="00083820">
      <w:pPr>
        <w:pStyle w:val="P00"/>
        <w:spacing w:before="0"/>
        <w:ind w:left="0" w:right="1134"/>
        <w:rPr>
          <w:rStyle w:val="default"/>
          <w:rFonts w:cs="FrankRuehl" w:hint="cs"/>
          <w:strike/>
          <w:vanish/>
          <w:sz w:val="22"/>
          <w:szCs w:val="22"/>
          <w:shd w:val="clear" w:color="auto" w:fill="FFFF99"/>
          <w:rtl/>
        </w:rPr>
      </w:pPr>
      <w:r w:rsidRPr="00083820">
        <w:rPr>
          <w:rStyle w:val="default"/>
          <w:rFonts w:cs="FrankRuehl" w:hint="cs"/>
          <w:strike/>
          <w:vanish/>
          <w:sz w:val="22"/>
          <w:szCs w:val="22"/>
          <w:shd w:val="clear" w:color="auto" w:fill="FFFF99"/>
          <w:rtl/>
        </w:rPr>
        <w:t>6</w:t>
      </w:r>
      <w:r w:rsidRPr="00083820">
        <w:rPr>
          <w:rStyle w:val="default"/>
          <w:rFonts w:cs="FrankRuehl"/>
          <w:strike/>
          <w:vanish/>
          <w:sz w:val="22"/>
          <w:szCs w:val="22"/>
          <w:shd w:val="clear" w:color="auto" w:fill="FFFF99"/>
          <w:rtl/>
        </w:rPr>
        <w:t>.</w:t>
      </w:r>
      <w:r w:rsidRPr="00083820">
        <w:rPr>
          <w:rStyle w:val="default"/>
          <w:rFonts w:cs="FrankRuehl"/>
          <w:strike/>
          <w:vanish/>
          <w:sz w:val="22"/>
          <w:szCs w:val="22"/>
          <w:shd w:val="clear" w:color="auto" w:fill="FFFF99"/>
          <w:rtl/>
        </w:rPr>
        <w:tab/>
      </w:r>
      <w:r w:rsidRPr="00083820">
        <w:rPr>
          <w:rStyle w:val="default"/>
          <w:rFonts w:cs="FrankRuehl" w:hint="cs"/>
          <w:strike/>
          <w:vanish/>
          <w:sz w:val="22"/>
          <w:szCs w:val="22"/>
          <w:shd w:val="clear" w:color="auto" w:fill="FFFF99"/>
          <w:rtl/>
        </w:rPr>
        <w:t>(א)</w:t>
      </w:r>
      <w:r w:rsidRPr="00083820">
        <w:rPr>
          <w:rStyle w:val="default"/>
          <w:rFonts w:cs="FrankRuehl" w:hint="cs"/>
          <w:strike/>
          <w:vanish/>
          <w:sz w:val="22"/>
          <w:szCs w:val="22"/>
          <w:shd w:val="clear" w:color="auto" w:fill="FFFF99"/>
          <w:rtl/>
        </w:rPr>
        <w:tab/>
        <w:t>תוקפה של תקנה 4 עד יום כ"ד בסיוון התשע"ה (11 ביוני 2015).</w:t>
      </w:r>
    </w:p>
    <w:p w14:paraId="2FEA6850" w14:textId="77777777" w:rsidR="00083820" w:rsidRPr="00083820" w:rsidRDefault="00083820" w:rsidP="00083820">
      <w:pPr>
        <w:pStyle w:val="P00"/>
        <w:spacing w:before="0"/>
        <w:ind w:left="0" w:right="1134"/>
        <w:rPr>
          <w:rStyle w:val="default"/>
          <w:rFonts w:cs="FrankRuehl"/>
          <w:sz w:val="2"/>
          <w:szCs w:val="2"/>
          <w:rtl/>
        </w:rPr>
      </w:pPr>
      <w:r w:rsidRPr="00083820">
        <w:rPr>
          <w:rStyle w:val="default"/>
          <w:rFonts w:cs="FrankRuehl" w:hint="cs"/>
          <w:vanish/>
          <w:sz w:val="22"/>
          <w:szCs w:val="22"/>
          <w:shd w:val="clear" w:color="auto" w:fill="FFFF99"/>
          <w:rtl/>
        </w:rPr>
        <w:tab/>
      </w:r>
      <w:r w:rsidRPr="00083820">
        <w:rPr>
          <w:rStyle w:val="default"/>
          <w:rFonts w:cs="FrankRuehl" w:hint="cs"/>
          <w:strike/>
          <w:vanish/>
          <w:sz w:val="22"/>
          <w:szCs w:val="22"/>
          <w:shd w:val="clear" w:color="auto" w:fill="FFFF99"/>
          <w:rtl/>
        </w:rPr>
        <w:t>(ב)</w:t>
      </w:r>
      <w:r w:rsidRPr="00083820">
        <w:rPr>
          <w:rStyle w:val="default"/>
          <w:rFonts w:cs="FrankRuehl" w:hint="cs"/>
          <w:strike/>
          <w:vanish/>
          <w:sz w:val="22"/>
          <w:szCs w:val="22"/>
          <w:shd w:val="clear" w:color="auto" w:fill="FFFF99"/>
          <w:rtl/>
        </w:rPr>
        <w:tab/>
        <w:t>שר המשפטים ושר האוצר ידווחו לוועדת הכספים של הכנסת על יישום הוראות תקנה 4; הדוח יימסר לוועדת הכספים של הכנסת לא יאוחר מיום ט' בטבת התשע"ה (31 בדצמבר 2014).</w:t>
      </w:r>
      <w:bookmarkEnd w:id="6"/>
    </w:p>
    <w:p w14:paraId="4EB09250" w14:textId="77777777" w:rsidR="00976C88" w:rsidRDefault="00976C88">
      <w:pPr>
        <w:pStyle w:val="P00"/>
        <w:spacing w:before="72"/>
        <w:ind w:left="0" w:right="1134"/>
        <w:rPr>
          <w:rStyle w:val="default"/>
          <w:rFonts w:cs="FrankRuehl" w:hint="cs"/>
          <w:rtl/>
        </w:rPr>
      </w:pPr>
    </w:p>
    <w:p w14:paraId="66E9EB51" w14:textId="77777777" w:rsidR="00752775" w:rsidRDefault="00752775">
      <w:pPr>
        <w:pStyle w:val="P00"/>
        <w:spacing w:before="72"/>
        <w:ind w:left="0" w:right="1134"/>
        <w:rPr>
          <w:rStyle w:val="default"/>
          <w:rFonts w:cs="FrankRuehl" w:hint="cs"/>
          <w:rtl/>
        </w:rPr>
      </w:pPr>
    </w:p>
    <w:p w14:paraId="36F55D9D" w14:textId="77777777" w:rsidR="00976C88" w:rsidRDefault="003A6A06" w:rsidP="00E17DBB">
      <w:pPr>
        <w:pStyle w:val="sig-0"/>
        <w:tabs>
          <w:tab w:val="clear" w:pos="4820"/>
          <w:tab w:val="center" w:pos="3969"/>
          <w:tab w:val="center" w:pos="6237"/>
        </w:tabs>
        <w:spacing w:before="72"/>
        <w:ind w:left="0" w:right="1134"/>
        <w:rPr>
          <w:rFonts w:hint="cs"/>
          <w:rtl/>
        </w:rPr>
      </w:pPr>
      <w:r>
        <w:rPr>
          <w:rFonts w:hint="cs"/>
          <w:rtl/>
        </w:rPr>
        <w:t>י"</w:t>
      </w:r>
      <w:r w:rsidR="00E17DBB">
        <w:rPr>
          <w:rFonts w:hint="cs"/>
          <w:rtl/>
        </w:rPr>
        <w:t>ח בתמוז</w:t>
      </w:r>
      <w:r w:rsidR="00752775">
        <w:rPr>
          <w:rFonts w:hint="cs"/>
          <w:rtl/>
        </w:rPr>
        <w:t xml:space="preserve"> התשע"</w:t>
      </w:r>
      <w:r w:rsidR="00336C76">
        <w:rPr>
          <w:rFonts w:hint="cs"/>
          <w:rtl/>
        </w:rPr>
        <w:t>ד</w:t>
      </w:r>
      <w:r w:rsidR="00752775">
        <w:rPr>
          <w:rFonts w:hint="cs"/>
          <w:rtl/>
        </w:rPr>
        <w:t xml:space="preserve"> (</w:t>
      </w:r>
      <w:r w:rsidR="00E17DBB">
        <w:rPr>
          <w:rFonts w:hint="cs"/>
          <w:rtl/>
        </w:rPr>
        <w:t>16 ביולי</w:t>
      </w:r>
      <w:r w:rsidR="00336C76">
        <w:rPr>
          <w:rFonts w:hint="cs"/>
          <w:rtl/>
        </w:rPr>
        <w:t xml:space="preserve"> 2014</w:t>
      </w:r>
      <w:r w:rsidR="00976C88">
        <w:rPr>
          <w:rFonts w:hint="cs"/>
          <w:rtl/>
        </w:rPr>
        <w:t>)</w:t>
      </w:r>
      <w:r w:rsidR="00976C88">
        <w:rPr>
          <w:rtl/>
        </w:rPr>
        <w:tab/>
      </w:r>
      <w:r>
        <w:rPr>
          <w:rFonts w:hint="cs"/>
          <w:rtl/>
        </w:rPr>
        <w:t>ציפי לבני</w:t>
      </w:r>
      <w:r w:rsidR="00E17DBB">
        <w:rPr>
          <w:rFonts w:hint="cs"/>
          <w:rtl/>
        </w:rPr>
        <w:tab/>
        <w:t>יאיר לפיד</w:t>
      </w:r>
    </w:p>
    <w:p w14:paraId="7E152C0B" w14:textId="77777777" w:rsidR="00976C88" w:rsidRDefault="00976C88" w:rsidP="00E17DBB">
      <w:pPr>
        <w:pStyle w:val="sig-1"/>
        <w:widowControl/>
        <w:tabs>
          <w:tab w:val="clear" w:pos="851"/>
          <w:tab w:val="clear" w:pos="2835"/>
          <w:tab w:val="clear" w:pos="4820"/>
          <w:tab w:val="center" w:pos="3969"/>
          <w:tab w:val="center" w:pos="6237"/>
        </w:tabs>
        <w:ind w:left="0" w:right="1134"/>
        <w:rPr>
          <w:rStyle w:val="default"/>
          <w:rFonts w:cs="FrankRuehl" w:hint="cs"/>
          <w:sz w:val="22"/>
          <w:szCs w:val="22"/>
          <w:rtl/>
        </w:rPr>
      </w:pPr>
      <w:r>
        <w:rPr>
          <w:sz w:val="22"/>
          <w:rtl/>
        </w:rPr>
        <w:tab/>
      </w:r>
      <w:r w:rsidR="003A6A06">
        <w:rPr>
          <w:rStyle w:val="default"/>
          <w:rFonts w:cs="FrankRuehl" w:hint="cs"/>
          <w:sz w:val="22"/>
          <w:szCs w:val="22"/>
          <w:rtl/>
        </w:rPr>
        <w:t>שרת המשפטים</w:t>
      </w:r>
      <w:r w:rsidR="00E17DBB">
        <w:rPr>
          <w:rStyle w:val="default"/>
          <w:rFonts w:cs="FrankRuehl" w:hint="cs"/>
          <w:sz w:val="22"/>
          <w:szCs w:val="22"/>
          <w:rtl/>
        </w:rPr>
        <w:tab/>
        <w:t>שר האוצר</w:t>
      </w:r>
    </w:p>
    <w:p w14:paraId="0D47A44D" w14:textId="77777777" w:rsidR="00AC7226" w:rsidRDefault="00AC7226">
      <w:pPr>
        <w:pStyle w:val="P00"/>
        <w:spacing w:before="72"/>
        <w:ind w:left="0" w:right="1134"/>
        <w:rPr>
          <w:rStyle w:val="default"/>
          <w:rFonts w:cs="FrankRuehl" w:hint="cs"/>
          <w:sz w:val="26"/>
          <w:rtl/>
        </w:rPr>
      </w:pPr>
    </w:p>
    <w:p w14:paraId="1076CCA8" w14:textId="77777777" w:rsidR="00976C88" w:rsidRDefault="00976C88">
      <w:pPr>
        <w:pStyle w:val="P00"/>
        <w:spacing w:before="72"/>
        <w:ind w:left="0" w:right="1134"/>
        <w:rPr>
          <w:rStyle w:val="default"/>
          <w:rFonts w:cs="FrankRuehl"/>
          <w:sz w:val="26"/>
          <w:rtl/>
        </w:rPr>
      </w:pPr>
    </w:p>
    <w:p w14:paraId="389602BA" w14:textId="77777777" w:rsidR="00976C88" w:rsidRDefault="00976C88">
      <w:pPr>
        <w:pStyle w:val="P00"/>
        <w:spacing w:before="72"/>
        <w:ind w:left="0" w:right="1134"/>
        <w:rPr>
          <w:rStyle w:val="default"/>
          <w:rFonts w:cs="FrankRuehl"/>
          <w:sz w:val="26"/>
          <w:rtl/>
        </w:rPr>
      </w:pPr>
      <w:bookmarkStart w:id="7" w:name="LawPartEnd"/>
    </w:p>
    <w:bookmarkEnd w:id="7"/>
    <w:p w14:paraId="6DF36E29" w14:textId="77777777" w:rsidR="007A1558" w:rsidRDefault="007A1558">
      <w:pPr>
        <w:pStyle w:val="P00"/>
        <w:spacing w:before="72"/>
        <w:ind w:left="0" w:right="1134"/>
        <w:rPr>
          <w:rStyle w:val="default"/>
          <w:rFonts w:cs="FrankRuehl"/>
          <w:sz w:val="26"/>
          <w:rtl/>
        </w:rPr>
      </w:pPr>
    </w:p>
    <w:p w14:paraId="2ED61DDF" w14:textId="77777777" w:rsidR="007A1558" w:rsidRDefault="007A1558" w:rsidP="007A1558">
      <w:pPr>
        <w:pStyle w:val="P00"/>
        <w:spacing w:before="72"/>
        <w:ind w:left="0" w:right="1134"/>
        <w:jc w:val="center"/>
        <w:rPr>
          <w:rStyle w:val="default"/>
          <w:rFonts w:cs="David"/>
          <w:color w:val="0000FF"/>
          <w:sz w:val="26"/>
          <w:szCs w:val="24"/>
          <w:u w:val="single"/>
          <w:rtl/>
        </w:rPr>
      </w:pPr>
      <w:hyperlink r:id="rId7" w:history="1">
        <w:r>
          <w:rPr>
            <w:rStyle w:val="Hyperlink"/>
            <w:rFonts w:cs="David"/>
            <w:noProof w:val="0"/>
            <w:sz w:val="22"/>
            <w:szCs w:val="24"/>
            <w:rtl/>
          </w:rPr>
          <w:t>הודעה למנויים על עריכה ושינויים במסמכי פסיקה, חקיקה ועוד באתר נבו - הקש כאן</w:t>
        </w:r>
      </w:hyperlink>
    </w:p>
    <w:p w14:paraId="6744BAF7" w14:textId="77777777" w:rsidR="0068522B" w:rsidRPr="007A1558" w:rsidRDefault="0068522B" w:rsidP="007A1558">
      <w:pPr>
        <w:pStyle w:val="P00"/>
        <w:spacing w:before="72"/>
        <w:ind w:left="0" w:right="1134"/>
        <w:jc w:val="center"/>
        <w:rPr>
          <w:rStyle w:val="default"/>
          <w:rFonts w:cs="David"/>
          <w:color w:val="0000FF"/>
          <w:sz w:val="26"/>
          <w:szCs w:val="24"/>
          <w:u w:val="single"/>
          <w:rtl/>
        </w:rPr>
      </w:pPr>
    </w:p>
    <w:sectPr w:rsidR="0068522B" w:rsidRPr="007A1558">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79C46" w14:textId="77777777" w:rsidR="007F0410" w:rsidRDefault="007F0410">
      <w:r>
        <w:separator/>
      </w:r>
    </w:p>
  </w:endnote>
  <w:endnote w:type="continuationSeparator" w:id="0">
    <w:p w14:paraId="1CFF271E" w14:textId="77777777" w:rsidR="007F0410" w:rsidRDefault="007F0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7E2ED" w14:textId="77777777" w:rsidR="00976C88" w:rsidRDefault="00976C8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00991B6" w14:textId="77777777" w:rsidR="00976C88" w:rsidRDefault="00976C8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A27D760" w14:textId="77777777" w:rsidR="00976C88" w:rsidRDefault="00976C8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D44A8">
      <w:rPr>
        <w:rFonts w:cs="TopType Jerushalmi"/>
        <w:noProof/>
        <w:color w:val="000000"/>
        <w:sz w:val="14"/>
        <w:szCs w:val="14"/>
      </w:rPr>
      <w:t>Z:\000-law\yael\2013\2013-06-03\tav\500_875.doc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BD90A" w14:textId="77777777" w:rsidR="00976C88" w:rsidRDefault="00976C8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33C8C">
      <w:rPr>
        <w:rFonts w:hAnsi="FrankRuehl" w:cs="FrankRuehl"/>
        <w:noProof/>
        <w:sz w:val="24"/>
        <w:szCs w:val="24"/>
        <w:rtl/>
      </w:rPr>
      <w:t>2</w:t>
    </w:r>
    <w:r>
      <w:rPr>
        <w:rFonts w:hAnsi="FrankRuehl" w:cs="FrankRuehl"/>
        <w:sz w:val="24"/>
        <w:szCs w:val="24"/>
        <w:rtl/>
      </w:rPr>
      <w:fldChar w:fldCharType="end"/>
    </w:r>
  </w:p>
  <w:p w14:paraId="25723092" w14:textId="77777777" w:rsidR="00976C88" w:rsidRDefault="00976C8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8BE2602" w14:textId="77777777" w:rsidR="00976C88" w:rsidRDefault="00976C8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D44A8">
      <w:rPr>
        <w:rFonts w:cs="TopType Jerushalmi"/>
        <w:noProof/>
        <w:color w:val="000000"/>
        <w:sz w:val="14"/>
        <w:szCs w:val="14"/>
      </w:rPr>
      <w:t>Z:\000-law\yael\2013\2013-06-03\tav\500_875.doc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26716" w14:textId="77777777" w:rsidR="007F0410" w:rsidRDefault="007F0410">
      <w:pPr>
        <w:spacing w:before="60" w:line="240" w:lineRule="auto"/>
        <w:ind w:right="1134"/>
      </w:pPr>
      <w:r>
        <w:separator/>
      </w:r>
    </w:p>
  </w:footnote>
  <w:footnote w:type="continuationSeparator" w:id="0">
    <w:p w14:paraId="411E8B8E" w14:textId="77777777" w:rsidR="007F0410" w:rsidRDefault="007F0410">
      <w:pPr>
        <w:spacing w:before="60" w:line="240" w:lineRule="auto"/>
        <w:ind w:right="1134"/>
      </w:pPr>
      <w:r>
        <w:separator/>
      </w:r>
    </w:p>
  </w:footnote>
  <w:footnote w:id="1">
    <w:p w14:paraId="40767CD1" w14:textId="77777777" w:rsidR="0023743B" w:rsidRDefault="00976C88" w:rsidP="0023743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sidR="00752775">
        <w:rPr>
          <w:rFonts w:hint="cs"/>
          <w:sz w:val="20"/>
          <w:rtl/>
        </w:rPr>
        <w:t xml:space="preserve"> פורסמ</w:t>
      </w:r>
      <w:r w:rsidR="00725552">
        <w:rPr>
          <w:rFonts w:hint="cs"/>
          <w:sz w:val="20"/>
          <w:rtl/>
        </w:rPr>
        <w:t>ו</w:t>
      </w:r>
      <w:r>
        <w:rPr>
          <w:rFonts w:hint="cs"/>
          <w:sz w:val="20"/>
          <w:rtl/>
        </w:rPr>
        <w:t xml:space="preserve"> </w:t>
      </w:r>
      <w:hyperlink r:id="rId1" w:history="1">
        <w:r w:rsidR="00471C27" w:rsidRPr="0023743B">
          <w:rPr>
            <w:rStyle w:val="Hyperlink"/>
            <w:rFonts w:hint="cs"/>
            <w:sz w:val="20"/>
            <w:rtl/>
          </w:rPr>
          <w:t>ק"ת תשע"</w:t>
        </w:r>
        <w:r w:rsidR="00336C76" w:rsidRPr="0023743B">
          <w:rPr>
            <w:rStyle w:val="Hyperlink"/>
            <w:rFonts w:hint="cs"/>
            <w:sz w:val="20"/>
            <w:rtl/>
          </w:rPr>
          <w:t>ד</w:t>
        </w:r>
        <w:r w:rsidR="00471C27" w:rsidRPr="0023743B">
          <w:rPr>
            <w:rStyle w:val="Hyperlink"/>
            <w:rFonts w:hint="cs"/>
            <w:sz w:val="20"/>
            <w:rtl/>
          </w:rPr>
          <w:t xml:space="preserve"> מס' </w:t>
        </w:r>
        <w:r w:rsidR="00AC7226" w:rsidRPr="0023743B">
          <w:rPr>
            <w:rStyle w:val="Hyperlink"/>
            <w:rFonts w:hint="cs"/>
            <w:sz w:val="20"/>
            <w:rtl/>
          </w:rPr>
          <w:t>7398</w:t>
        </w:r>
      </w:hyperlink>
      <w:r w:rsidR="00471C27">
        <w:rPr>
          <w:rFonts w:hint="cs"/>
          <w:sz w:val="20"/>
          <w:rtl/>
        </w:rPr>
        <w:t xml:space="preserve"> מיום </w:t>
      </w:r>
      <w:r w:rsidR="00AC7226">
        <w:rPr>
          <w:rFonts w:hint="cs"/>
          <w:sz w:val="20"/>
          <w:rtl/>
        </w:rPr>
        <w:t>21.7.</w:t>
      </w:r>
      <w:r w:rsidR="00336C76">
        <w:rPr>
          <w:rFonts w:hint="cs"/>
          <w:sz w:val="20"/>
          <w:rtl/>
        </w:rPr>
        <w:t>2014</w:t>
      </w:r>
      <w:r w:rsidR="00471C27">
        <w:rPr>
          <w:rFonts w:hint="cs"/>
          <w:sz w:val="20"/>
          <w:rtl/>
        </w:rPr>
        <w:t xml:space="preserve"> עמ' </w:t>
      </w:r>
      <w:r w:rsidR="00AC7226">
        <w:rPr>
          <w:rFonts w:hint="cs"/>
          <w:sz w:val="20"/>
          <w:rtl/>
        </w:rPr>
        <w:t>1516</w:t>
      </w:r>
      <w:r w:rsidR="00322C33">
        <w:rPr>
          <w:rFonts w:hint="cs"/>
          <w:sz w:val="20"/>
          <w:rtl/>
        </w:rPr>
        <w:t>.</w:t>
      </w:r>
    </w:p>
    <w:p w14:paraId="1C9F2868" w14:textId="77777777" w:rsidR="00933C8C" w:rsidRDefault="00083820" w:rsidP="00933C8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תוקנו </w:t>
      </w:r>
      <w:hyperlink r:id="rId2" w:history="1">
        <w:r w:rsidRPr="00933C8C">
          <w:rPr>
            <w:rStyle w:val="Hyperlink"/>
            <w:rFonts w:hint="cs"/>
            <w:sz w:val="20"/>
            <w:rtl/>
          </w:rPr>
          <w:t>ק"ת תשע"ח מס' 7991</w:t>
        </w:r>
      </w:hyperlink>
      <w:r>
        <w:rPr>
          <w:rFonts w:hint="cs"/>
          <w:sz w:val="20"/>
          <w:rtl/>
        </w:rPr>
        <w:t xml:space="preserve"> מיום 25.4.2018 עמ' 1868 </w:t>
      </w:r>
      <w:r>
        <w:rPr>
          <w:sz w:val="20"/>
          <w:rtl/>
        </w:rPr>
        <w:t>–</w:t>
      </w:r>
      <w:r>
        <w:rPr>
          <w:rFonts w:hint="cs"/>
          <w:sz w:val="20"/>
          <w:rtl/>
        </w:rPr>
        <w:t xml:space="preserve"> תק' תשע"ח-2018; תחילתן ביום 12.6.2015.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390BF" w14:textId="77777777" w:rsidR="00976C88" w:rsidRDefault="00976C8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התקשורת (בזק ושידורים) (חישוב תשלומים בעד שירותי בזק והצמדתם), תשנ"ט- 1999</w:t>
    </w:r>
  </w:p>
  <w:p w14:paraId="6FD4B06C" w14:textId="77777777" w:rsidR="00976C88" w:rsidRDefault="00976C8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D81128C" w14:textId="77777777" w:rsidR="00976C88" w:rsidRDefault="00976C8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FA67E" w14:textId="77777777" w:rsidR="00976C88" w:rsidRDefault="00976C88" w:rsidP="00AC7226">
    <w:pPr>
      <w:pStyle w:val="a3"/>
      <w:spacing w:line="220" w:lineRule="exact"/>
      <w:ind w:right="1134"/>
      <w:jc w:val="center"/>
      <w:rPr>
        <w:rFonts w:hAnsi="FrankRuehl" w:cs="FrankRuehl" w:hint="cs"/>
        <w:color w:val="000000"/>
        <w:sz w:val="24"/>
        <w:szCs w:val="26"/>
        <w:rtl/>
      </w:rPr>
    </w:pPr>
    <w:r>
      <w:rPr>
        <w:rFonts w:hAnsi="FrankRuehl" w:cs="FrankRuehl"/>
        <w:color w:val="000000"/>
        <w:sz w:val="24"/>
        <w:szCs w:val="26"/>
        <w:rtl/>
      </w:rPr>
      <w:t xml:space="preserve">תקנות </w:t>
    </w:r>
    <w:r w:rsidR="00725552">
      <w:rPr>
        <w:rFonts w:hAnsi="FrankRuehl" w:cs="FrankRuehl" w:hint="cs"/>
        <w:color w:val="000000"/>
        <w:sz w:val="24"/>
        <w:szCs w:val="26"/>
        <w:rtl/>
      </w:rPr>
      <w:t>לקידום התחרות ולצמצום הריכוזיות (</w:t>
    </w:r>
    <w:r w:rsidR="00AC7226">
      <w:rPr>
        <w:rFonts w:hAnsi="FrankRuehl" w:cs="FrankRuehl" w:hint="cs"/>
        <w:color w:val="000000"/>
        <w:sz w:val="24"/>
        <w:szCs w:val="26"/>
        <w:rtl/>
      </w:rPr>
      <w:t>סוג של חברה שאינה חברת שכבה והוראות לעניין ייחוס שליטה</w:t>
    </w:r>
    <w:r w:rsidR="00752775">
      <w:rPr>
        <w:rFonts w:hAnsi="FrankRuehl" w:cs="FrankRuehl" w:hint="cs"/>
        <w:color w:val="000000"/>
        <w:sz w:val="24"/>
        <w:szCs w:val="26"/>
        <w:rtl/>
      </w:rPr>
      <w:t>)</w:t>
    </w:r>
    <w:r>
      <w:rPr>
        <w:rFonts w:hAnsi="FrankRuehl" w:cs="FrankRuehl"/>
        <w:color w:val="000000"/>
        <w:sz w:val="24"/>
        <w:szCs w:val="26"/>
        <w:rtl/>
      </w:rPr>
      <w:t xml:space="preserve">, </w:t>
    </w:r>
    <w:r>
      <w:rPr>
        <w:rFonts w:hAnsi="FrankRuehl" w:cs="FrankRuehl" w:hint="cs"/>
        <w:color w:val="000000"/>
        <w:sz w:val="24"/>
        <w:szCs w:val="26"/>
        <w:rtl/>
      </w:rPr>
      <w:t>תש</w:t>
    </w:r>
    <w:r w:rsidR="00752775">
      <w:rPr>
        <w:rFonts w:hAnsi="FrankRuehl" w:cs="FrankRuehl" w:hint="cs"/>
        <w:color w:val="000000"/>
        <w:sz w:val="24"/>
        <w:szCs w:val="26"/>
        <w:rtl/>
      </w:rPr>
      <w:t>ע</w:t>
    </w:r>
    <w:r>
      <w:rPr>
        <w:rFonts w:hAnsi="FrankRuehl" w:cs="FrankRuehl" w:hint="cs"/>
        <w:color w:val="000000"/>
        <w:sz w:val="24"/>
        <w:szCs w:val="26"/>
        <w:rtl/>
      </w:rPr>
      <w:t>"</w:t>
    </w:r>
    <w:r w:rsidR="00336C76">
      <w:rPr>
        <w:rFonts w:hAnsi="FrankRuehl" w:cs="FrankRuehl" w:hint="cs"/>
        <w:color w:val="000000"/>
        <w:sz w:val="24"/>
        <w:szCs w:val="26"/>
        <w:rtl/>
      </w:rPr>
      <w:t>ד</w:t>
    </w:r>
    <w:r>
      <w:rPr>
        <w:rFonts w:hAnsi="FrankRuehl" w:cs="FrankRuehl" w:hint="cs"/>
        <w:color w:val="000000"/>
        <w:sz w:val="24"/>
        <w:szCs w:val="26"/>
        <w:rtl/>
      </w:rPr>
      <w:t>-20</w:t>
    </w:r>
    <w:r w:rsidR="00752775">
      <w:rPr>
        <w:rFonts w:hAnsi="FrankRuehl" w:cs="FrankRuehl" w:hint="cs"/>
        <w:color w:val="000000"/>
        <w:sz w:val="24"/>
        <w:szCs w:val="26"/>
        <w:rtl/>
      </w:rPr>
      <w:t>1</w:t>
    </w:r>
    <w:r w:rsidR="00336C76">
      <w:rPr>
        <w:rFonts w:hAnsi="FrankRuehl" w:cs="FrankRuehl" w:hint="cs"/>
        <w:color w:val="000000"/>
        <w:sz w:val="24"/>
        <w:szCs w:val="26"/>
        <w:rtl/>
      </w:rPr>
      <w:t>4</w:t>
    </w:r>
  </w:p>
  <w:p w14:paraId="1A92DFF4" w14:textId="77777777" w:rsidR="00976C88" w:rsidRDefault="00976C8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FA6659E" w14:textId="77777777" w:rsidR="00976C88" w:rsidRDefault="00976C8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A1753"/>
    <w:rsid w:val="0001583A"/>
    <w:rsid w:val="00027145"/>
    <w:rsid w:val="00083820"/>
    <w:rsid w:val="00092E09"/>
    <w:rsid w:val="000A1753"/>
    <w:rsid w:val="000F43E6"/>
    <w:rsid w:val="001265BC"/>
    <w:rsid w:val="00140DF8"/>
    <w:rsid w:val="00153751"/>
    <w:rsid w:val="00171321"/>
    <w:rsid w:val="001D44A8"/>
    <w:rsid w:val="00203EF3"/>
    <w:rsid w:val="0023743B"/>
    <w:rsid w:val="00256B44"/>
    <w:rsid w:val="00295BE6"/>
    <w:rsid w:val="002D02B1"/>
    <w:rsid w:val="002E6C7C"/>
    <w:rsid w:val="00322C33"/>
    <w:rsid w:val="00336C76"/>
    <w:rsid w:val="003A6A06"/>
    <w:rsid w:val="003B3C69"/>
    <w:rsid w:val="004350A3"/>
    <w:rsid w:val="00471C27"/>
    <w:rsid w:val="004C1ADD"/>
    <w:rsid w:val="004F225D"/>
    <w:rsid w:val="00610A74"/>
    <w:rsid w:val="00684A48"/>
    <w:rsid w:val="0068522B"/>
    <w:rsid w:val="00706C97"/>
    <w:rsid w:val="00725552"/>
    <w:rsid w:val="00732A5C"/>
    <w:rsid w:val="00734F87"/>
    <w:rsid w:val="00752775"/>
    <w:rsid w:val="00773E2C"/>
    <w:rsid w:val="007A1558"/>
    <w:rsid w:val="007F0410"/>
    <w:rsid w:val="00850F14"/>
    <w:rsid w:val="008F3722"/>
    <w:rsid w:val="009146DC"/>
    <w:rsid w:val="00914CD1"/>
    <w:rsid w:val="00933C8C"/>
    <w:rsid w:val="00976506"/>
    <w:rsid w:val="00976C88"/>
    <w:rsid w:val="009A086F"/>
    <w:rsid w:val="00A2258E"/>
    <w:rsid w:val="00AB1B90"/>
    <w:rsid w:val="00AC7226"/>
    <w:rsid w:val="00AD55DD"/>
    <w:rsid w:val="00B83A57"/>
    <w:rsid w:val="00BA35F7"/>
    <w:rsid w:val="00BD0647"/>
    <w:rsid w:val="00D4774F"/>
    <w:rsid w:val="00DD7694"/>
    <w:rsid w:val="00DF56AB"/>
    <w:rsid w:val="00E17DBB"/>
    <w:rsid w:val="00E53B87"/>
    <w:rsid w:val="00EF66AA"/>
    <w:rsid w:val="00F04CEC"/>
    <w:rsid w:val="00F240BE"/>
    <w:rsid w:val="00FA280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C265DED"/>
  <w15:chartTrackingRefBased/>
  <w15:docId w15:val="{6BEA3AAF-8BF7-4960-8183-1D18D35B9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customStyle="1" w:styleId="UnresolvedMention">
    <w:name w:val="Unresolved Mention"/>
    <w:uiPriority w:val="99"/>
    <w:semiHidden/>
    <w:unhideWhenUsed/>
    <w:rsid w:val="0008382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7991.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991.pdf" TargetMode="External"/><Relationship Id="rId1" Type="http://schemas.openxmlformats.org/officeDocument/2006/relationships/hyperlink" Target="http://www.nevo.co.il/law_word/law06/tak-739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4040</CharactersWithSpaces>
  <SharedDoc>false</SharedDoc>
  <HLinks>
    <vt:vector size="60" baseType="variant">
      <vt:variant>
        <vt:i4>393283</vt:i4>
      </vt:variant>
      <vt:variant>
        <vt:i4>39</vt:i4>
      </vt:variant>
      <vt:variant>
        <vt:i4>0</vt:i4>
      </vt:variant>
      <vt:variant>
        <vt:i4>5</vt:i4>
      </vt:variant>
      <vt:variant>
        <vt:lpwstr>http://www.nevo.co.il/advertisements/nevo-100.doc</vt:lpwstr>
      </vt:variant>
      <vt:variant>
        <vt:lpwstr/>
      </vt:variant>
      <vt:variant>
        <vt:i4>7798784</vt:i4>
      </vt:variant>
      <vt:variant>
        <vt:i4>36</vt:i4>
      </vt:variant>
      <vt:variant>
        <vt:i4>0</vt:i4>
      </vt:variant>
      <vt:variant>
        <vt:i4>5</vt:i4>
      </vt:variant>
      <vt:variant>
        <vt:lpwstr>http://www.nevo.co.il/Law_word/law06/tak-7991.pdf</vt:lpwstr>
      </vt:variant>
      <vt:variant>
        <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7798784</vt:i4>
      </vt:variant>
      <vt:variant>
        <vt:i4>3</vt:i4>
      </vt:variant>
      <vt:variant>
        <vt:i4>0</vt:i4>
      </vt:variant>
      <vt:variant>
        <vt:i4>5</vt:i4>
      </vt:variant>
      <vt:variant>
        <vt:lpwstr>http://www.nevo.co.il/Law_word/law06/tak-7991.pdf</vt:lpwstr>
      </vt:variant>
      <vt:variant>
        <vt:lpwstr/>
      </vt:variant>
      <vt:variant>
        <vt:i4>7798787</vt:i4>
      </vt:variant>
      <vt:variant>
        <vt:i4>0</vt:i4>
      </vt:variant>
      <vt:variant>
        <vt:i4>0</vt:i4>
      </vt:variant>
      <vt:variant>
        <vt:i4>5</vt:i4>
      </vt:variant>
      <vt:variant>
        <vt:lpwstr>http://www.nevo.co.il/law_word/law06/tak-7398.pdf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user</dc:creator>
  <cp:keywords/>
  <dc:description/>
  <cp:lastModifiedBy>Shimon Doodkin</cp:lastModifiedBy>
  <cp:revision>2</cp:revision>
  <cp:lastPrinted>2003-09-13T14:23:00Z</cp:lastPrinted>
  <dcterms:created xsi:type="dcterms:W3CDTF">2023-06-05T20:33:00Z</dcterms:created>
  <dcterms:modified xsi:type="dcterms:W3CDTF">2023-06-05T20:33:00Z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קידום התחרות</vt:lpwstr>
  </property>
  <property fmtid="{D5CDD505-2E9C-101B-9397-08002B2CF9AE}" pid="4" name="LAWNAME">
    <vt:lpwstr>תקנות לקידום התחרות ולצמצום הריכוזיות (סוג של חברה שאינה חברת שכבה והוראות לעניין ייחוס שליטה), תשע"ד-2014</vt:lpwstr>
  </property>
  <property fmtid="{D5CDD505-2E9C-101B-9397-08002B2CF9AE}" pid="5" name="LAWNUMBER">
    <vt:lpwstr>0062</vt:lpwstr>
  </property>
  <property fmtid="{D5CDD505-2E9C-101B-9397-08002B2CF9AE}" pid="6" name="TYPE">
    <vt:lpwstr>01</vt:lpwstr>
  </property>
  <property fmtid="{D5CDD505-2E9C-101B-9397-08002B2CF9AE}" pid="7" name="LINKK5">
    <vt:lpwstr/>
  </property>
  <property fmtid="{D5CDD505-2E9C-101B-9397-08002B2CF9AE}" pid="8" name="LINKK6">
    <vt:lpwstr/>
  </property>
  <property fmtid="{D5CDD505-2E9C-101B-9397-08002B2CF9AE}" pid="9" name="LINKK7">
    <vt:lpwstr/>
  </property>
  <property fmtid="{D5CDD505-2E9C-101B-9397-08002B2CF9AE}" pid="10" name="LINKK8">
    <vt:lpwstr/>
  </property>
  <property fmtid="{D5CDD505-2E9C-101B-9397-08002B2CF9AE}" pid="11" name="LINKK9">
    <vt:lpwstr/>
  </property>
  <property fmtid="{D5CDD505-2E9C-101B-9397-08002B2CF9AE}" pid="12" name="LINKK10">
    <vt:lpwstr/>
  </property>
  <property fmtid="{D5CDD505-2E9C-101B-9397-08002B2CF9AE}" pid="13" name="LINKI1">
    <vt:lpwstr/>
  </property>
  <property fmtid="{D5CDD505-2E9C-101B-9397-08002B2CF9AE}" pid="14" name="LINKI2">
    <vt:lpwstr/>
  </property>
  <property fmtid="{D5CDD505-2E9C-101B-9397-08002B2CF9AE}" pid="15" name="LINKI3">
    <vt:lpwstr/>
  </property>
  <property fmtid="{D5CDD505-2E9C-101B-9397-08002B2CF9AE}" pid="16" name="LINKI4">
    <vt:lpwstr/>
  </property>
  <property fmtid="{D5CDD505-2E9C-101B-9397-08002B2CF9AE}" pid="17" name="LINKI5">
    <vt:lpwstr/>
  </property>
  <property fmtid="{D5CDD505-2E9C-101B-9397-08002B2CF9AE}" pid="18" name="MEKORSAMCHUT">
    <vt:lpwstr/>
  </property>
  <property fmtid="{D5CDD505-2E9C-101B-9397-08002B2CF9AE}" pid="19" name="NOSE11">
    <vt:lpwstr>משפט פרטי וכלכלה</vt:lpwstr>
  </property>
  <property fmtid="{D5CDD505-2E9C-101B-9397-08002B2CF9AE}" pid="20" name="NOSE21">
    <vt:lpwstr>כספים</vt:lpwstr>
  </property>
  <property fmtid="{D5CDD505-2E9C-101B-9397-08002B2CF9AE}" pid="21" name="NOSE31">
    <vt:lpwstr>שוק ההון</vt:lpwstr>
  </property>
  <property fmtid="{D5CDD505-2E9C-101B-9397-08002B2CF9AE}" pid="22" name="NOSE41">
    <vt:lpwstr>הגברת התחרות וצמצום הריכוזיות</vt:lpwstr>
  </property>
  <property fmtid="{D5CDD505-2E9C-101B-9397-08002B2CF9AE}" pid="23" name="NOSE12">
    <vt:lpwstr/>
  </property>
  <property fmtid="{D5CDD505-2E9C-101B-9397-08002B2CF9AE}" pid="24" name="NOSE22">
    <vt:lpwstr/>
  </property>
  <property fmtid="{D5CDD505-2E9C-101B-9397-08002B2CF9AE}" pid="25" name="NOSE32">
    <vt:lpwstr/>
  </property>
  <property fmtid="{D5CDD505-2E9C-101B-9397-08002B2CF9AE}" pid="26" name="NOSE42">
    <vt:lpwstr/>
  </property>
  <property fmtid="{D5CDD505-2E9C-101B-9397-08002B2CF9AE}" pid="27" name="NOSE13">
    <vt:lpwstr/>
  </property>
  <property fmtid="{D5CDD505-2E9C-101B-9397-08002B2CF9AE}" pid="28" name="NOSE23">
    <vt:lpwstr/>
  </property>
  <property fmtid="{D5CDD505-2E9C-101B-9397-08002B2CF9AE}" pid="29" name="NOSE33">
    <vt:lpwstr/>
  </property>
  <property fmtid="{D5CDD505-2E9C-101B-9397-08002B2CF9AE}" pid="30" name="NOSE4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y fmtid="{D5CDD505-2E9C-101B-9397-08002B2CF9AE}" pid="59" name="LINKK2">
    <vt:lpwstr>http://www.nevo.co.il/Law_word/law06/tak-7991.pdf;‎רשומות - תקנות כלליות#תוקנו ק"ת תשע"ח מס' ‏‏7991 #מיום 25.4.2018 עמ' 1868 – תק' תשע"ח-2018; תחילתן ביום 12.6.2015‏</vt:lpwstr>
  </property>
  <property fmtid="{D5CDD505-2E9C-101B-9397-08002B2CF9AE}" pid="60" name="LINKK3">
    <vt:lpwstr/>
  </property>
  <property fmtid="{D5CDD505-2E9C-101B-9397-08002B2CF9AE}" pid="61" name="LINKK4">
    <vt:lpwstr/>
  </property>
  <property fmtid="{D5CDD505-2E9C-101B-9397-08002B2CF9AE}" pid="62" name="MEKOR_NAME1">
    <vt:lpwstr>חוק לקידום התחרות ולצמצום הריכוזיות</vt:lpwstr>
  </property>
  <property fmtid="{D5CDD505-2E9C-101B-9397-08002B2CF9AE}" pid="63" name="MEKOR_SAIF1">
    <vt:lpwstr>20X;23X</vt:lpwstr>
  </property>
  <property fmtid="{D5CDD505-2E9C-101B-9397-08002B2CF9AE}" pid="64" name="LINKK1">
    <vt:lpwstr>http://www.nevo.co.il/law_word/law06/tak-7398.pdf;‎רשומות - תקנות כלליות#פורסמו ק"ת תשע"ד מס' ‏‏7398 #מיום 21.7.2014 עמ' 1516‏</vt:lpwstr>
  </property>
</Properties>
</file>