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32B3" w14:textId="77777777" w:rsidR="008B6364" w:rsidRDefault="008B6364">
      <w:pPr>
        <w:pStyle w:val="big-header"/>
        <w:ind w:left="0" w:right="1134"/>
      </w:pPr>
      <w:r>
        <w:rPr>
          <w:rtl/>
        </w:rPr>
        <w:t>ת</w:t>
      </w:r>
      <w:r>
        <w:rPr>
          <w:rFonts w:hint="cs"/>
          <w:rtl/>
        </w:rPr>
        <w:t>קנות לתיקון סדרי ה</w:t>
      </w:r>
      <w:r>
        <w:rPr>
          <w:rtl/>
        </w:rPr>
        <w:t>ד</w:t>
      </w:r>
      <w:r>
        <w:rPr>
          <w:rFonts w:hint="cs"/>
          <w:rtl/>
        </w:rPr>
        <w:t>ין (חקירת עדים) (גביית עדות מתלונן בשל עבירת מין שלא בפני הנאשם), תשנ"ז-1996</w:t>
      </w:r>
    </w:p>
    <w:p w14:paraId="0998C9AF" w14:textId="77777777" w:rsidR="00B34CA7" w:rsidRPr="00B34CA7" w:rsidRDefault="00B34CA7" w:rsidP="00B34CA7">
      <w:pPr>
        <w:spacing w:line="320" w:lineRule="auto"/>
        <w:jc w:val="left"/>
        <w:rPr>
          <w:rFonts w:cs="FrankRuehl"/>
          <w:szCs w:val="26"/>
          <w:rtl/>
        </w:rPr>
      </w:pPr>
    </w:p>
    <w:p w14:paraId="457DEB15" w14:textId="77777777" w:rsidR="00B34CA7" w:rsidRDefault="00B34CA7" w:rsidP="00B34CA7">
      <w:pPr>
        <w:spacing w:line="320" w:lineRule="auto"/>
        <w:jc w:val="left"/>
        <w:rPr>
          <w:rtl/>
        </w:rPr>
      </w:pPr>
    </w:p>
    <w:p w14:paraId="0AB05A6D" w14:textId="77777777" w:rsidR="00B34CA7" w:rsidRDefault="00B34CA7" w:rsidP="00B34CA7">
      <w:pPr>
        <w:spacing w:line="320" w:lineRule="auto"/>
        <w:jc w:val="left"/>
        <w:rPr>
          <w:rFonts w:cs="FrankRuehl"/>
          <w:szCs w:val="26"/>
          <w:rtl/>
        </w:rPr>
      </w:pPr>
      <w:r w:rsidRPr="00B34CA7">
        <w:rPr>
          <w:rFonts w:cs="Miriam"/>
          <w:szCs w:val="22"/>
          <w:rtl/>
        </w:rPr>
        <w:t>בתי משפט וסדרי דין</w:t>
      </w:r>
      <w:r w:rsidRPr="00B34CA7">
        <w:rPr>
          <w:rFonts w:cs="FrankRuehl"/>
          <w:szCs w:val="26"/>
          <w:rtl/>
        </w:rPr>
        <w:t xml:space="preserve"> – סדר דין פלילי – עדות</w:t>
      </w:r>
    </w:p>
    <w:p w14:paraId="2A89BA40" w14:textId="77777777" w:rsidR="00B34CA7" w:rsidRDefault="00B34CA7" w:rsidP="00B34CA7">
      <w:pPr>
        <w:spacing w:line="320" w:lineRule="auto"/>
        <w:jc w:val="left"/>
        <w:rPr>
          <w:rFonts w:cs="FrankRuehl"/>
          <w:szCs w:val="26"/>
          <w:rtl/>
        </w:rPr>
      </w:pPr>
      <w:r w:rsidRPr="00B34CA7">
        <w:rPr>
          <w:rFonts w:cs="Miriam"/>
          <w:szCs w:val="22"/>
          <w:rtl/>
        </w:rPr>
        <w:t>בתי משפט וסדרי דין</w:t>
      </w:r>
      <w:r w:rsidRPr="00B34CA7">
        <w:rPr>
          <w:rFonts w:cs="FrankRuehl"/>
          <w:szCs w:val="26"/>
          <w:rtl/>
        </w:rPr>
        <w:t xml:space="preserve"> – ראיות – עדות</w:t>
      </w:r>
    </w:p>
    <w:p w14:paraId="00BAFB00" w14:textId="77777777" w:rsidR="00173FDB" w:rsidRPr="00B34CA7" w:rsidRDefault="00B34CA7" w:rsidP="00B34CA7">
      <w:pPr>
        <w:spacing w:line="320" w:lineRule="auto"/>
        <w:jc w:val="left"/>
        <w:rPr>
          <w:rFonts w:cs="Miriam"/>
          <w:szCs w:val="22"/>
          <w:rtl/>
        </w:rPr>
      </w:pPr>
      <w:r w:rsidRPr="00B34CA7">
        <w:rPr>
          <w:rFonts w:cs="Miriam"/>
          <w:szCs w:val="22"/>
          <w:rtl/>
        </w:rPr>
        <w:t>עונשין ומשפט פלילי</w:t>
      </w:r>
      <w:r w:rsidRPr="00B34CA7">
        <w:rPr>
          <w:rFonts w:cs="FrankRuehl"/>
          <w:szCs w:val="26"/>
          <w:rtl/>
        </w:rPr>
        <w:t xml:space="preserve"> – עבירות – עבירות מין</w:t>
      </w:r>
    </w:p>
    <w:p w14:paraId="203BE8FF" w14:textId="77777777" w:rsidR="00173FDB" w:rsidRDefault="00173FDB" w:rsidP="00173FDB">
      <w:pPr>
        <w:spacing w:line="320" w:lineRule="auto"/>
        <w:jc w:val="left"/>
        <w:rPr>
          <w:rtl/>
        </w:rPr>
      </w:pPr>
    </w:p>
    <w:p w14:paraId="356648BE" w14:textId="77777777" w:rsidR="008B6364" w:rsidRDefault="008B6364">
      <w:pPr>
        <w:pStyle w:val="big-header"/>
        <w:ind w:left="0" w:right="1134"/>
        <w:rPr>
          <w:sz w:val="32"/>
          <w:rtl/>
        </w:rPr>
      </w:pPr>
      <w:r>
        <w:rPr>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B6364" w14:paraId="66E98EA3" w14:textId="77777777">
        <w:tblPrEx>
          <w:tblCellMar>
            <w:top w:w="0" w:type="dxa"/>
            <w:bottom w:w="0" w:type="dxa"/>
          </w:tblCellMar>
        </w:tblPrEx>
        <w:trPr>
          <w:jc w:val="right"/>
        </w:trPr>
        <w:tc>
          <w:tcPr>
            <w:tcW w:w="850" w:type="dxa"/>
          </w:tcPr>
          <w:p w14:paraId="300178A7" w14:textId="77777777" w:rsidR="008B6364" w:rsidRDefault="008B636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37E75BC" w14:textId="77777777" w:rsidR="008B6364" w:rsidRDefault="008B6364">
            <w:pPr>
              <w:spacing w:line="240" w:lineRule="auto"/>
              <w:jc w:val="left"/>
              <w:rPr>
                <w:rFonts w:cs="Frankruhel"/>
                <w:sz w:val="24"/>
              </w:rPr>
            </w:pPr>
            <w:hyperlink w:anchor="Seif0" w:tooltip="הגשת בקשה" w:history="1">
              <w:r>
                <w:rPr>
                  <w:rStyle w:val="Hyperlink"/>
                </w:rPr>
                <w:t>Go</w:t>
              </w:r>
            </w:hyperlink>
          </w:p>
        </w:tc>
        <w:tc>
          <w:tcPr>
            <w:tcW w:w="5669" w:type="dxa"/>
          </w:tcPr>
          <w:p w14:paraId="657789AE" w14:textId="77777777" w:rsidR="008B6364" w:rsidRDefault="008B6364">
            <w:pPr>
              <w:spacing w:line="240" w:lineRule="auto"/>
              <w:jc w:val="left"/>
              <w:rPr>
                <w:rFonts w:cs="Frankruhel"/>
                <w:sz w:val="24"/>
                <w:rtl/>
              </w:rPr>
            </w:pPr>
            <w:r>
              <w:rPr>
                <w:rFonts w:cs="Frankruhel"/>
                <w:sz w:val="24"/>
                <w:rtl/>
              </w:rPr>
              <w:t>הגשת בקשה</w:t>
            </w:r>
          </w:p>
        </w:tc>
        <w:tc>
          <w:tcPr>
            <w:tcW w:w="1247" w:type="dxa"/>
          </w:tcPr>
          <w:p w14:paraId="35E9D6FE" w14:textId="77777777" w:rsidR="008B6364" w:rsidRDefault="008B6364">
            <w:pPr>
              <w:spacing w:line="240" w:lineRule="auto"/>
              <w:jc w:val="left"/>
              <w:rPr>
                <w:rFonts w:cs="Frankruhel"/>
                <w:sz w:val="24"/>
              </w:rPr>
            </w:pPr>
            <w:r>
              <w:rPr>
                <w:rFonts w:cs="Frankruhel"/>
                <w:sz w:val="24"/>
                <w:rtl/>
              </w:rPr>
              <w:t xml:space="preserve">סעיף 1 </w:t>
            </w:r>
          </w:p>
        </w:tc>
      </w:tr>
      <w:tr w:rsidR="008B6364" w14:paraId="340707BD" w14:textId="77777777">
        <w:tblPrEx>
          <w:tblCellMar>
            <w:top w:w="0" w:type="dxa"/>
            <w:bottom w:w="0" w:type="dxa"/>
          </w:tblCellMar>
        </w:tblPrEx>
        <w:trPr>
          <w:jc w:val="right"/>
        </w:trPr>
        <w:tc>
          <w:tcPr>
            <w:tcW w:w="850" w:type="dxa"/>
          </w:tcPr>
          <w:p w14:paraId="2911DE2E" w14:textId="77777777" w:rsidR="008B6364" w:rsidRDefault="008B636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D8551D2" w14:textId="77777777" w:rsidR="008B6364" w:rsidRDefault="008B6364">
            <w:pPr>
              <w:spacing w:line="240" w:lineRule="auto"/>
              <w:jc w:val="left"/>
              <w:rPr>
                <w:rFonts w:cs="Frankruhel"/>
                <w:sz w:val="24"/>
              </w:rPr>
            </w:pPr>
            <w:hyperlink w:anchor="Seif1" w:tooltip="הגשת בקשה במהלך העדות" w:history="1">
              <w:r>
                <w:rPr>
                  <w:rStyle w:val="Hyperlink"/>
                </w:rPr>
                <w:t>Go</w:t>
              </w:r>
            </w:hyperlink>
          </w:p>
        </w:tc>
        <w:tc>
          <w:tcPr>
            <w:tcW w:w="5669" w:type="dxa"/>
          </w:tcPr>
          <w:p w14:paraId="6EA0A739" w14:textId="77777777" w:rsidR="008B6364" w:rsidRDefault="008B6364">
            <w:pPr>
              <w:spacing w:line="240" w:lineRule="auto"/>
              <w:jc w:val="left"/>
              <w:rPr>
                <w:rFonts w:cs="Frankruhel"/>
                <w:sz w:val="24"/>
                <w:rtl/>
              </w:rPr>
            </w:pPr>
            <w:r>
              <w:rPr>
                <w:rFonts w:cs="Frankruhel"/>
                <w:sz w:val="24"/>
                <w:rtl/>
              </w:rPr>
              <w:t>הגשת בקשה במהלך העדות</w:t>
            </w:r>
          </w:p>
        </w:tc>
        <w:tc>
          <w:tcPr>
            <w:tcW w:w="1247" w:type="dxa"/>
          </w:tcPr>
          <w:p w14:paraId="243C2FEB" w14:textId="77777777" w:rsidR="008B6364" w:rsidRDefault="008B6364">
            <w:pPr>
              <w:spacing w:line="240" w:lineRule="auto"/>
              <w:jc w:val="left"/>
              <w:rPr>
                <w:rFonts w:cs="Frankruhel"/>
                <w:sz w:val="24"/>
              </w:rPr>
            </w:pPr>
            <w:r>
              <w:rPr>
                <w:rFonts w:cs="Frankruhel"/>
                <w:sz w:val="24"/>
                <w:rtl/>
              </w:rPr>
              <w:t xml:space="preserve">סעיף 2 </w:t>
            </w:r>
          </w:p>
        </w:tc>
      </w:tr>
      <w:tr w:rsidR="008B6364" w14:paraId="2178D28D" w14:textId="77777777">
        <w:tblPrEx>
          <w:tblCellMar>
            <w:top w:w="0" w:type="dxa"/>
            <w:bottom w:w="0" w:type="dxa"/>
          </w:tblCellMar>
        </w:tblPrEx>
        <w:trPr>
          <w:jc w:val="right"/>
        </w:trPr>
        <w:tc>
          <w:tcPr>
            <w:tcW w:w="850" w:type="dxa"/>
          </w:tcPr>
          <w:p w14:paraId="0CC0AE70" w14:textId="77777777" w:rsidR="008B6364" w:rsidRDefault="008B636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56F0AAD2" w14:textId="77777777" w:rsidR="008B6364" w:rsidRDefault="008B6364">
            <w:pPr>
              <w:spacing w:line="240" w:lineRule="auto"/>
              <w:jc w:val="left"/>
              <w:rPr>
                <w:rFonts w:cs="Frankruhel"/>
                <w:sz w:val="24"/>
              </w:rPr>
            </w:pPr>
            <w:hyperlink w:anchor="Seif2" w:tooltip="דיון בבקשה" w:history="1">
              <w:r>
                <w:rPr>
                  <w:rStyle w:val="Hyperlink"/>
                </w:rPr>
                <w:t>Go</w:t>
              </w:r>
            </w:hyperlink>
          </w:p>
        </w:tc>
        <w:tc>
          <w:tcPr>
            <w:tcW w:w="5669" w:type="dxa"/>
          </w:tcPr>
          <w:p w14:paraId="69D6139A" w14:textId="77777777" w:rsidR="008B6364" w:rsidRDefault="008B6364">
            <w:pPr>
              <w:spacing w:line="240" w:lineRule="auto"/>
              <w:jc w:val="left"/>
              <w:rPr>
                <w:rFonts w:cs="Frankruhel"/>
                <w:sz w:val="24"/>
                <w:rtl/>
              </w:rPr>
            </w:pPr>
            <w:r>
              <w:rPr>
                <w:rFonts w:cs="Frankruhel"/>
                <w:sz w:val="24"/>
                <w:rtl/>
              </w:rPr>
              <w:t>דיון בבקשה</w:t>
            </w:r>
          </w:p>
        </w:tc>
        <w:tc>
          <w:tcPr>
            <w:tcW w:w="1247" w:type="dxa"/>
          </w:tcPr>
          <w:p w14:paraId="54BAE891" w14:textId="77777777" w:rsidR="008B6364" w:rsidRDefault="008B6364">
            <w:pPr>
              <w:spacing w:line="240" w:lineRule="auto"/>
              <w:jc w:val="left"/>
              <w:rPr>
                <w:rFonts w:cs="Frankruhel"/>
                <w:sz w:val="24"/>
              </w:rPr>
            </w:pPr>
            <w:r>
              <w:rPr>
                <w:rFonts w:cs="Frankruhel"/>
                <w:sz w:val="24"/>
                <w:rtl/>
              </w:rPr>
              <w:t xml:space="preserve">סעיף 3 </w:t>
            </w:r>
          </w:p>
        </w:tc>
      </w:tr>
      <w:tr w:rsidR="008B6364" w14:paraId="64C848A6" w14:textId="77777777">
        <w:tblPrEx>
          <w:tblCellMar>
            <w:top w:w="0" w:type="dxa"/>
            <w:bottom w:w="0" w:type="dxa"/>
          </w:tblCellMar>
        </w:tblPrEx>
        <w:trPr>
          <w:jc w:val="right"/>
        </w:trPr>
        <w:tc>
          <w:tcPr>
            <w:tcW w:w="850" w:type="dxa"/>
          </w:tcPr>
          <w:p w14:paraId="333236D4" w14:textId="77777777" w:rsidR="008B6364" w:rsidRDefault="008B636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86E210F" w14:textId="77777777" w:rsidR="008B6364" w:rsidRDefault="008B6364">
            <w:pPr>
              <w:spacing w:line="240" w:lineRule="auto"/>
              <w:jc w:val="left"/>
              <w:rPr>
                <w:rFonts w:cs="Frankruhel"/>
                <w:sz w:val="24"/>
              </w:rPr>
            </w:pPr>
            <w:hyperlink w:anchor="Seif3" w:tooltip="שמיעת עדות המתלונן" w:history="1">
              <w:r>
                <w:rPr>
                  <w:rStyle w:val="Hyperlink"/>
                </w:rPr>
                <w:t>Go</w:t>
              </w:r>
            </w:hyperlink>
          </w:p>
        </w:tc>
        <w:tc>
          <w:tcPr>
            <w:tcW w:w="5669" w:type="dxa"/>
          </w:tcPr>
          <w:p w14:paraId="23F6FF36" w14:textId="77777777" w:rsidR="008B6364" w:rsidRDefault="008B6364">
            <w:pPr>
              <w:spacing w:line="240" w:lineRule="auto"/>
              <w:jc w:val="left"/>
              <w:rPr>
                <w:rFonts w:cs="Frankruhel"/>
                <w:sz w:val="24"/>
                <w:rtl/>
              </w:rPr>
            </w:pPr>
            <w:r>
              <w:rPr>
                <w:rFonts w:cs="Frankruhel"/>
                <w:sz w:val="24"/>
                <w:rtl/>
              </w:rPr>
              <w:t>שמיעת עדות המתלונן</w:t>
            </w:r>
          </w:p>
        </w:tc>
        <w:tc>
          <w:tcPr>
            <w:tcW w:w="1247" w:type="dxa"/>
          </w:tcPr>
          <w:p w14:paraId="55A98E63" w14:textId="77777777" w:rsidR="008B6364" w:rsidRDefault="008B6364">
            <w:pPr>
              <w:spacing w:line="240" w:lineRule="auto"/>
              <w:jc w:val="left"/>
              <w:rPr>
                <w:rFonts w:cs="Frankruhel"/>
                <w:sz w:val="24"/>
              </w:rPr>
            </w:pPr>
            <w:r>
              <w:rPr>
                <w:rFonts w:cs="Frankruhel"/>
                <w:sz w:val="24"/>
                <w:rtl/>
              </w:rPr>
              <w:t xml:space="preserve">סעיף 4 </w:t>
            </w:r>
          </w:p>
        </w:tc>
      </w:tr>
      <w:tr w:rsidR="008B6364" w14:paraId="2B803534" w14:textId="77777777">
        <w:tblPrEx>
          <w:tblCellMar>
            <w:top w:w="0" w:type="dxa"/>
            <w:bottom w:w="0" w:type="dxa"/>
          </w:tblCellMar>
        </w:tblPrEx>
        <w:trPr>
          <w:jc w:val="right"/>
        </w:trPr>
        <w:tc>
          <w:tcPr>
            <w:tcW w:w="850" w:type="dxa"/>
          </w:tcPr>
          <w:p w14:paraId="7297FC97" w14:textId="77777777" w:rsidR="008B6364" w:rsidRDefault="008B636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4BC22976" w14:textId="77777777" w:rsidR="008B6364" w:rsidRDefault="008B6364">
            <w:pPr>
              <w:spacing w:line="240" w:lineRule="auto"/>
              <w:jc w:val="left"/>
              <w:rPr>
                <w:rFonts w:cs="Frankruhel"/>
                <w:sz w:val="24"/>
              </w:rPr>
            </w:pPr>
            <w:hyperlink w:anchor="Seif4" w:tooltip="תחילה" w:history="1">
              <w:r>
                <w:rPr>
                  <w:rStyle w:val="Hyperlink"/>
                </w:rPr>
                <w:t>Go</w:t>
              </w:r>
            </w:hyperlink>
          </w:p>
        </w:tc>
        <w:tc>
          <w:tcPr>
            <w:tcW w:w="5669" w:type="dxa"/>
          </w:tcPr>
          <w:p w14:paraId="72BD7067" w14:textId="77777777" w:rsidR="008B6364" w:rsidRDefault="008B6364">
            <w:pPr>
              <w:spacing w:line="240" w:lineRule="auto"/>
              <w:jc w:val="left"/>
              <w:rPr>
                <w:rFonts w:cs="Frankruhel"/>
                <w:sz w:val="24"/>
                <w:rtl/>
              </w:rPr>
            </w:pPr>
            <w:r>
              <w:rPr>
                <w:rFonts w:cs="Frankruhel"/>
                <w:sz w:val="24"/>
                <w:rtl/>
              </w:rPr>
              <w:t>תחילה</w:t>
            </w:r>
          </w:p>
        </w:tc>
        <w:tc>
          <w:tcPr>
            <w:tcW w:w="1247" w:type="dxa"/>
          </w:tcPr>
          <w:p w14:paraId="688E05C5" w14:textId="77777777" w:rsidR="008B6364" w:rsidRDefault="008B6364">
            <w:pPr>
              <w:spacing w:line="240" w:lineRule="auto"/>
              <w:jc w:val="left"/>
              <w:rPr>
                <w:rFonts w:cs="Frankruhel"/>
                <w:sz w:val="24"/>
              </w:rPr>
            </w:pPr>
            <w:r>
              <w:rPr>
                <w:rFonts w:cs="Frankruhel"/>
                <w:sz w:val="24"/>
                <w:rtl/>
              </w:rPr>
              <w:t xml:space="preserve">סעיף 5 </w:t>
            </w:r>
          </w:p>
        </w:tc>
      </w:tr>
    </w:tbl>
    <w:p w14:paraId="7085CF2C" w14:textId="77777777" w:rsidR="008B6364" w:rsidRDefault="008B6364">
      <w:pPr>
        <w:pStyle w:val="big-header"/>
        <w:ind w:left="0" w:right="1134"/>
        <w:rPr>
          <w:sz w:val="32"/>
          <w:rtl/>
        </w:rPr>
      </w:pPr>
    </w:p>
    <w:p w14:paraId="5869CF88" w14:textId="77777777" w:rsidR="008B6364" w:rsidRDefault="008B6364" w:rsidP="00B34CA7">
      <w:pPr>
        <w:pStyle w:val="big-header"/>
        <w:ind w:left="0" w:right="1134"/>
        <w:rPr>
          <w:rStyle w:val="default"/>
          <w:rFonts w:cs="FrankRuehl" w:hint="cs"/>
          <w:rtl/>
        </w:rPr>
      </w:pPr>
      <w:r>
        <w:rPr>
          <w:rtl/>
        </w:rPr>
        <w:br w:type="page"/>
      </w:r>
      <w:r>
        <w:rPr>
          <w:rtl/>
        </w:rPr>
        <w:lastRenderedPageBreak/>
        <w:t>ת</w:t>
      </w:r>
      <w:r>
        <w:rPr>
          <w:rFonts w:hint="cs"/>
          <w:rtl/>
        </w:rPr>
        <w:t>קנות לתיקון סדרי ה</w:t>
      </w:r>
      <w:r>
        <w:rPr>
          <w:rtl/>
        </w:rPr>
        <w:t>ד</w:t>
      </w:r>
      <w:r>
        <w:rPr>
          <w:rFonts w:hint="cs"/>
          <w:rtl/>
        </w:rPr>
        <w:t>ין (חקירת עדים) (גביית עדות מתלונן בשל עבירת מין שלא בפני הנאשם), תשנ"ז-1996</w:t>
      </w:r>
      <w:r>
        <w:rPr>
          <w:rStyle w:val="default"/>
          <w:rtl/>
        </w:rPr>
        <w:footnoteReference w:customMarkFollows="1" w:id="1"/>
        <w:t>*</w:t>
      </w:r>
    </w:p>
    <w:p w14:paraId="6E4B7AAE" w14:textId="77777777" w:rsidR="008B6364" w:rsidRDefault="008B636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2ב לחוק לתיקון סדרי הדין (חקירת עדים), תשי"ח-1957 (להלן - החוק), אני מתקין תקנות אלה:</w:t>
      </w:r>
    </w:p>
    <w:p w14:paraId="60AE6317" w14:textId="77777777" w:rsidR="008B6364" w:rsidRDefault="008B6364">
      <w:pPr>
        <w:pStyle w:val="P00"/>
        <w:spacing w:before="72"/>
        <w:ind w:left="0" w:right="1134"/>
        <w:rPr>
          <w:rStyle w:val="default"/>
          <w:rFonts w:cs="FrankRuehl"/>
          <w:rtl/>
        </w:rPr>
      </w:pPr>
      <w:bookmarkStart w:id="0" w:name="Seif0"/>
      <w:bookmarkEnd w:id="0"/>
      <w:r>
        <w:rPr>
          <w:lang w:val="he-IL"/>
        </w:rPr>
        <w:pict w14:anchorId="13C2F8F3">
          <v:rect id="_x0000_s2050" style="position:absolute;left:0;text-align:left;margin-left:464.5pt;margin-top:8.05pt;width:75.05pt;height:15.6pt;z-index:251655168" o:allowincell="f" filled="f" stroked="f" strokecolor="lime" strokeweight=".25pt">
            <v:textbox style="mso-next-textbox:#_x0000_s2050" inset="0,0,0,0">
              <w:txbxContent>
                <w:p w14:paraId="0BF8F043" w14:textId="77777777" w:rsidR="008B6364" w:rsidRDefault="008B6364">
                  <w:pPr>
                    <w:spacing w:line="160" w:lineRule="exact"/>
                    <w:jc w:val="left"/>
                    <w:rPr>
                      <w:rFonts w:cs="Miriam"/>
                      <w:szCs w:val="18"/>
                      <w:rtl/>
                    </w:rPr>
                  </w:pPr>
                  <w:r>
                    <w:rPr>
                      <w:rFonts w:cs="Miriam"/>
                      <w:szCs w:val="18"/>
                      <w:rtl/>
                    </w:rPr>
                    <w:t>ה</w:t>
                  </w:r>
                  <w:r>
                    <w:rPr>
                      <w:rFonts w:cs="Miriam" w:hint="cs"/>
                      <w:szCs w:val="18"/>
                      <w:rtl/>
                    </w:rPr>
                    <w:t>גשת בקשה</w:t>
                  </w:r>
                </w:p>
                <w:p w14:paraId="6825E20D" w14:textId="77777777" w:rsidR="000361AC" w:rsidRDefault="000361AC">
                  <w:pPr>
                    <w:spacing w:line="160" w:lineRule="exact"/>
                    <w:jc w:val="left"/>
                    <w:rPr>
                      <w:rFonts w:cs="Miriam"/>
                      <w:noProof/>
                      <w:szCs w:val="18"/>
                      <w:rtl/>
                    </w:rPr>
                  </w:pPr>
                  <w:r>
                    <w:rPr>
                      <w:rFonts w:cs="Miriam" w:hint="cs"/>
                      <w:szCs w:val="18"/>
                      <w:rtl/>
                    </w:rPr>
                    <w:t>תק' תשפ"ב-2021</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בקשת תובע לגביית עדות ממתלונן שלא בפני הנאשם (להלן </w:t>
      </w:r>
      <w:r w:rsidR="000361AC">
        <w:rPr>
          <w:rStyle w:val="default"/>
          <w:rFonts w:cs="FrankRuehl"/>
          <w:rtl/>
        </w:rPr>
        <w:t>–</w:t>
      </w:r>
      <w:r>
        <w:rPr>
          <w:rStyle w:val="default"/>
          <w:rFonts w:cs="FrankRuehl" w:hint="cs"/>
          <w:rtl/>
        </w:rPr>
        <w:t xml:space="preserve"> הבקש</w:t>
      </w:r>
      <w:r>
        <w:rPr>
          <w:rStyle w:val="default"/>
          <w:rFonts w:cs="FrankRuehl"/>
          <w:rtl/>
        </w:rPr>
        <w:t>ה</w:t>
      </w:r>
      <w:r>
        <w:rPr>
          <w:rStyle w:val="default"/>
          <w:rFonts w:cs="FrankRuehl" w:hint="cs"/>
          <w:rtl/>
        </w:rPr>
        <w:t xml:space="preserve">), תוגש בכתב לבית המשפט שבפניו יתברר המשפט לא יאוחר </w:t>
      </w:r>
      <w:r w:rsidR="000361AC">
        <w:rPr>
          <w:rStyle w:val="default"/>
          <w:rFonts w:cs="FrankRuehl" w:hint="cs"/>
          <w:rtl/>
        </w:rPr>
        <w:t>מארבעה עשר</w:t>
      </w:r>
      <w:r>
        <w:rPr>
          <w:rStyle w:val="default"/>
          <w:rFonts w:cs="FrankRuehl" w:hint="cs"/>
          <w:rtl/>
        </w:rPr>
        <w:t xml:space="preserve"> ימים לפני המועד הקבוע לתחילת שמיעת פרשת התביעה, אלא אם כן קבע בית המשפט תקופה קצרה ממנה.</w:t>
      </w:r>
    </w:p>
    <w:p w14:paraId="1D1C4931" w14:textId="77777777" w:rsidR="008B6364" w:rsidRDefault="008B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הוגשה בקשה לגביית עדות של אדם לאלתר כאמור בסעיפים 117 ו-117א לחוק סדר הדין הפלילי [נוסח משולב], תשמ"ב-</w:t>
      </w:r>
      <w:r>
        <w:rPr>
          <w:rStyle w:val="default"/>
          <w:rFonts w:cs="FrankRuehl"/>
          <w:rtl/>
        </w:rPr>
        <w:t xml:space="preserve">1982, </w:t>
      </w:r>
      <w:r>
        <w:rPr>
          <w:rStyle w:val="default"/>
          <w:rFonts w:cs="FrankRuehl" w:hint="cs"/>
          <w:rtl/>
        </w:rPr>
        <w:t>רשאי תובע להגיש בקשה כאמור בתקנת משנה (א) יחד עם הבקשה לגביית עדות לאלתר והוראות תקנות אלה יחולו, בשינויים המחויבים, על הבקשה.</w:t>
      </w:r>
    </w:p>
    <w:p w14:paraId="61309C7D" w14:textId="77777777" w:rsidR="008B6364" w:rsidRDefault="000361AC" w:rsidP="000361AC">
      <w:pPr>
        <w:pStyle w:val="P00"/>
        <w:spacing w:before="72"/>
        <w:ind w:left="0" w:right="1134"/>
        <w:rPr>
          <w:rStyle w:val="default"/>
          <w:rFonts w:cs="FrankRuehl"/>
          <w:rtl/>
        </w:rPr>
      </w:pPr>
      <w:r w:rsidRPr="007D19AE">
        <w:rPr>
          <w:rStyle w:val="default"/>
          <w:rFonts w:cs="FrankRuehl"/>
          <w:rtl/>
        </w:rPr>
        <w:pict w14:anchorId="39D54EDB">
          <v:shapetype id="_x0000_t202" coordsize="21600,21600" o:spt="202" path="m,l,21600r21600,l21600,xe">
            <v:stroke joinstyle="miter"/>
            <v:path gradientshapeok="t" o:connecttype="rect"/>
          </v:shapetype>
          <v:shape id="_x0000_s2056" type="#_x0000_t202" style="position:absolute;left:0;text-align:left;margin-left:470.25pt;margin-top:7.1pt;width:1in;height:9.9pt;z-index:251660288" filled="f" stroked="f">
            <v:textbox inset="1mm,0,1mm,0">
              <w:txbxContent>
                <w:p w14:paraId="7EEFA222" w14:textId="77777777" w:rsidR="000361AC" w:rsidRDefault="000361AC" w:rsidP="000361AC">
                  <w:pPr>
                    <w:spacing w:line="160" w:lineRule="exact"/>
                    <w:jc w:val="left"/>
                    <w:rPr>
                      <w:rFonts w:cs="Miriam" w:hint="cs"/>
                      <w:noProof/>
                      <w:sz w:val="18"/>
                      <w:szCs w:val="18"/>
                      <w:rtl/>
                    </w:rPr>
                  </w:pPr>
                  <w:r>
                    <w:rPr>
                      <w:rFonts w:cs="Miriam" w:hint="cs"/>
                      <w:sz w:val="18"/>
                      <w:szCs w:val="18"/>
                      <w:rtl/>
                    </w:rPr>
                    <w:t>תק' תשפ"ב-2021</w:t>
                  </w:r>
                </w:p>
              </w:txbxContent>
            </v:textbox>
          </v:shape>
        </w:pict>
      </w:r>
      <w:r w:rsidRPr="007D19AE">
        <w:rPr>
          <w:rStyle w:val="default"/>
          <w:rFonts w:cs="FrankRuehl"/>
          <w:rtl/>
        </w:rPr>
        <w:tab/>
      </w:r>
      <w:r w:rsidRPr="007D19AE">
        <w:rPr>
          <w:rStyle w:val="default"/>
          <w:rFonts w:cs="FrankRuehl" w:hint="cs"/>
          <w:rtl/>
        </w:rPr>
        <w:t>(</w:t>
      </w:r>
      <w:r>
        <w:rPr>
          <w:rStyle w:val="default"/>
          <w:rFonts w:cs="FrankRuehl" w:hint="cs"/>
          <w:rtl/>
        </w:rPr>
        <w:t>ג)</w:t>
      </w:r>
      <w:r>
        <w:rPr>
          <w:rStyle w:val="default"/>
          <w:rFonts w:cs="FrankRuehl"/>
          <w:rtl/>
        </w:rPr>
        <w:tab/>
      </w:r>
      <w:r>
        <w:rPr>
          <w:rStyle w:val="default"/>
          <w:rFonts w:cs="FrankRuehl" w:hint="cs"/>
          <w:rtl/>
        </w:rPr>
        <w:t>(בוטלה)</w:t>
      </w:r>
      <w:r w:rsidR="008B6364">
        <w:rPr>
          <w:rStyle w:val="default"/>
          <w:rFonts w:cs="FrankRuehl" w:hint="cs"/>
          <w:rtl/>
        </w:rPr>
        <w:t>.</w:t>
      </w:r>
    </w:p>
    <w:p w14:paraId="20F05063" w14:textId="77777777" w:rsidR="008B6364" w:rsidRDefault="008B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העתק של הבקשה על מצורפיה יימסר לנאשם ולסניגורו, אם הוא מיוצג.</w:t>
      </w:r>
    </w:p>
    <w:p w14:paraId="3E48ABCC" w14:textId="77777777" w:rsidR="000361AC" w:rsidRPr="00904889" w:rsidRDefault="000361AC" w:rsidP="000361AC">
      <w:pPr>
        <w:pStyle w:val="P00"/>
        <w:spacing w:before="0"/>
        <w:ind w:left="0" w:right="1134"/>
        <w:rPr>
          <w:rStyle w:val="default"/>
          <w:rFonts w:cs="FrankRuehl"/>
          <w:vanish/>
          <w:color w:val="FF0000"/>
          <w:szCs w:val="20"/>
          <w:shd w:val="clear" w:color="auto" w:fill="FFFF99"/>
          <w:rtl/>
        </w:rPr>
      </w:pPr>
      <w:bookmarkStart w:id="1" w:name="Rov7"/>
      <w:r w:rsidRPr="00904889">
        <w:rPr>
          <w:rStyle w:val="default"/>
          <w:rFonts w:cs="FrankRuehl" w:hint="cs"/>
          <w:vanish/>
          <w:color w:val="FF0000"/>
          <w:szCs w:val="20"/>
          <w:shd w:val="clear" w:color="auto" w:fill="FFFF99"/>
          <w:rtl/>
        </w:rPr>
        <w:t>מיום 19.12.2021</w:t>
      </w:r>
    </w:p>
    <w:p w14:paraId="04F3960B" w14:textId="77777777" w:rsidR="000361AC" w:rsidRPr="00904889" w:rsidRDefault="000361AC" w:rsidP="000361AC">
      <w:pPr>
        <w:pStyle w:val="P00"/>
        <w:spacing w:before="0"/>
        <w:ind w:left="0" w:right="1134"/>
        <w:rPr>
          <w:rStyle w:val="default"/>
          <w:rFonts w:cs="FrankRuehl"/>
          <w:vanish/>
          <w:szCs w:val="20"/>
          <w:shd w:val="clear" w:color="auto" w:fill="FFFF99"/>
          <w:rtl/>
        </w:rPr>
      </w:pPr>
      <w:r w:rsidRPr="00904889">
        <w:rPr>
          <w:rStyle w:val="default"/>
          <w:rFonts w:cs="FrankRuehl" w:hint="cs"/>
          <w:b/>
          <w:bCs/>
          <w:vanish/>
          <w:szCs w:val="20"/>
          <w:shd w:val="clear" w:color="auto" w:fill="FFFF99"/>
          <w:rtl/>
        </w:rPr>
        <w:t>תק' תשפ"ב-2021</w:t>
      </w:r>
    </w:p>
    <w:p w14:paraId="0FCFCAD0" w14:textId="77777777" w:rsidR="000361AC" w:rsidRPr="00904889" w:rsidRDefault="000361AC" w:rsidP="000361AC">
      <w:pPr>
        <w:pStyle w:val="P00"/>
        <w:spacing w:before="0"/>
        <w:ind w:left="0" w:right="1134"/>
        <w:rPr>
          <w:rStyle w:val="default"/>
          <w:rFonts w:cs="FrankRuehl"/>
          <w:vanish/>
          <w:szCs w:val="20"/>
          <w:shd w:val="clear" w:color="auto" w:fill="FFFF99"/>
          <w:rtl/>
        </w:rPr>
      </w:pPr>
      <w:hyperlink r:id="rId6" w:history="1">
        <w:r w:rsidRPr="00904889">
          <w:rPr>
            <w:rStyle w:val="Hyperlink"/>
            <w:rFonts w:hint="cs"/>
            <w:vanish/>
            <w:szCs w:val="20"/>
            <w:shd w:val="clear" w:color="auto" w:fill="FFFF99"/>
            <w:rtl/>
          </w:rPr>
          <w:t>ק"ת תשפ"ב מס' 9812</w:t>
        </w:r>
      </w:hyperlink>
      <w:r w:rsidRPr="00904889">
        <w:rPr>
          <w:rStyle w:val="default"/>
          <w:rFonts w:cs="FrankRuehl" w:hint="cs"/>
          <w:vanish/>
          <w:szCs w:val="20"/>
          <w:shd w:val="clear" w:color="auto" w:fill="FFFF99"/>
          <w:rtl/>
        </w:rPr>
        <w:t xml:space="preserve"> מיום 19.12.2021 עמ' 1178</w:t>
      </w:r>
    </w:p>
    <w:p w14:paraId="31A4447C" w14:textId="77777777" w:rsidR="000361AC" w:rsidRPr="00904889" w:rsidRDefault="000361AC" w:rsidP="000361AC">
      <w:pPr>
        <w:pStyle w:val="P00"/>
        <w:ind w:left="0" w:right="1134"/>
        <w:rPr>
          <w:rStyle w:val="default"/>
          <w:rFonts w:cs="FrankRuehl"/>
          <w:vanish/>
          <w:sz w:val="16"/>
          <w:szCs w:val="22"/>
          <w:shd w:val="clear" w:color="auto" w:fill="FFFF99"/>
          <w:rtl/>
        </w:rPr>
      </w:pPr>
      <w:r w:rsidRPr="00904889">
        <w:rPr>
          <w:rStyle w:val="default"/>
          <w:rFonts w:cs="FrankRuehl"/>
          <w:vanish/>
          <w:sz w:val="16"/>
          <w:szCs w:val="22"/>
          <w:shd w:val="clear" w:color="auto" w:fill="FFFF99"/>
          <w:rtl/>
        </w:rPr>
        <w:tab/>
        <w:t>(</w:t>
      </w:r>
      <w:r w:rsidRPr="00904889">
        <w:rPr>
          <w:rStyle w:val="default"/>
          <w:rFonts w:cs="FrankRuehl" w:hint="cs"/>
          <w:vanish/>
          <w:sz w:val="16"/>
          <w:szCs w:val="22"/>
          <w:shd w:val="clear" w:color="auto" w:fill="FFFF99"/>
          <w:rtl/>
        </w:rPr>
        <w:t>א)</w:t>
      </w:r>
      <w:r w:rsidRPr="00904889">
        <w:rPr>
          <w:rStyle w:val="default"/>
          <w:rFonts w:cs="FrankRuehl"/>
          <w:vanish/>
          <w:sz w:val="16"/>
          <w:szCs w:val="22"/>
          <w:shd w:val="clear" w:color="auto" w:fill="FFFF99"/>
          <w:rtl/>
        </w:rPr>
        <w:tab/>
      </w:r>
      <w:r w:rsidRPr="00904889">
        <w:rPr>
          <w:rStyle w:val="default"/>
          <w:rFonts w:cs="FrankRuehl" w:hint="cs"/>
          <w:vanish/>
          <w:sz w:val="16"/>
          <w:szCs w:val="22"/>
          <w:shd w:val="clear" w:color="auto" w:fill="FFFF99"/>
          <w:rtl/>
        </w:rPr>
        <w:t xml:space="preserve">בקשת תובע לגביית עדות ממתלונן שלא בפני הנאשם (להלן </w:t>
      </w:r>
      <w:r w:rsidRPr="00904889">
        <w:rPr>
          <w:rStyle w:val="default"/>
          <w:rFonts w:cs="FrankRuehl"/>
          <w:vanish/>
          <w:sz w:val="16"/>
          <w:szCs w:val="22"/>
          <w:shd w:val="clear" w:color="auto" w:fill="FFFF99"/>
          <w:rtl/>
        </w:rPr>
        <w:t>–</w:t>
      </w:r>
      <w:r w:rsidRPr="00904889">
        <w:rPr>
          <w:rStyle w:val="default"/>
          <w:rFonts w:cs="FrankRuehl" w:hint="cs"/>
          <w:vanish/>
          <w:sz w:val="16"/>
          <w:szCs w:val="22"/>
          <w:shd w:val="clear" w:color="auto" w:fill="FFFF99"/>
          <w:rtl/>
        </w:rPr>
        <w:t xml:space="preserve"> הבקש</w:t>
      </w:r>
      <w:r w:rsidRPr="00904889">
        <w:rPr>
          <w:rStyle w:val="default"/>
          <w:rFonts w:cs="FrankRuehl"/>
          <w:vanish/>
          <w:sz w:val="16"/>
          <w:szCs w:val="22"/>
          <w:shd w:val="clear" w:color="auto" w:fill="FFFF99"/>
          <w:rtl/>
        </w:rPr>
        <w:t>ה</w:t>
      </w:r>
      <w:r w:rsidRPr="00904889">
        <w:rPr>
          <w:rStyle w:val="default"/>
          <w:rFonts w:cs="FrankRuehl" w:hint="cs"/>
          <w:vanish/>
          <w:sz w:val="16"/>
          <w:szCs w:val="22"/>
          <w:shd w:val="clear" w:color="auto" w:fill="FFFF99"/>
          <w:rtl/>
        </w:rPr>
        <w:t xml:space="preserve">), תוגש בכתב לבית המשפט שבפניו יתברר המשפט לא יאוחר </w:t>
      </w:r>
      <w:r w:rsidRPr="00904889">
        <w:rPr>
          <w:rStyle w:val="default"/>
          <w:rFonts w:cs="FrankRuehl" w:hint="cs"/>
          <w:strike/>
          <w:vanish/>
          <w:sz w:val="16"/>
          <w:szCs w:val="22"/>
          <w:shd w:val="clear" w:color="auto" w:fill="FFFF99"/>
          <w:rtl/>
        </w:rPr>
        <w:t>מעשרים ימים</w:t>
      </w:r>
      <w:r w:rsidRPr="00904889">
        <w:rPr>
          <w:rStyle w:val="default"/>
          <w:rFonts w:cs="FrankRuehl" w:hint="cs"/>
          <w:vanish/>
          <w:sz w:val="16"/>
          <w:szCs w:val="22"/>
          <w:shd w:val="clear" w:color="auto" w:fill="FFFF99"/>
          <w:rtl/>
        </w:rPr>
        <w:t xml:space="preserve"> </w:t>
      </w:r>
      <w:r w:rsidRPr="00904889">
        <w:rPr>
          <w:rStyle w:val="default"/>
          <w:rFonts w:cs="FrankRuehl" w:hint="cs"/>
          <w:vanish/>
          <w:sz w:val="16"/>
          <w:szCs w:val="22"/>
          <w:u w:val="single"/>
          <w:shd w:val="clear" w:color="auto" w:fill="FFFF99"/>
          <w:rtl/>
        </w:rPr>
        <w:t>מארבעה עשר ימים</w:t>
      </w:r>
      <w:r w:rsidRPr="00904889">
        <w:rPr>
          <w:rStyle w:val="default"/>
          <w:rFonts w:cs="FrankRuehl" w:hint="cs"/>
          <w:vanish/>
          <w:sz w:val="16"/>
          <w:szCs w:val="22"/>
          <w:shd w:val="clear" w:color="auto" w:fill="FFFF99"/>
          <w:rtl/>
        </w:rPr>
        <w:t xml:space="preserve"> לפני המועד הקבוע לתחילת שמיעת פרשת התביעה, אלא אם כן קבע בית המשפט תקופה קצרה ממנה.</w:t>
      </w:r>
    </w:p>
    <w:p w14:paraId="05E4285C" w14:textId="77777777" w:rsidR="000361AC" w:rsidRPr="00904889" w:rsidRDefault="000361AC" w:rsidP="000361AC">
      <w:pPr>
        <w:pStyle w:val="P00"/>
        <w:spacing w:before="0"/>
        <w:ind w:left="0" w:right="1134"/>
        <w:rPr>
          <w:rStyle w:val="default"/>
          <w:rFonts w:cs="FrankRuehl"/>
          <w:vanish/>
          <w:sz w:val="16"/>
          <w:szCs w:val="22"/>
          <w:shd w:val="clear" w:color="auto" w:fill="FFFF99"/>
          <w:rtl/>
        </w:rPr>
      </w:pPr>
      <w:r w:rsidRPr="00904889">
        <w:rPr>
          <w:vanish/>
          <w:sz w:val="16"/>
          <w:szCs w:val="22"/>
          <w:shd w:val="clear" w:color="auto" w:fill="FFFF99"/>
          <w:rtl/>
        </w:rPr>
        <w:tab/>
      </w:r>
      <w:r w:rsidRPr="00904889">
        <w:rPr>
          <w:rStyle w:val="default"/>
          <w:rFonts w:cs="FrankRuehl"/>
          <w:vanish/>
          <w:sz w:val="16"/>
          <w:szCs w:val="22"/>
          <w:shd w:val="clear" w:color="auto" w:fill="FFFF99"/>
          <w:rtl/>
        </w:rPr>
        <w:t>(</w:t>
      </w:r>
      <w:r w:rsidRPr="00904889">
        <w:rPr>
          <w:rStyle w:val="default"/>
          <w:rFonts w:cs="FrankRuehl" w:hint="cs"/>
          <w:vanish/>
          <w:sz w:val="16"/>
          <w:szCs w:val="22"/>
          <w:shd w:val="clear" w:color="auto" w:fill="FFFF99"/>
          <w:rtl/>
        </w:rPr>
        <w:t>ב)</w:t>
      </w:r>
      <w:r w:rsidRPr="00904889">
        <w:rPr>
          <w:rStyle w:val="default"/>
          <w:rFonts w:cs="FrankRuehl"/>
          <w:vanish/>
          <w:sz w:val="16"/>
          <w:szCs w:val="22"/>
          <w:shd w:val="clear" w:color="auto" w:fill="FFFF99"/>
          <w:rtl/>
        </w:rPr>
        <w:tab/>
      </w:r>
      <w:r w:rsidRPr="00904889">
        <w:rPr>
          <w:rStyle w:val="default"/>
          <w:rFonts w:cs="FrankRuehl" w:hint="cs"/>
          <w:vanish/>
          <w:sz w:val="16"/>
          <w:szCs w:val="22"/>
          <w:shd w:val="clear" w:color="auto" w:fill="FFFF99"/>
          <w:rtl/>
        </w:rPr>
        <w:t>הוגשה בקשה לגביית עדות של אדם לאלתר כאמור בסעיפים 117 ו-117א לחוק סדר הדין הפלילי [נוסח משולב], תשמ"ב-</w:t>
      </w:r>
      <w:r w:rsidRPr="00904889">
        <w:rPr>
          <w:rStyle w:val="default"/>
          <w:rFonts w:cs="FrankRuehl"/>
          <w:vanish/>
          <w:sz w:val="16"/>
          <w:szCs w:val="22"/>
          <w:shd w:val="clear" w:color="auto" w:fill="FFFF99"/>
          <w:rtl/>
        </w:rPr>
        <w:t xml:space="preserve">1982, </w:t>
      </w:r>
      <w:r w:rsidRPr="00904889">
        <w:rPr>
          <w:rStyle w:val="default"/>
          <w:rFonts w:cs="FrankRuehl" w:hint="cs"/>
          <w:vanish/>
          <w:sz w:val="16"/>
          <w:szCs w:val="22"/>
          <w:shd w:val="clear" w:color="auto" w:fill="FFFF99"/>
          <w:rtl/>
        </w:rPr>
        <w:t>רשאי תובע להגיש בקשה כאמור בתקנת משנה (א) יחד עם הבקשה לגביית עדות לאלתר והוראות תקנות אלה יחולו, בשינויים המחויבים, על הבקשה.</w:t>
      </w:r>
    </w:p>
    <w:p w14:paraId="1CED06B3" w14:textId="77777777" w:rsidR="000361AC" w:rsidRPr="000361AC" w:rsidRDefault="000361AC" w:rsidP="000361AC">
      <w:pPr>
        <w:pStyle w:val="P00"/>
        <w:spacing w:before="0"/>
        <w:ind w:left="0" w:right="1134"/>
        <w:rPr>
          <w:rStyle w:val="default"/>
          <w:rFonts w:cs="FrankRuehl"/>
          <w:sz w:val="2"/>
          <w:szCs w:val="2"/>
          <w:rtl/>
        </w:rPr>
      </w:pPr>
      <w:r w:rsidRPr="00904889">
        <w:rPr>
          <w:vanish/>
          <w:sz w:val="16"/>
          <w:szCs w:val="22"/>
          <w:shd w:val="clear" w:color="auto" w:fill="FFFF99"/>
          <w:rtl/>
        </w:rPr>
        <w:tab/>
      </w:r>
      <w:r w:rsidRPr="00904889">
        <w:rPr>
          <w:rStyle w:val="default"/>
          <w:rFonts w:cs="FrankRuehl"/>
          <w:vanish/>
          <w:sz w:val="16"/>
          <w:szCs w:val="22"/>
          <w:shd w:val="clear" w:color="auto" w:fill="FFFF99"/>
          <w:rtl/>
        </w:rPr>
        <w:t>(</w:t>
      </w:r>
      <w:r w:rsidRPr="00904889">
        <w:rPr>
          <w:rStyle w:val="default"/>
          <w:rFonts w:cs="FrankRuehl" w:hint="cs"/>
          <w:strike/>
          <w:vanish/>
          <w:sz w:val="16"/>
          <w:szCs w:val="22"/>
          <w:shd w:val="clear" w:color="auto" w:fill="FFFF99"/>
          <w:rtl/>
        </w:rPr>
        <w:t>ג)</w:t>
      </w:r>
      <w:r w:rsidRPr="00904889">
        <w:rPr>
          <w:rStyle w:val="default"/>
          <w:rFonts w:cs="FrankRuehl"/>
          <w:strike/>
          <w:vanish/>
          <w:sz w:val="16"/>
          <w:szCs w:val="22"/>
          <w:shd w:val="clear" w:color="auto" w:fill="FFFF99"/>
          <w:rtl/>
        </w:rPr>
        <w:tab/>
      </w:r>
      <w:r w:rsidRPr="00904889">
        <w:rPr>
          <w:rStyle w:val="default"/>
          <w:rFonts w:cs="FrankRuehl" w:hint="cs"/>
          <w:strike/>
          <w:vanish/>
          <w:sz w:val="16"/>
          <w:szCs w:val="22"/>
          <w:shd w:val="clear" w:color="auto" w:fill="FFFF99"/>
          <w:rtl/>
        </w:rPr>
        <w:t>לבקשה יצורפו ראיות בכתב לשם הוכחת הטענה שמתן העדות בנוכחות הנאשם עלולה לפגוע במתלונן או לפגום בעדות; היתה הבקשה לגבי ע</w:t>
      </w:r>
      <w:r w:rsidRPr="00904889">
        <w:rPr>
          <w:rStyle w:val="default"/>
          <w:rFonts w:cs="FrankRuehl"/>
          <w:strike/>
          <w:vanish/>
          <w:sz w:val="16"/>
          <w:szCs w:val="22"/>
          <w:shd w:val="clear" w:color="auto" w:fill="FFFF99"/>
          <w:rtl/>
        </w:rPr>
        <w:t>ד</w:t>
      </w:r>
      <w:r w:rsidRPr="00904889">
        <w:rPr>
          <w:rStyle w:val="default"/>
          <w:rFonts w:cs="FrankRuehl" w:hint="cs"/>
          <w:strike/>
          <w:vanish/>
          <w:sz w:val="16"/>
          <w:szCs w:val="22"/>
          <w:shd w:val="clear" w:color="auto" w:fill="FFFF99"/>
          <w:rtl/>
        </w:rPr>
        <w:t xml:space="preserve">ות של ילד שחוק לתיקון דיני ראיות (הגנת ילדים), תשט"ו-1955, חל עליה, תצורף לבקשה חוות דעת של חוקר נוער; לענין סעיף קטן זה, "ילד" ו"חוקר נוער" </w:t>
      </w:r>
      <w:r w:rsidRPr="00904889">
        <w:rPr>
          <w:rStyle w:val="default"/>
          <w:rFonts w:cs="FrankRuehl"/>
          <w:strike/>
          <w:vanish/>
          <w:sz w:val="16"/>
          <w:szCs w:val="22"/>
          <w:shd w:val="clear" w:color="auto" w:fill="FFFF99"/>
          <w:rtl/>
        </w:rPr>
        <w:t>–</w:t>
      </w:r>
      <w:r w:rsidRPr="00904889">
        <w:rPr>
          <w:rStyle w:val="default"/>
          <w:rFonts w:cs="FrankRuehl" w:hint="cs"/>
          <w:strike/>
          <w:vanish/>
          <w:sz w:val="16"/>
          <w:szCs w:val="22"/>
          <w:shd w:val="clear" w:color="auto" w:fill="FFFF99"/>
          <w:rtl/>
        </w:rPr>
        <w:t xml:space="preserve"> כהגדרתם בחוק האמור.</w:t>
      </w:r>
      <w:bookmarkEnd w:id="1"/>
    </w:p>
    <w:p w14:paraId="4C26BA1F" w14:textId="77777777" w:rsidR="008B6364" w:rsidRDefault="008B6364">
      <w:pPr>
        <w:pStyle w:val="P00"/>
        <w:spacing w:before="72"/>
        <w:ind w:left="0" w:right="1134"/>
        <w:rPr>
          <w:rStyle w:val="default"/>
          <w:rFonts w:cs="FrankRuehl"/>
          <w:rtl/>
        </w:rPr>
      </w:pPr>
      <w:bookmarkStart w:id="2" w:name="Seif1"/>
      <w:bookmarkEnd w:id="2"/>
      <w:r>
        <w:rPr>
          <w:lang w:val="he-IL"/>
        </w:rPr>
        <w:pict w14:anchorId="473EF376">
          <v:rect id="_x0000_s2051" style="position:absolute;left:0;text-align:left;margin-left:464.5pt;margin-top:8.05pt;width:75.05pt;height:22.85pt;z-index:251656192" o:allowincell="f" filled="f" stroked="f" strokecolor="lime" strokeweight=".25pt">
            <v:textbox style="mso-next-textbox:#_x0000_s2051" inset="0,0,0,0">
              <w:txbxContent>
                <w:p w14:paraId="13F67879" w14:textId="77777777" w:rsidR="008B6364" w:rsidRDefault="008B6364">
                  <w:pPr>
                    <w:spacing w:line="160" w:lineRule="exact"/>
                    <w:jc w:val="left"/>
                    <w:rPr>
                      <w:rFonts w:cs="Miriam"/>
                      <w:noProof/>
                      <w:szCs w:val="18"/>
                      <w:rtl/>
                    </w:rPr>
                  </w:pPr>
                  <w:r>
                    <w:rPr>
                      <w:rFonts w:cs="Miriam"/>
                      <w:szCs w:val="18"/>
                      <w:rtl/>
                    </w:rPr>
                    <w:t>ה</w:t>
                  </w:r>
                  <w:r>
                    <w:rPr>
                      <w:rFonts w:cs="Miriam" w:hint="cs"/>
                      <w:szCs w:val="18"/>
                      <w:rtl/>
                    </w:rPr>
                    <w:t>גשת בקשה במהלך העדות</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 xml:space="preserve">אה בית המשפט, במהלך </w:t>
      </w:r>
      <w:r>
        <w:rPr>
          <w:rStyle w:val="default"/>
          <w:rFonts w:cs="FrankRuehl"/>
          <w:rtl/>
        </w:rPr>
        <w:t>ע</w:t>
      </w:r>
      <w:r>
        <w:rPr>
          <w:rStyle w:val="default"/>
          <w:rFonts w:cs="FrankRuehl" w:hint="cs"/>
          <w:rtl/>
        </w:rPr>
        <w:t xml:space="preserve">דותו של המתלונן כי המשך מתן העדות בנוכחות הנאשם עלול לפגוע במתלונן או לפגום בעדות, רשאי הוא, בין מיוזמתו ובין על פי בקשה בעל פה של התובע, להורות כאמור בתקנה 4. </w:t>
      </w:r>
    </w:p>
    <w:p w14:paraId="04BF20D7" w14:textId="77777777" w:rsidR="008B6364" w:rsidRDefault="008B6364">
      <w:pPr>
        <w:pStyle w:val="P00"/>
        <w:spacing w:before="72"/>
        <w:ind w:left="0" w:right="1134"/>
        <w:rPr>
          <w:rStyle w:val="default"/>
          <w:rFonts w:cs="FrankRuehl"/>
          <w:rtl/>
        </w:rPr>
      </w:pPr>
      <w:bookmarkStart w:id="3" w:name="Seif2"/>
      <w:bookmarkEnd w:id="3"/>
      <w:r>
        <w:rPr>
          <w:lang w:val="he-IL"/>
        </w:rPr>
        <w:pict w14:anchorId="550ECFC8">
          <v:rect id="_x0000_s2052" style="position:absolute;left:0;text-align:left;margin-left:464.5pt;margin-top:8.05pt;width:75.05pt;height:15.6pt;z-index:251657216" o:allowincell="f" filled="f" stroked="f" strokecolor="lime" strokeweight=".25pt">
            <v:textbox style="mso-next-textbox:#_x0000_s2052" inset="0,0,0,0">
              <w:txbxContent>
                <w:p w14:paraId="34E2A34C" w14:textId="77777777" w:rsidR="008B6364" w:rsidRDefault="008B6364">
                  <w:pPr>
                    <w:spacing w:line="160" w:lineRule="exact"/>
                    <w:jc w:val="left"/>
                    <w:rPr>
                      <w:rFonts w:cs="Miriam"/>
                      <w:szCs w:val="18"/>
                      <w:rtl/>
                    </w:rPr>
                  </w:pPr>
                  <w:r>
                    <w:rPr>
                      <w:rFonts w:cs="Miriam"/>
                      <w:szCs w:val="18"/>
                      <w:rtl/>
                    </w:rPr>
                    <w:t>ד</w:t>
                  </w:r>
                  <w:r>
                    <w:rPr>
                      <w:rFonts w:cs="Miriam" w:hint="cs"/>
                      <w:szCs w:val="18"/>
                      <w:rtl/>
                    </w:rPr>
                    <w:t>יון בבקשה</w:t>
                  </w:r>
                </w:p>
                <w:p w14:paraId="759F71E6" w14:textId="77777777" w:rsidR="000361AC" w:rsidRDefault="000361AC">
                  <w:pPr>
                    <w:spacing w:line="160" w:lineRule="exact"/>
                    <w:jc w:val="left"/>
                    <w:rPr>
                      <w:rFonts w:cs="Miriam"/>
                      <w:noProof/>
                      <w:szCs w:val="18"/>
                      <w:rtl/>
                    </w:rPr>
                  </w:pPr>
                  <w:r>
                    <w:rPr>
                      <w:rFonts w:cs="Miriam" w:hint="cs"/>
                      <w:szCs w:val="18"/>
                      <w:rtl/>
                    </w:rPr>
                    <w:t>תק' תשפ"ב-2021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0361AC">
        <w:rPr>
          <w:rStyle w:val="default"/>
          <w:rFonts w:cs="FrankRuehl" w:hint="cs"/>
          <w:rtl/>
        </w:rPr>
        <w:t>הוגשה בקשה, יחליט בית המשפט בבקשה ובדרך שבה תישמע עדות המתלונן, כאמור בתקנה 4, בטרם החלה פרשת התביעה; בית המשפט רשאי להחליט, על יסוד הבקשה וטענות בעלי הדין בלבד, או, אם הדבר נדרש, על בסיס ראיה בכתב לשם הוכחת הטענה, שמתן העדות בנוכחות הנאשם עלולה לפגוע במתלונן או לפגום בעדות; החלטה כאמור יכול שתינתן על יסוד הכתב ובלא קיום דיון בעל פה</w:t>
      </w:r>
      <w:r>
        <w:rPr>
          <w:rStyle w:val="default"/>
          <w:rFonts w:cs="FrankRuehl" w:hint="cs"/>
          <w:rtl/>
        </w:rPr>
        <w:t>.</w:t>
      </w:r>
    </w:p>
    <w:p w14:paraId="335B88F6" w14:textId="77777777" w:rsidR="000361AC" w:rsidRDefault="000361A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יחליט בבקשה לאחר שהתקיים האמור בסעיף 2ב(ב) ו-(ג) לחוק.</w:t>
      </w:r>
    </w:p>
    <w:p w14:paraId="59A20953" w14:textId="77777777" w:rsidR="000361AC" w:rsidRPr="00904889" w:rsidRDefault="000361AC" w:rsidP="000361AC">
      <w:pPr>
        <w:pStyle w:val="P00"/>
        <w:spacing w:before="0"/>
        <w:ind w:left="0" w:right="1134"/>
        <w:rPr>
          <w:rStyle w:val="default"/>
          <w:rFonts w:cs="FrankRuehl"/>
          <w:vanish/>
          <w:color w:val="FF0000"/>
          <w:szCs w:val="20"/>
          <w:shd w:val="clear" w:color="auto" w:fill="FFFF99"/>
          <w:rtl/>
        </w:rPr>
      </w:pPr>
      <w:bookmarkStart w:id="4" w:name="Rov8"/>
      <w:r w:rsidRPr="00904889">
        <w:rPr>
          <w:rStyle w:val="default"/>
          <w:rFonts w:cs="FrankRuehl" w:hint="cs"/>
          <w:vanish/>
          <w:color w:val="FF0000"/>
          <w:szCs w:val="20"/>
          <w:shd w:val="clear" w:color="auto" w:fill="FFFF99"/>
          <w:rtl/>
        </w:rPr>
        <w:t>מיום 19.12.2021</w:t>
      </w:r>
    </w:p>
    <w:p w14:paraId="384CABB1" w14:textId="77777777" w:rsidR="000361AC" w:rsidRPr="00904889" w:rsidRDefault="000361AC" w:rsidP="000361AC">
      <w:pPr>
        <w:pStyle w:val="P00"/>
        <w:spacing w:before="0"/>
        <w:ind w:left="0" w:right="1134"/>
        <w:rPr>
          <w:rStyle w:val="default"/>
          <w:rFonts w:cs="FrankRuehl"/>
          <w:vanish/>
          <w:szCs w:val="20"/>
          <w:shd w:val="clear" w:color="auto" w:fill="FFFF99"/>
          <w:rtl/>
        </w:rPr>
      </w:pPr>
      <w:r w:rsidRPr="00904889">
        <w:rPr>
          <w:rStyle w:val="default"/>
          <w:rFonts w:cs="FrankRuehl" w:hint="cs"/>
          <w:b/>
          <w:bCs/>
          <w:vanish/>
          <w:szCs w:val="20"/>
          <w:shd w:val="clear" w:color="auto" w:fill="FFFF99"/>
          <w:rtl/>
        </w:rPr>
        <w:t>תק' תשפ"ב-2021</w:t>
      </w:r>
    </w:p>
    <w:p w14:paraId="70636669" w14:textId="77777777" w:rsidR="000361AC" w:rsidRPr="00904889" w:rsidRDefault="000361AC" w:rsidP="000361AC">
      <w:pPr>
        <w:pStyle w:val="P00"/>
        <w:spacing w:before="0"/>
        <w:ind w:left="0" w:right="1134"/>
        <w:rPr>
          <w:rStyle w:val="default"/>
          <w:rFonts w:cs="FrankRuehl"/>
          <w:vanish/>
          <w:szCs w:val="20"/>
          <w:shd w:val="clear" w:color="auto" w:fill="FFFF99"/>
          <w:rtl/>
        </w:rPr>
      </w:pPr>
      <w:hyperlink r:id="rId7" w:history="1">
        <w:r w:rsidRPr="00904889">
          <w:rPr>
            <w:rStyle w:val="Hyperlink"/>
            <w:rFonts w:hint="cs"/>
            <w:vanish/>
            <w:szCs w:val="20"/>
            <w:shd w:val="clear" w:color="auto" w:fill="FFFF99"/>
            <w:rtl/>
          </w:rPr>
          <w:t>ק"ת תשפ"ב מס' 9812</w:t>
        </w:r>
      </w:hyperlink>
      <w:r w:rsidRPr="00904889">
        <w:rPr>
          <w:rStyle w:val="default"/>
          <w:rFonts w:cs="FrankRuehl" w:hint="cs"/>
          <w:vanish/>
          <w:szCs w:val="20"/>
          <w:shd w:val="clear" w:color="auto" w:fill="FFFF99"/>
          <w:rtl/>
        </w:rPr>
        <w:t xml:space="preserve"> מיום 19.12.2021 עמ' 1178</w:t>
      </w:r>
    </w:p>
    <w:p w14:paraId="305CC46E" w14:textId="77777777" w:rsidR="000361AC" w:rsidRPr="00904889" w:rsidRDefault="000361AC" w:rsidP="000361AC">
      <w:pPr>
        <w:pStyle w:val="P00"/>
        <w:spacing w:before="0"/>
        <w:ind w:left="0" w:right="1134"/>
        <w:rPr>
          <w:rStyle w:val="default"/>
          <w:rFonts w:cs="FrankRuehl"/>
          <w:vanish/>
          <w:szCs w:val="20"/>
          <w:shd w:val="clear" w:color="auto" w:fill="FFFF99"/>
          <w:rtl/>
        </w:rPr>
      </w:pPr>
      <w:r w:rsidRPr="00904889">
        <w:rPr>
          <w:rStyle w:val="default"/>
          <w:rFonts w:cs="FrankRuehl" w:hint="cs"/>
          <w:b/>
          <w:bCs/>
          <w:vanish/>
          <w:szCs w:val="20"/>
          <w:shd w:val="clear" w:color="auto" w:fill="FFFF99"/>
          <w:rtl/>
        </w:rPr>
        <w:t>החלפת תקנה 3</w:t>
      </w:r>
    </w:p>
    <w:p w14:paraId="71E87438" w14:textId="77777777" w:rsidR="000361AC" w:rsidRPr="00904889" w:rsidRDefault="000361AC" w:rsidP="000361AC">
      <w:pPr>
        <w:pStyle w:val="P00"/>
        <w:ind w:left="0" w:right="1134"/>
        <w:rPr>
          <w:rStyle w:val="default"/>
          <w:rFonts w:cs="FrankRuehl"/>
          <w:vanish/>
          <w:szCs w:val="20"/>
          <w:shd w:val="clear" w:color="auto" w:fill="FFFF99"/>
          <w:rtl/>
        </w:rPr>
      </w:pPr>
      <w:r w:rsidRPr="00904889">
        <w:rPr>
          <w:rStyle w:val="default"/>
          <w:rFonts w:cs="FrankRuehl" w:hint="cs"/>
          <w:vanish/>
          <w:szCs w:val="20"/>
          <w:shd w:val="clear" w:color="auto" w:fill="FFFF99"/>
          <w:rtl/>
        </w:rPr>
        <w:t>הנוסח הקודם:</w:t>
      </w:r>
    </w:p>
    <w:p w14:paraId="7DBF7463" w14:textId="77777777" w:rsidR="000361AC" w:rsidRPr="00904889" w:rsidRDefault="000361AC" w:rsidP="000361AC">
      <w:pPr>
        <w:pStyle w:val="P00"/>
        <w:spacing w:before="20"/>
        <w:ind w:left="0" w:right="1134"/>
        <w:rPr>
          <w:rStyle w:val="default"/>
          <w:rFonts w:ascii="Miriam" w:hAnsi="Miriam" w:cs="Miriam"/>
          <w:strike/>
          <w:vanish/>
          <w:sz w:val="16"/>
          <w:szCs w:val="16"/>
          <w:shd w:val="clear" w:color="auto" w:fill="FFFF99"/>
          <w:rtl/>
        </w:rPr>
      </w:pPr>
      <w:r w:rsidRPr="00904889">
        <w:rPr>
          <w:rStyle w:val="default"/>
          <w:rFonts w:ascii="Miriam" w:hAnsi="Miriam" w:cs="Miriam"/>
          <w:strike/>
          <w:vanish/>
          <w:sz w:val="16"/>
          <w:szCs w:val="16"/>
          <w:shd w:val="clear" w:color="auto" w:fill="FFFF99"/>
          <w:rtl/>
        </w:rPr>
        <w:t>דיון בבקשה</w:t>
      </w:r>
    </w:p>
    <w:p w14:paraId="34E0F779" w14:textId="77777777" w:rsidR="000361AC" w:rsidRPr="00904889" w:rsidRDefault="000361AC" w:rsidP="000361AC">
      <w:pPr>
        <w:pStyle w:val="P00"/>
        <w:spacing w:before="0"/>
        <w:ind w:left="0" w:right="1134"/>
        <w:rPr>
          <w:rStyle w:val="default"/>
          <w:rFonts w:cs="FrankRuehl"/>
          <w:strike/>
          <w:vanish/>
          <w:sz w:val="16"/>
          <w:szCs w:val="22"/>
          <w:shd w:val="clear" w:color="auto" w:fill="FFFF99"/>
          <w:rtl/>
        </w:rPr>
      </w:pPr>
      <w:r w:rsidRPr="00904889">
        <w:rPr>
          <w:rStyle w:val="default"/>
          <w:rFonts w:cs="FrankRuehl"/>
          <w:strike/>
          <w:vanish/>
          <w:sz w:val="16"/>
          <w:szCs w:val="22"/>
          <w:shd w:val="clear" w:color="auto" w:fill="FFFF99"/>
          <w:rtl/>
        </w:rPr>
        <w:t>3.</w:t>
      </w:r>
      <w:r w:rsidRPr="00904889">
        <w:rPr>
          <w:rStyle w:val="default"/>
          <w:rFonts w:cs="FrankRuehl"/>
          <w:strike/>
          <w:vanish/>
          <w:sz w:val="16"/>
          <w:szCs w:val="22"/>
          <w:shd w:val="clear" w:color="auto" w:fill="FFFF99"/>
          <w:rtl/>
        </w:rPr>
        <w:tab/>
        <w:t>(</w:t>
      </w:r>
      <w:r w:rsidRPr="00904889">
        <w:rPr>
          <w:rStyle w:val="default"/>
          <w:rFonts w:cs="FrankRuehl" w:hint="cs"/>
          <w:strike/>
          <w:vanish/>
          <w:sz w:val="16"/>
          <w:szCs w:val="22"/>
          <w:shd w:val="clear" w:color="auto" w:fill="FFFF99"/>
          <w:rtl/>
        </w:rPr>
        <w:t>א)</w:t>
      </w:r>
      <w:r w:rsidRPr="00904889">
        <w:rPr>
          <w:rStyle w:val="default"/>
          <w:rFonts w:cs="FrankRuehl"/>
          <w:strike/>
          <w:vanish/>
          <w:sz w:val="16"/>
          <w:szCs w:val="22"/>
          <w:shd w:val="clear" w:color="auto" w:fill="FFFF99"/>
          <w:rtl/>
        </w:rPr>
        <w:tab/>
      </w:r>
      <w:r w:rsidRPr="00904889">
        <w:rPr>
          <w:rStyle w:val="default"/>
          <w:rFonts w:cs="FrankRuehl" w:hint="cs"/>
          <w:strike/>
          <w:vanish/>
          <w:sz w:val="16"/>
          <w:szCs w:val="22"/>
          <w:shd w:val="clear" w:color="auto" w:fill="FFFF99"/>
          <w:rtl/>
        </w:rPr>
        <w:t xml:space="preserve">הוגשה בקשה, יקבע בית המשפט תאריך לדיון בה בטרם החלה פרשת התביעה; בדיון כאמור ישמע בית </w:t>
      </w:r>
      <w:r w:rsidRPr="00904889">
        <w:rPr>
          <w:rStyle w:val="default"/>
          <w:rFonts w:cs="FrankRuehl"/>
          <w:strike/>
          <w:vanish/>
          <w:sz w:val="16"/>
          <w:szCs w:val="22"/>
          <w:shd w:val="clear" w:color="auto" w:fill="FFFF99"/>
          <w:rtl/>
        </w:rPr>
        <w:t>ה</w:t>
      </w:r>
      <w:r w:rsidRPr="00904889">
        <w:rPr>
          <w:rStyle w:val="default"/>
          <w:rFonts w:cs="FrankRuehl" w:hint="cs"/>
          <w:strike/>
          <w:vanish/>
          <w:sz w:val="16"/>
          <w:szCs w:val="22"/>
          <w:shd w:val="clear" w:color="auto" w:fill="FFFF99"/>
          <w:rtl/>
        </w:rPr>
        <w:t xml:space="preserve">משפט את טענות בעלי הדין לענין הבקשה ויחליט על הדרך שבה תישמע העדות של המתלונן, כאמור בתקנה 4. </w:t>
      </w:r>
    </w:p>
    <w:p w14:paraId="35829A06" w14:textId="77777777" w:rsidR="008B6364" w:rsidRPr="00904889" w:rsidRDefault="008B6364" w:rsidP="000361AC">
      <w:pPr>
        <w:pStyle w:val="P00"/>
        <w:spacing w:before="0"/>
        <w:ind w:left="0" w:right="1134"/>
        <w:rPr>
          <w:rStyle w:val="default"/>
          <w:rFonts w:cs="FrankRuehl"/>
          <w:strike/>
          <w:vanish/>
          <w:sz w:val="16"/>
          <w:szCs w:val="22"/>
          <w:shd w:val="clear" w:color="auto" w:fill="FFFF99"/>
          <w:rtl/>
        </w:rPr>
      </w:pPr>
      <w:r w:rsidRPr="00904889">
        <w:rPr>
          <w:rStyle w:val="default"/>
          <w:rFonts w:cs="FrankRuehl"/>
          <w:vanish/>
          <w:sz w:val="16"/>
          <w:szCs w:val="22"/>
          <w:shd w:val="clear" w:color="auto" w:fill="FFFF99"/>
          <w:rtl/>
        </w:rPr>
        <w:tab/>
      </w:r>
      <w:r w:rsidRPr="00904889">
        <w:rPr>
          <w:rStyle w:val="default"/>
          <w:rFonts w:cs="FrankRuehl"/>
          <w:strike/>
          <w:vanish/>
          <w:sz w:val="16"/>
          <w:szCs w:val="22"/>
          <w:shd w:val="clear" w:color="auto" w:fill="FFFF99"/>
          <w:rtl/>
        </w:rPr>
        <w:t>(</w:t>
      </w:r>
      <w:r w:rsidRPr="00904889">
        <w:rPr>
          <w:rStyle w:val="default"/>
          <w:rFonts w:cs="FrankRuehl" w:hint="cs"/>
          <w:strike/>
          <w:vanish/>
          <w:sz w:val="16"/>
          <w:szCs w:val="22"/>
          <w:shd w:val="clear" w:color="auto" w:fill="FFFF99"/>
          <w:rtl/>
        </w:rPr>
        <w:t>ב)</w:t>
      </w:r>
      <w:r w:rsidRPr="00904889">
        <w:rPr>
          <w:rStyle w:val="default"/>
          <w:rFonts w:cs="FrankRuehl"/>
          <w:strike/>
          <w:vanish/>
          <w:sz w:val="16"/>
          <w:szCs w:val="22"/>
          <w:shd w:val="clear" w:color="auto" w:fill="FFFF99"/>
          <w:rtl/>
        </w:rPr>
        <w:tab/>
      </w:r>
      <w:r w:rsidRPr="00904889">
        <w:rPr>
          <w:rStyle w:val="default"/>
          <w:rFonts w:cs="FrankRuehl" w:hint="cs"/>
          <w:strike/>
          <w:vanish/>
          <w:sz w:val="16"/>
          <w:szCs w:val="22"/>
          <w:shd w:val="clear" w:color="auto" w:fill="FFFF99"/>
          <w:rtl/>
        </w:rPr>
        <w:t>לא היה הנאשם מיוצג, יקבע בית המשפט את מועד הדיון כאמור בתקנת משנה (א) לאחר שמינה לו סניגור.</w:t>
      </w:r>
    </w:p>
    <w:p w14:paraId="6E5BB371" w14:textId="77777777" w:rsidR="008B6364" w:rsidRPr="00904889" w:rsidRDefault="008B6364" w:rsidP="00904889">
      <w:pPr>
        <w:pStyle w:val="P00"/>
        <w:spacing w:before="0"/>
        <w:ind w:left="0" w:right="1134"/>
        <w:rPr>
          <w:rStyle w:val="default"/>
          <w:rFonts w:cs="FrankRuehl"/>
          <w:strike/>
          <w:sz w:val="2"/>
          <w:szCs w:val="2"/>
          <w:rtl/>
        </w:rPr>
      </w:pPr>
      <w:r w:rsidRPr="00904889">
        <w:rPr>
          <w:rStyle w:val="default"/>
          <w:rFonts w:cs="FrankRuehl"/>
          <w:vanish/>
          <w:sz w:val="16"/>
          <w:szCs w:val="22"/>
          <w:shd w:val="clear" w:color="auto" w:fill="FFFF99"/>
          <w:rtl/>
        </w:rPr>
        <w:tab/>
      </w:r>
      <w:r w:rsidRPr="00904889">
        <w:rPr>
          <w:rStyle w:val="default"/>
          <w:rFonts w:cs="FrankRuehl"/>
          <w:strike/>
          <w:vanish/>
          <w:sz w:val="16"/>
          <w:szCs w:val="22"/>
          <w:shd w:val="clear" w:color="auto" w:fill="FFFF99"/>
          <w:rtl/>
        </w:rPr>
        <w:t>(</w:t>
      </w:r>
      <w:r w:rsidRPr="00904889">
        <w:rPr>
          <w:rStyle w:val="default"/>
          <w:rFonts w:cs="FrankRuehl" w:hint="cs"/>
          <w:strike/>
          <w:vanish/>
          <w:sz w:val="16"/>
          <w:szCs w:val="22"/>
          <w:shd w:val="clear" w:color="auto" w:fill="FFFF99"/>
          <w:rtl/>
        </w:rPr>
        <w:t>ג)</w:t>
      </w:r>
      <w:r w:rsidRPr="00904889">
        <w:rPr>
          <w:rStyle w:val="default"/>
          <w:rFonts w:cs="FrankRuehl"/>
          <w:strike/>
          <w:vanish/>
          <w:sz w:val="16"/>
          <w:szCs w:val="22"/>
          <w:shd w:val="clear" w:color="auto" w:fill="FFFF99"/>
          <w:rtl/>
        </w:rPr>
        <w:tab/>
      </w:r>
      <w:r w:rsidRPr="00904889">
        <w:rPr>
          <w:rStyle w:val="default"/>
          <w:rFonts w:cs="FrankRuehl" w:hint="cs"/>
          <w:strike/>
          <w:vanish/>
          <w:sz w:val="16"/>
          <w:szCs w:val="22"/>
          <w:shd w:val="clear" w:color="auto" w:fill="FFFF99"/>
          <w:rtl/>
        </w:rPr>
        <w:t>בנסיבות האמורות בתקנה 2, יפסיק בית המשפט את מתן העדות ויקיים דיון כאמור בתקנות משנה (א) ו-(ב), לפי הענין.</w:t>
      </w:r>
      <w:bookmarkEnd w:id="4"/>
    </w:p>
    <w:p w14:paraId="4EFFD908" w14:textId="77777777" w:rsidR="008B6364" w:rsidRDefault="008B6364">
      <w:pPr>
        <w:pStyle w:val="P00"/>
        <w:spacing w:before="72"/>
        <w:ind w:left="0" w:right="1134"/>
        <w:rPr>
          <w:rStyle w:val="default"/>
          <w:rFonts w:cs="FrankRuehl"/>
          <w:rtl/>
        </w:rPr>
      </w:pPr>
      <w:bookmarkStart w:id="5" w:name="Seif3"/>
      <w:bookmarkEnd w:id="5"/>
      <w:r>
        <w:rPr>
          <w:lang w:val="he-IL"/>
        </w:rPr>
        <w:pict w14:anchorId="3446044C">
          <v:rect id="_x0000_s2053" style="position:absolute;left:0;text-align:left;margin-left:464.5pt;margin-top:8.05pt;width:75.05pt;height:19.35pt;z-index:251658240" o:allowincell="f" filled="f" stroked="f" strokecolor="lime" strokeweight=".25pt">
            <v:textbox style="mso-next-textbox:#_x0000_s2053" inset="0,0,0,0">
              <w:txbxContent>
                <w:p w14:paraId="6472D1E2" w14:textId="77777777" w:rsidR="008B6364" w:rsidRDefault="008B6364">
                  <w:pPr>
                    <w:spacing w:line="160" w:lineRule="exact"/>
                    <w:jc w:val="left"/>
                    <w:rPr>
                      <w:rFonts w:cs="Miriam"/>
                      <w:noProof/>
                      <w:szCs w:val="18"/>
                      <w:rtl/>
                    </w:rPr>
                  </w:pPr>
                  <w:r>
                    <w:rPr>
                      <w:rFonts w:cs="Miriam"/>
                      <w:szCs w:val="18"/>
                      <w:rtl/>
                    </w:rPr>
                    <w:t>ש</w:t>
                  </w:r>
                  <w:r>
                    <w:rPr>
                      <w:rFonts w:cs="Miriam" w:hint="cs"/>
                      <w:szCs w:val="18"/>
                      <w:rtl/>
                    </w:rPr>
                    <w:t>מיעת עדות המתלונן</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בית המשפט שהמתלונן יתן את עדותו שלא בנוכחות הנאשם, רשאי הוא להורות שהעדות תישמע באמצעות מערכת טלוו</w:t>
      </w:r>
      <w:r>
        <w:rPr>
          <w:rStyle w:val="default"/>
          <w:rFonts w:cs="FrankRuehl"/>
          <w:rtl/>
        </w:rPr>
        <w:t>י</w:t>
      </w:r>
      <w:r>
        <w:rPr>
          <w:rStyle w:val="default"/>
          <w:rFonts w:cs="FrankRuehl" w:hint="cs"/>
          <w:rtl/>
        </w:rPr>
        <w:t>זיה במעגל סגור או בדרך אחרת, הכל כפי שיקבע בית המשפט בהתאם לתנאים הקבועים בחוק לענין מתן עדות מתלונן שלא בנוכחות הנאשם.</w:t>
      </w:r>
    </w:p>
    <w:p w14:paraId="4835DFCC" w14:textId="77777777" w:rsidR="008B6364" w:rsidRDefault="008B636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נבצר מבית המשפט לשמוע את עדות המתלונן כאמור בתקנת משנה (א) במקום מושבו, רשאי הוא לשמוע את העדות במקום אחר כאמור בסעיפים 34 ו-44 לח</w:t>
      </w:r>
      <w:r>
        <w:rPr>
          <w:rStyle w:val="default"/>
          <w:rFonts w:cs="FrankRuehl"/>
          <w:rtl/>
        </w:rPr>
        <w:t>ו</w:t>
      </w:r>
      <w:r>
        <w:rPr>
          <w:rStyle w:val="default"/>
          <w:rFonts w:cs="FrankRuehl" w:hint="cs"/>
          <w:rtl/>
        </w:rPr>
        <w:t xml:space="preserve">ק בתי המשפט [נוסח משולב], תשמ"ד-1984. </w:t>
      </w:r>
    </w:p>
    <w:p w14:paraId="55D7716C" w14:textId="77777777" w:rsidR="008B6364" w:rsidRDefault="008B6364">
      <w:pPr>
        <w:pStyle w:val="P00"/>
        <w:spacing w:before="72"/>
        <w:ind w:left="0" w:right="1134"/>
        <w:rPr>
          <w:rStyle w:val="default"/>
          <w:rFonts w:cs="FrankRuehl" w:hint="cs"/>
          <w:rtl/>
        </w:rPr>
      </w:pPr>
      <w:bookmarkStart w:id="6" w:name="Seif4"/>
      <w:bookmarkEnd w:id="6"/>
      <w:r>
        <w:rPr>
          <w:lang w:val="he-IL"/>
        </w:rPr>
        <w:pict w14:anchorId="7D1FACE0">
          <v:rect id="_x0000_s2054" style="position:absolute;left:0;text-align:left;margin-left:464.5pt;margin-top:8.05pt;width:75.05pt;height:9.2pt;z-index:251659264" o:allowincell="f" filled="f" stroked="f" strokecolor="lime" strokeweight=".25pt">
            <v:textbox style="mso-next-textbox:#_x0000_s2054" inset="0,0,0,0">
              <w:txbxContent>
                <w:p w14:paraId="7DE01680" w14:textId="77777777" w:rsidR="008B6364" w:rsidRDefault="008B636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חילתן של תקנות אלה ביום כ"ב בטבת תשנ"ז (1 בינואר 1997).</w:t>
      </w:r>
    </w:p>
    <w:p w14:paraId="45270DAE" w14:textId="77777777" w:rsidR="008B6364" w:rsidRDefault="008B6364">
      <w:pPr>
        <w:pStyle w:val="P00"/>
        <w:spacing w:before="72"/>
        <w:ind w:left="0" w:right="1134"/>
        <w:rPr>
          <w:rStyle w:val="default"/>
          <w:rFonts w:cs="FrankRuehl" w:hint="cs"/>
          <w:rtl/>
        </w:rPr>
      </w:pPr>
    </w:p>
    <w:p w14:paraId="0644B710" w14:textId="77777777" w:rsidR="008B6364" w:rsidRDefault="008B6364">
      <w:pPr>
        <w:pStyle w:val="P00"/>
        <w:spacing w:before="72"/>
        <w:ind w:left="0" w:right="1134"/>
        <w:rPr>
          <w:rStyle w:val="default"/>
          <w:rFonts w:cs="FrankRuehl"/>
          <w:rtl/>
        </w:rPr>
      </w:pPr>
    </w:p>
    <w:p w14:paraId="152F950A" w14:textId="77777777" w:rsidR="008B6364" w:rsidRDefault="008B6364">
      <w:pPr>
        <w:pStyle w:val="sig-0"/>
        <w:ind w:left="0" w:right="1134"/>
        <w:rPr>
          <w:rtl/>
        </w:rPr>
      </w:pPr>
      <w:r>
        <w:rPr>
          <w:rtl/>
        </w:rPr>
        <w:t>י</w:t>
      </w:r>
      <w:r>
        <w:rPr>
          <w:rFonts w:hint="cs"/>
          <w:rtl/>
        </w:rPr>
        <w:t>"ב בטבת תשנ"ז (22 בדצמבר 1996)</w:t>
      </w:r>
      <w:r>
        <w:rPr>
          <w:rtl/>
        </w:rPr>
        <w:tab/>
      </w:r>
      <w:r>
        <w:rPr>
          <w:rFonts w:hint="cs"/>
          <w:rtl/>
        </w:rPr>
        <w:t>צחי הנגבי</w:t>
      </w:r>
    </w:p>
    <w:p w14:paraId="5D756B43" w14:textId="77777777" w:rsidR="008B6364" w:rsidRDefault="008B6364">
      <w:pPr>
        <w:pStyle w:val="sig-1"/>
        <w:widowControl/>
        <w:ind w:left="0" w:right="1134"/>
        <w:rPr>
          <w:rtl/>
        </w:rPr>
      </w:pPr>
      <w:r>
        <w:rPr>
          <w:rtl/>
        </w:rPr>
        <w:tab/>
      </w:r>
      <w:r>
        <w:rPr>
          <w:rtl/>
        </w:rPr>
        <w:tab/>
      </w:r>
      <w:r>
        <w:rPr>
          <w:rtl/>
        </w:rPr>
        <w:tab/>
      </w:r>
      <w:r>
        <w:rPr>
          <w:rFonts w:hint="cs"/>
          <w:rtl/>
        </w:rPr>
        <w:t>שר המשפטים</w:t>
      </w:r>
    </w:p>
    <w:p w14:paraId="7CA0BFE1" w14:textId="77777777" w:rsidR="008B6364" w:rsidRDefault="008B6364">
      <w:pPr>
        <w:pStyle w:val="P00"/>
        <w:spacing w:before="72"/>
        <w:ind w:left="0" w:right="1134"/>
        <w:rPr>
          <w:rStyle w:val="default"/>
          <w:rFonts w:cs="FrankRuehl"/>
          <w:rtl/>
        </w:rPr>
      </w:pPr>
    </w:p>
    <w:p w14:paraId="3DEE1313" w14:textId="77777777" w:rsidR="008B6364" w:rsidRDefault="008B6364">
      <w:pPr>
        <w:pStyle w:val="P00"/>
        <w:spacing w:before="72"/>
        <w:ind w:left="0" w:right="1134"/>
        <w:rPr>
          <w:rStyle w:val="default"/>
          <w:rFonts w:cs="FrankRuehl"/>
          <w:rtl/>
        </w:rPr>
      </w:pPr>
    </w:p>
    <w:p w14:paraId="715E8EF3" w14:textId="77777777" w:rsidR="008B6364" w:rsidRDefault="008B6364">
      <w:pPr>
        <w:pStyle w:val="P00"/>
        <w:spacing w:before="72"/>
        <w:ind w:left="0" w:right="1134"/>
        <w:rPr>
          <w:rStyle w:val="default"/>
          <w:rFonts w:cs="FrankRuehl"/>
          <w:rtl/>
        </w:rPr>
      </w:pPr>
      <w:bookmarkStart w:id="7" w:name="LawPartEnd"/>
    </w:p>
    <w:bookmarkEnd w:id="7"/>
    <w:p w14:paraId="539EF251" w14:textId="77777777" w:rsidR="008B6364" w:rsidRDefault="008B6364">
      <w:pPr>
        <w:pStyle w:val="P00"/>
        <w:spacing w:before="72"/>
        <w:ind w:left="0" w:right="1134"/>
        <w:rPr>
          <w:rStyle w:val="default"/>
          <w:rFonts w:cs="FrankRuehl"/>
          <w:rtl/>
        </w:rPr>
      </w:pPr>
    </w:p>
    <w:sectPr w:rsidR="008B636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C0F62" w14:textId="77777777" w:rsidR="00D26852" w:rsidRDefault="00D26852">
      <w:r>
        <w:separator/>
      </w:r>
    </w:p>
  </w:endnote>
  <w:endnote w:type="continuationSeparator" w:id="0">
    <w:p w14:paraId="6F76476F" w14:textId="77777777" w:rsidR="00D26852" w:rsidRDefault="00D2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D271" w14:textId="77777777" w:rsidR="008B6364" w:rsidRDefault="008B63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2230BEC" w14:textId="77777777" w:rsidR="008B6364" w:rsidRDefault="008B63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8D3287" w14:textId="77777777" w:rsidR="008B6364" w:rsidRDefault="008B63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Z:\000000000000-law\yael\07-05-15\055_069.doc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9731" w14:textId="77777777" w:rsidR="008B6364" w:rsidRDefault="008B636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2B35">
      <w:rPr>
        <w:rFonts w:hAnsi="FrankRuehl" w:cs="FrankRuehl"/>
        <w:noProof/>
        <w:sz w:val="24"/>
        <w:szCs w:val="24"/>
        <w:rtl/>
      </w:rPr>
      <w:t>2</w:t>
    </w:r>
    <w:r>
      <w:rPr>
        <w:rFonts w:hAnsi="FrankRuehl" w:cs="FrankRuehl"/>
        <w:sz w:val="24"/>
        <w:szCs w:val="24"/>
        <w:rtl/>
      </w:rPr>
      <w:fldChar w:fldCharType="end"/>
    </w:r>
  </w:p>
  <w:p w14:paraId="61A23985" w14:textId="77777777" w:rsidR="008B6364" w:rsidRDefault="008B636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8593EF" w14:textId="77777777" w:rsidR="008B6364" w:rsidRDefault="008B636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Z:\000000000000-law\yael\07-05-15\055_069.doc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80257" w14:textId="77777777" w:rsidR="00D26852" w:rsidRDefault="00D26852">
      <w:pPr>
        <w:spacing w:before="60" w:line="240" w:lineRule="auto"/>
        <w:ind w:right="1134"/>
      </w:pPr>
      <w:r>
        <w:separator/>
      </w:r>
    </w:p>
  </w:footnote>
  <w:footnote w:type="continuationSeparator" w:id="0">
    <w:p w14:paraId="670A4E59" w14:textId="77777777" w:rsidR="00D26852" w:rsidRDefault="00D26852">
      <w:pPr>
        <w:spacing w:before="60" w:line="240" w:lineRule="auto"/>
        <w:ind w:right="1134"/>
      </w:pPr>
      <w:r>
        <w:separator/>
      </w:r>
    </w:p>
  </w:footnote>
  <w:footnote w:id="1">
    <w:p w14:paraId="58272B05" w14:textId="77777777" w:rsidR="008B6364" w:rsidRDefault="008B63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תשנ"ז מס' 5801</w:t>
        </w:r>
      </w:hyperlink>
      <w:r>
        <w:rPr>
          <w:rFonts w:hint="cs"/>
          <w:sz w:val="20"/>
          <w:rtl/>
        </w:rPr>
        <w:t xml:space="preserve"> מיום 24.12.1996 עמ'</w:t>
      </w:r>
      <w:r>
        <w:rPr>
          <w:sz w:val="20"/>
          <w:rtl/>
        </w:rPr>
        <w:t xml:space="preserve"> 275.</w:t>
      </w:r>
    </w:p>
    <w:p w14:paraId="71AA5487" w14:textId="77777777" w:rsidR="009E2B35" w:rsidRDefault="000361AC" w:rsidP="009E2B3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9E2B35">
          <w:rPr>
            <w:rStyle w:val="Hyperlink"/>
            <w:rFonts w:hint="cs"/>
            <w:sz w:val="20"/>
            <w:rtl/>
          </w:rPr>
          <w:t>ק"ת תשפ"ב מס' 9812</w:t>
        </w:r>
      </w:hyperlink>
      <w:r>
        <w:rPr>
          <w:rFonts w:hint="cs"/>
          <w:sz w:val="20"/>
          <w:rtl/>
        </w:rPr>
        <w:t xml:space="preserve"> מיום 19.12.2021 עמ' 1178 </w:t>
      </w:r>
      <w:r>
        <w:rPr>
          <w:sz w:val="20"/>
          <w:rtl/>
        </w:rPr>
        <w:t>–</w:t>
      </w:r>
      <w:r>
        <w:rPr>
          <w:rFonts w:hint="cs"/>
          <w:sz w:val="20"/>
          <w:rtl/>
        </w:rPr>
        <w:t xml:space="preserve"> תק' תשפ"ב-2021.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535D4" w14:textId="77777777" w:rsidR="008B6364" w:rsidRDefault="008B63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לתיקון סדרי הדין (חקירת עדים) (גביית עדות מתלונן בשל עבירת מין שלא בפני הנאשם), תשנ"ז–1996</w:t>
    </w:r>
  </w:p>
  <w:p w14:paraId="167ECC4D" w14:textId="77777777" w:rsidR="008B6364" w:rsidRDefault="008B6364">
    <w:pPr>
      <w:pStyle w:val="a3"/>
      <w:pBdr>
        <w:top w:val="single" w:sz="4" w:space="0" w:color="auto"/>
      </w:pBdr>
      <w:spacing w:line="220" w:lineRule="exact"/>
      <w:ind w:right="1134"/>
      <w:jc w:val="center"/>
      <w:rPr>
        <w:rFonts w:hAnsi="FrankRuehl" w:cs="FrankRuehl"/>
        <w:color w:val="000000"/>
        <w:sz w:val="26"/>
        <w:szCs w:val="26"/>
        <w:rtl/>
      </w:rPr>
    </w:pPr>
  </w:p>
  <w:p w14:paraId="197067FD" w14:textId="77777777" w:rsidR="008B6364" w:rsidRDefault="008B636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EDF4" w14:textId="77777777" w:rsidR="008B6364" w:rsidRDefault="008B63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לתיקון סדרי הדין (חקירת עדים) (גביית עדות מתלונן בשל עבירת מין שלא בפני הנאשם), תשנ"ז</w:t>
    </w:r>
    <w:r>
      <w:rPr>
        <w:rFonts w:hAnsi="FrankRuehl" w:cs="FrankRuehl" w:hint="cs"/>
        <w:color w:val="000000"/>
        <w:sz w:val="28"/>
        <w:szCs w:val="28"/>
        <w:rtl/>
      </w:rPr>
      <w:t>-</w:t>
    </w:r>
    <w:r>
      <w:rPr>
        <w:rFonts w:hAnsi="FrankRuehl" w:cs="FrankRuehl"/>
        <w:color w:val="000000"/>
        <w:sz w:val="28"/>
        <w:szCs w:val="28"/>
        <w:rtl/>
      </w:rPr>
      <w:t>1996</w:t>
    </w:r>
  </w:p>
  <w:p w14:paraId="38DE9A2F" w14:textId="77777777" w:rsidR="008B6364" w:rsidRDefault="008B636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CDD02B" w14:textId="77777777" w:rsidR="008B6364" w:rsidRDefault="008B636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364"/>
    <w:rsid w:val="000361AC"/>
    <w:rsid w:val="0004627D"/>
    <w:rsid w:val="00173FDB"/>
    <w:rsid w:val="002C085B"/>
    <w:rsid w:val="004423B2"/>
    <w:rsid w:val="005A16D6"/>
    <w:rsid w:val="00697995"/>
    <w:rsid w:val="00733976"/>
    <w:rsid w:val="008B6364"/>
    <w:rsid w:val="00904889"/>
    <w:rsid w:val="009E2B35"/>
    <w:rsid w:val="00B34CA7"/>
    <w:rsid w:val="00D268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29FA4F9"/>
  <w15:chartTrackingRefBased/>
  <w15:docId w15:val="{A8F7B9A6-F9F0-4A7A-885D-DBCFEEE5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customStyle="1" w:styleId="UnresolvedMention">
    <w:name w:val="Unresolved Mention"/>
    <w:uiPriority w:val="99"/>
    <w:semiHidden/>
    <w:unhideWhenUsed/>
    <w:rsid w:val="000361AC"/>
    <w:rPr>
      <w:color w:val="605E5C"/>
      <w:shd w:val="clear" w:color="auto" w:fill="E1DFDD"/>
    </w:rPr>
  </w:style>
  <w:style w:type="character" w:customStyle="1" w:styleId="P000">
    <w:name w:val="P00 תו"/>
    <w:link w:val="P00"/>
    <w:rsid w:val="000361AC"/>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vo.co.il/Law_word/law06/tak-981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981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812.pdf" TargetMode="External"/><Relationship Id="rId1" Type="http://schemas.openxmlformats.org/officeDocument/2006/relationships/hyperlink" Target="http://www.nevo.co.il/Law_word/law06/TAK-58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4032</CharactersWithSpaces>
  <SharedDoc>false</SharedDoc>
  <HLinks>
    <vt:vector size="54" baseType="variant">
      <vt:variant>
        <vt:i4>8126490</vt:i4>
      </vt:variant>
      <vt:variant>
        <vt:i4>33</vt:i4>
      </vt:variant>
      <vt:variant>
        <vt:i4>0</vt:i4>
      </vt:variant>
      <vt:variant>
        <vt:i4>5</vt:i4>
      </vt:variant>
      <vt:variant>
        <vt:lpwstr>https://www.nevo.co.il/Law_word/law06/tak-9812.pdf</vt:lpwstr>
      </vt:variant>
      <vt:variant>
        <vt:lpwstr/>
      </vt:variant>
      <vt:variant>
        <vt:i4>8126490</vt:i4>
      </vt:variant>
      <vt:variant>
        <vt:i4>30</vt:i4>
      </vt:variant>
      <vt:variant>
        <vt:i4>0</vt:i4>
      </vt:variant>
      <vt:variant>
        <vt:i4>5</vt:i4>
      </vt:variant>
      <vt:variant>
        <vt:lpwstr>https://www.nevo.co.il/Law_word/law06/tak-9812.pdf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8126490</vt:i4>
      </vt:variant>
      <vt:variant>
        <vt:i4>3</vt:i4>
      </vt:variant>
      <vt:variant>
        <vt:i4>0</vt:i4>
      </vt:variant>
      <vt:variant>
        <vt:i4>5</vt:i4>
      </vt:variant>
      <vt:variant>
        <vt:lpwstr>https://www.nevo.co.il/law_word/law06/tak-9812.pdf</vt:lpwstr>
      </vt:variant>
      <vt:variant>
        <vt:lpwstr/>
      </vt:variant>
      <vt:variant>
        <vt:i4>8126465</vt:i4>
      </vt:variant>
      <vt:variant>
        <vt:i4>0</vt:i4>
      </vt:variant>
      <vt:variant>
        <vt:i4>0</vt:i4>
      </vt:variant>
      <vt:variant>
        <vt:i4>5</vt:i4>
      </vt:variant>
      <vt:variant>
        <vt:lpwstr>http://www.nevo.co.il/Law_word/law06/TAK-5801.pdf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לתיקון סדרי הדין (חקירת עדים) (גביית עדות מתלונן בשל עבירת מין שלא בפני הנאשם), תשנ"ז-1996</vt:lpwstr>
  </property>
  <property fmtid="{D5CDD505-2E9C-101B-9397-08002B2CF9AE}" pid="5" name="LAWNUMBER">
    <vt:lpwstr>0069</vt:lpwstr>
  </property>
  <property fmtid="{D5CDD505-2E9C-101B-9397-08002B2CF9AE}" pid="6" name="TYPE">
    <vt:lpwstr>01</vt:lpwstr>
  </property>
  <property fmtid="{D5CDD505-2E9C-101B-9397-08002B2CF9AE}" pid="7" name="MEKOR_NAME1">
    <vt:lpwstr>חוק לתיקון סדרי הדין (חקירת עדים)</vt:lpwstr>
  </property>
  <property fmtid="{D5CDD505-2E9C-101B-9397-08002B2CF9AE}" pid="8" name="MEKOR_SAIF1">
    <vt:lpwstr>2בX</vt:lpwstr>
  </property>
  <property fmtid="{D5CDD505-2E9C-101B-9397-08002B2CF9AE}" pid="9" name="NOSE11">
    <vt:lpwstr>בתי משפט וסדרי דין</vt:lpwstr>
  </property>
  <property fmtid="{D5CDD505-2E9C-101B-9397-08002B2CF9AE}" pid="10" name="NOSE21">
    <vt:lpwstr>סדר דין פלילי</vt:lpwstr>
  </property>
  <property fmtid="{D5CDD505-2E9C-101B-9397-08002B2CF9AE}" pid="11" name="NOSE31">
    <vt:lpwstr>עדות</vt:lpwstr>
  </property>
  <property fmtid="{D5CDD505-2E9C-101B-9397-08002B2CF9AE}" pid="12" name="NOSE41">
    <vt:lpwstr/>
  </property>
  <property fmtid="{D5CDD505-2E9C-101B-9397-08002B2CF9AE}" pid="13" name="NOSE12">
    <vt:lpwstr>בתי משפט וסדרי דין</vt:lpwstr>
  </property>
  <property fmtid="{D5CDD505-2E9C-101B-9397-08002B2CF9AE}" pid="14" name="NOSE22">
    <vt:lpwstr>ראיות</vt:lpwstr>
  </property>
  <property fmtid="{D5CDD505-2E9C-101B-9397-08002B2CF9AE}" pid="15" name="NOSE32">
    <vt:lpwstr>עדות</vt:lpwstr>
  </property>
  <property fmtid="{D5CDD505-2E9C-101B-9397-08002B2CF9AE}" pid="16" name="NOSE42">
    <vt:lpwstr/>
  </property>
  <property fmtid="{D5CDD505-2E9C-101B-9397-08002B2CF9AE}" pid="17" name="NOSE13">
    <vt:lpwstr>עונשין ומשפט פלילי</vt:lpwstr>
  </property>
  <property fmtid="{D5CDD505-2E9C-101B-9397-08002B2CF9AE}" pid="18" name="NOSE23">
    <vt:lpwstr>עבירות</vt:lpwstr>
  </property>
  <property fmtid="{D5CDD505-2E9C-101B-9397-08002B2CF9AE}" pid="19" name="NOSE33">
    <vt:lpwstr>עבירות מין</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https://www.nevo.co.il/law_word/law06/tak-9812.pdf;‎רשומות - תקנות כלליות#תוקנו ק"ת תשפ"ב מס' ‏‏9812 #מיום 19.12.2021 עמ' 1178 – תק' תשפ"ב-2021‏</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