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B495" w14:textId="77777777" w:rsidR="00D25D5C" w:rsidRDefault="00094DD9" w:rsidP="00A71DAC">
      <w:pPr>
        <w:pStyle w:val="big-header"/>
        <w:ind w:left="0" w:right="1134"/>
        <w:rPr>
          <w:rFonts w:cs="FrankRuehl"/>
          <w:sz w:val="32"/>
        </w:rPr>
      </w:pPr>
      <w:r>
        <w:rPr>
          <w:rFonts w:cs="FrankRuehl" w:hint="cs"/>
          <w:sz w:val="32"/>
          <w:rtl/>
        </w:rPr>
        <w:t>תקנות מוסדות חינוך תרבותיים ייחודיים (</w:t>
      </w:r>
      <w:r w:rsidR="00A71DAC">
        <w:rPr>
          <w:rFonts w:cs="FrankRuehl" w:hint="cs"/>
          <w:sz w:val="32"/>
          <w:rtl/>
        </w:rPr>
        <w:t xml:space="preserve">סדרי הדין בוועדת ערר </w:t>
      </w:r>
      <w:r w:rsidR="00A71DAC">
        <w:rPr>
          <w:rFonts w:cs="FrankRuehl"/>
          <w:sz w:val="32"/>
          <w:rtl/>
        </w:rPr>
        <w:t>–</w:t>
      </w:r>
      <w:r w:rsidR="00A71DAC">
        <w:rPr>
          <w:rFonts w:cs="FrankRuehl" w:hint="cs"/>
          <w:sz w:val="32"/>
          <w:rtl/>
        </w:rPr>
        <w:t xml:space="preserve"> רישיון</w:t>
      </w:r>
      <w:r w:rsidR="00BD1625">
        <w:rPr>
          <w:rFonts w:cs="FrankRuehl" w:hint="cs"/>
          <w:sz w:val="32"/>
          <w:rtl/>
        </w:rPr>
        <w:t>)</w:t>
      </w:r>
      <w:r w:rsidR="008C2526">
        <w:rPr>
          <w:rFonts w:cs="FrankRuehl" w:hint="cs"/>
          <w:sz w:val="32"/>
          <w:rtl/>
        </w:rPr>
        <w:t>, תשס"ט-2009</w:t>
      </w:r>
    </w:p>
    <w:p w14:paraId="379A8F1F" w14:textId="77777777" w:rsidR="00DE52B1" w:rsidRDefault="00DE52B1" w:rsidP="00DE52B1">
      <w:pPr>
        <w:spacing w:line="320" w:lineRule="auto"/>
        <w:jc w:val="left"/>
        <w:rPr>
          <w:rtl/>
        </w:rPr>
      </w:pPr>
    </w:p>
    <w:p w14:paraId="3F716DAE" w14:textId="77777777" w:rsidR="00DE52B1" w:rsidRDefault="00DE52B1" w:rsidP="00DE52B1">
      <w:pPr>
        <w:spacing w:line="320" w:lineRule="auto"/>
        <w:jc w:val="left"/>
        <w:rPr>
          <w:rFonts w:cs="FrankRuehl"/>
          <w:szCs w:val="26"/>
          <w:rtl/>
        </w:rPr>
      </w:pPr>
      <w:r w:rsidRPr="00DE52B1">
        <w:rPr>
          <w:rFonts w:cs="Miriam"/>
          <w:szCs w:val="22"/>
          <w:rtl/>
        </w:rPr>
        <w:t>רשויות ומשפט מנהלי</w:t>
      </w:r>
      <w:r w:rsidRPr="00DE52B1">
        <w:rPr>
          <w:rFonts w:cs="FrankRuehl"/>
          <w:szCs w:val="26"/>
          <w:rtl/>
        </w:rPr>
        <w:t xml:space="preserve"> – חינוך – מוסדות חינוך – תרבותיים ייחודיים</w:t>
      </w:r>
    </w:p>
    <w:p w14:paraId="7D8988BE" w14:textId="77777777" w:rsidR="000E0D01" w:rsidRPr="00DE52B1" w:rsidRDefault="00DE52B1" w:rsidP="00DE52B1">
      <w:pPr>
        <w:spacing w:line="320" w:lineRule="auto"/>
        <w:jc w:val="left"/>
        <w:rPr>
          <w:rFonts w:cs="Miriam"/>
          <w:szCs w:val="22"/>
          <w:rtl/>
        </w:rPr>
      </w:pPr>
      <w:r w:rsidRPr="00DE52B1">
        <w:rPr>
          <w:rFonts w:cs="Miriam"/>
          <w:szCs w:val="22"/>
          <w:rtl/>
        </w:rPr>
        <w:t>רשויות ומשפט מנהלי</w:t>
      </w:r>
      <w:r w:rsidRPr="00DE52B1">
        <w:rPr>
          <w:rFonts w:cs="FrankRuehl"/>
          <w:szCs w:val="26"/>
          <w:rtl/>
        </w:rPr>
        <w:t xml:space="preserve"> – רישוי – ערר – סדרי דין</w:t>
      </w:r>
    </w:p>
    <w:p w14:paraId="204FEDBE"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4845" w:rsidRPr="004E4845" w14:paraId="081963D1" w14:textId="77777777">
        <w:tblPrEx>
          <w:tblCellMar>
            <w:top w:w="0" w:type="dxa"/>
            <w:bottom w:w="0" w:type="dxa"/>
          </w:tblCellMar>
        </w:tblPrEx>
        <w:tc>
          <w:tcPr>
            <w:tcW w:w="1247" w:type="dxa"/>
          </w:tcPr>
          <w:p w14:paraId="35604A4C" w14:textId="77777777" w:rsidR="004E4845" w:rsidRPr="004E4845" w:rsidRDefault="004E4845" w:rsidP="004E4845">
            <w:pPr>
              <w:spacing w:line="240" w:lineRule="auto"/>
              <w:jc w:val="left"/>
              <w:rPr>
                <w:rFonts w:cs="Frankruhel"/>
                <w:sz w:val="24"/>
                <w:rtl/>
              </w:rPr>
            </w:pPr>
            <w:r>
              <w:rPr>
                <w:rFonts w:cs="Times New Roman"/>
                <w:sz w:val="24"/>
                <w:rtl/>
              </w:rPr>
              <w:t xml:space="preserve">סעיף 1 </w:t>
            </w:r>
          </w:p>
        </w:tc>
        <w:tc>
          <w:tcPr>
            <w:tcW w:w="5669" w:type="dxa"/>
          </w:tcPr>
          <w:p w14:paraId="4A0F08E5" w14:textId="77777777" w:rsidR="004E4845" w:rsidRPr="004E4845" w:rsidRDefault="004E4845" w:rsidP="004E4845">
            <w:pPr>
              <w:spacing w:line="240" w:lineRule="auto"/>
              <w:jc w:val="left"/>
              <w:rPr>
                <w:rFonts w:cs="Frankruhel"/>
                <w:sz w:val="24"/>
                <w:rtl/>
              </w:rPr>
            </w:pPr>
            <w:r>
              <w:rPr>
                <w:rFonts w:cs="Times New Roman"/>
                <w:sz w:val="24"/>
                <w:rtl/>
              </w:rPr>
              <w:t>הגדרות</w:t>
            </w:r>
          </w:p>
        </w:tc>
        <w:tc>
          <w:tcPr>
            <w:tcW w:w="567" w:type="dxa"/>
          </w:tcPr>
          <w:p w14:paraId="3DD51760" w14:textId="77777777" w:rsidR="004E4845" w:rsidRPr="004E4845" w:rsidRDefault="004E4845" w:rsidP="004E4845">
            <w:pPr>
              <w:spacing w:line="240" w:lineRule="auto"/>
              <w:jc w:val="left"/>
              <w:rPr>
                <w:rStyle w:val="Hyperlink"/>
                <w:rtl/>
              </w:rPr>
            </w:pPr>
            <w:hyperlink w:anchor="Seif1" w:tooltip="הגדרות" w:history="1">
              <w:r w:rsidRPr="004E4845">
                <w:rPr>
                  <w:rStyle w:val="Hyperlink"/>
                </w:rPr>
                <w:t>Go</w:t>
              </w:r>
            </w:hyperlink>
          </w:p>
        </w:tc>
        <w:tc>
          <w:tcPr>
            <w:tcW w:w="850" w:type="dxa"/>
          </w:tcPr>
          <w:p w14:paraId="32EEA414"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7AD762AC" w14:textId="77777777">
        <w:tblPrEx>
          <w:tblCellMar>
            <w:top w:w="0" w:type="dxa"/>
            <w:bottom w:w="0" w:type="dxa"/>
          </w:tblCellMar>
        </w:tblPrEx>
        <w:tc>
          <w:tcPr>
            <w:tcW w:w="1247" w:type="dxa"/>
          </w:tcPr>
          <w:p w14:paraId="51170684" w14:textId="77777777" w:rsidR="004E4845" w:rsidRPr="004E4845" w:rsidRDefault="004E4845" w:rsidP="004E4845">
            <w:pPr>
              <w:spacing w:line="240" w:lineRule="auto"/>
              <w:jc w:val="left"/>
              <w:rPr>
                <w:rFonts w:cs="Frankruhel"/>
                <w:sz w:val="24"/>
                <w:rtl/>
              </w:rPr>
            </w:pPr>
            <w:r>
              <w:rPr>
                <w:rFonts w:cs="Times New Roman"/>
                <w:sz w:val="24"/>
                <w:rtl/>
              </w:rPr>
              <w:t xml:space="preserve">סעיף 2 </w:t>
            </w:r>
          </w:p>
        </w:tc>
        <w:tc>
          <w:tcPr>
            <w:tcW w:w="5669" w:type="dxa"/>
          </w:tcPr>
          <w:p w14:paraId="7B61DBA1" w14:textId="77777777" w:rsidR="004E4845" w:rsidRPr="004E4845" w:rsidRDefault="004E4845" w:rsidP="004E4845">
            <w:pPr>
              <w:spacing w:line="240" w:lineRule="auto"/>
              <w:jc w:val="left"/>
              <w:rPr>
                <w:rFonts w:cs="Frankruhel"/>
                <w:sz w:val="24"/>
                <w:rtl/>
              </w:rPr>
            </w:pPr>
            <w:r>
              <w:rPr>
                <w:rFonts w:cs="Times New Roman"/>
                <w:sz w:val="24"/>
                <w:rtl/>
              </w:rPr>
              <w:t>הכנת תיק</w:t>
            </w:r>
          </w:p>
        </w:tc>
        <w:tc>
          <w:tcPr>
            <w:tcW w:w="567" w:type="dxa"/>
          </w:tcPr>
          <w:p w14:paraId="74339BFB" w14:textId="77777777" w:rsidR="004E4845" w:rsidRPr="004E4845" w:rsidRDefault="004E4845" w:rsidP="004E4845">
            <w:pPr>
              <w:spacing w:line="240" w:lineRule="auto"/>
              <w:jc w:val="left"/>
              <w:rPr>
                <w:rStyle w:val="Hyperlink"/>
                <w:rtl/>
              </w:rPr>
            </w:pPr>
            <w:hyperlink w:anchor="Seif2" w:tooltip="הכנת תיק" w:history="1">
              <w:r w:rsidRPr="004E4845">
                <w:rPr>
                  <w:rStyle w:val="Hyperlink"/>
                </w:rPr>
                <w:t>Go</w:t>
              </w:r>
            </w:hyperlink>
          </w:p>
        </w:tc>
        <w:tc>
          <w:tcPr>
            <w:tcW w:w="850" w:type="dxa"/>
          </w:tcPr>
          <w:p w14:paraId="7AF3ECFB"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3C1DF9A1" w14:textId="77777777">
        <w:tblPrEx>
          <w:tblCellMar>
            <w:top w:w="0" w:type="dxa"/>
            <w:bottom w:w="0" w:type="dxa"/>
          </w:tblCellMar>
        </w:tblPrEx>
        <w:tc>
          <w:tcPr>
            <w:tcW w:w="1247" w:type="dxa"/>
          </w:tcPr>
          <w:p w14:paraId="33F16CAD" w14:textId="77777777" w:rsidR="004E4845" w:rsidRPr="004E4845" w:rsidRDefault="004E4845" w:rsidP="004E4845">
            <w:pPr>
              <w:spacing w:line="240" w:lineRule="auto"/>
              <w:jc w:val="left"/>
              <w:rPr>
                <w:rFonts w:cs="Frankruhel"/>
                <w:sz w:val="24"/>
                <w:rtl/>
              </w:rPr>
            </w:pPr>
            <w:r>
              <w:rPr>
                <w:rFonts w:cs="Times New Roman"/>
                <w:sz w:val="24"/>
                <w:rtl/>
              </w:rPr>
              <w:t xml:space="preserve">סעיף 3 </w:t>
            </w:r>
          </w:p>
        </w:tc>
        <w:tc>
          <w:tcPr>
            <w:tcW w:w="5669" w:type="dxa"/>
          </w:tcPr>
          <w:p w14:paraId="4FE2FCFE" w14:textId="77777777" w:rsidR="004E4845" w:rsidRPr="004E4845" w:rsidRDefault="004E4845" w:rsidP="004E4845">
            <w:pPr>
              <w:spacing w:line="240" w:lineRule="auto"/>
              <w:jc w:val="left"/>
              <w:rPr>
                <w:rFonts w:cs="Frankruhel"/>
                <w:sz w:val="24"/>
                <w:rtl/>
              </w:rPr>
            </w:pPr>
            <w:r>
              <w:rPr>
                <w:rFonts w:cs="Times New Roman"/>
                <w:sz w:val="24"/>
                <w:rtl/>
              </w:rPr>
              <w:t>עיון בתיק</w:t>
            </w:r>
          </w:p>
        </w:tc>
        <w:tc>
          <w:tcPr>
            <w:tcW w:w="567" w:type="dxa"/>
          </w:tcPr>
          <w:p w14:paraId="52107570" w14:textId="77777777" w:rsidR="004E4845" w:rsidRPr="004E4845" w:rsidRDefault="004E4845" w:rsidP="004E4845">
            <w:pPr>
              <w:spacing w:line="240" w:lineRule="auto"/>
              <w:jc w:val="left"/>
              <w:rPr>
                <w:rStyle w:val="Hyperlink"/>
                <w:rtl/>
              </w:rPr>
            </w:pPr>
            <w:hyperlink w:anchor="Seif3" w:tooltip="עיון בתיק" w:history="1">
              <w:r w:rsidRPr="004E4845">
                <w:rPr>
                  <w:rStyle w:val="Hyperlink"/>
                </w:rPr>
                <w:t>Go</w:t>
              </w:r>
            </w:hyperlink>
          </w:p>
        </w:tc>
        <w:tc>
          <w:tcPr>
            <w:tcW w:w="850" w:type="dxa"/>
          </w:tcPr>
          <w:p w14:paraId="5C76295F"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39AFBC7A" w14:textId="77777777">
        <w:tblPrEx>
          <w:tblCellMar>
            <w:top w:w="0" w:type="dxa"/>
            <w:bottom w:w="0" w:type="dxa"/>
          </w:tblCellMar>
        </w:tblPrEx>
        <w:tc>
          <w:tcPr>
            <w:tcW w:w="1247" w:type="dxa"/>
          </w:tcPr>
          <w:p w14:paraId="64FE6057" w14:textId="77777777" w:rsidR="004E4845" w:rsidRPr="004E4845" w:rsidRDefault="004E4845" w:rsidP="004E4845">
            <w:pPr>
              <w:spacing w:line="240" w:lineRule="auto"/>
              <w:jc w:val="left"/>
              <w:rPr>
                <w:rFonts w:cs="Frankruhel"/>
                <w:sz w:val="24"/>
                <w:rtl/>
              </w:rPr>
            </w:pPr>
            <w:r>
              <w:rPr>
                <w:rFonts w:cs="Times New Roman"/>
                <w:sz w:val="24"/>
                <w:rtl/>
              </w:rPr>
              <w:t xml:space="preserve">סעיף 4 </w:t>
            </w:r>
          </w:p>
        </w:tc>
        <w:tc>
          <w:tcPr>
            <w:tcW w:w="5669" w:type="dxa"/>
          </w:tcPr>
          <w:p w14:paraId="0DC2D50E" w14:textId="77777777" w:rsidR="004E4845" w:rsidRPr="004E4845" w:rsidRDefault="004E4845" w:rsidP="004E4845">
            <w:pPr>
              <w:spacing w:line="240" w:lineRule="auto"/>
              <w:jc w:val="left"/>
              <w:rPr>
                <w:rFonts w:cs="Frankruhel"/>
                <w:sz w:val="24"/>
                <w:rtl/>
              </w:rPr>
            </w:pPr>
            <w:r>
              <w:rPr>
                <w:rFonts w:cs="Times New Roman"/>
                <w:sz w:val="24"/>
                <w:rtl/>
              </w:rPr>
              <w:t>הגשת הערר</w:t>
            </w:r>
          </w:p>
        </w:tc>
        <w:tc>
          <w:tcPr>
            <w:tcW w:w="567" w:type="dxa"/>
          </w:tcPr>
          <w:p w14:paraId="06743FB3" w14:textId="77777777" w:rsidR="004E4845" w:rsidRPr="004E4845" w:rsidRDefault="004E4845" w:rsidP="004E4845">
            <w:pPr>
              <w:spacing w:line="240" w:lineRule="auto"/>
              <w:jc w:val="left"/>
              <w:rPr>
                <w:rStyle w:val="Hyperlink"/>
                <w:rtl/>
              </w:rPr>
            </w:pPr>
            <w:hyperlink w:anchor="Seif4" w:tooltip="הגשת הערר" w:history="1">
              <w:r w:rsidRPr="004E4845">
                <w:rPr>
                  <w:rStyle w:val="Hyperlink"/>
                </w:rPr>
                <w:t>Go</w:t>
              </w:r>
            </w:hyperlink>
          </w:p>
        </w:tc>
        <w:tc>
          <w:tcPr>
            <w:tcW w:w="850" w:type="dxa"/>
          </w:tcPr>
          <w:p w14:paraId="34BC5FB0"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0858D19D" w14:textId="77777777">
        <w:tblPrEx>
          <w:tblCellMar>
            <w:top w:w="0" w:type="dxa"/>
            <w:bottom w:w="0" w:type="dxa"/>
          </w:tblCellMar>
        </w:tblPrEx>
        <w:tc>
          <w:tcPr>
            <w:tcW w:w="1247" w:type="dxa"/>
          </w:tcPr>
          <w:p w14:paraId="25DE707C" w14:textId="77777777" w:rsidR="004E4845" w:rsidRPr="004E4845" w:rsidRDefault="004E4845" w:rsidP="004E4845">
            <w:pPr>
              <w:spacing w:line="240" w:lineRule="auto"/>
              <w:jc w:val="left"/>
              <w:rPr>
                <w:rFonts w:cs="Frankruhel"/>
                <w:sz w:val="24"/>
                <w:rtl/>
              </w:rPr>
            </w:pPr>
            <w:r>
              <w:rPr>
                <w:rFonts w:cs="Times New Roman"/>
                <w:sz w:val="24"/>
                <w:rtl/>
              </w:rPr>
              <w:t xml:space="preserve">סעיף 5 </w:t>
            </w:r>
          </w:p>
        </w:tc>
        <w:tc>
          <w:tcPr>
            <w:tcW w:w="5669" w:type="dxa"/>
          </w:tcPr>
          <w:p w14:paraId="618E088E" w14:textId="77777777" w:rsidR="004E4845" w:rsidRPr="004E4845" w:rsidRDefault="004E4845" w:rsidP="004E4845">
            <w:pPr>
              <w:spacing w:line="240" w:lineRule="auto"/>
              <w:jc w:val="left"/>
              <w:rPr>
                <w:rFonts w:cs="Frankruhel"/>
                <w:sz w:val="24"/>
                <w:rtl/>
              </w:rPr>
            </w:pPr>
            <w:r>
              <w:rPr>
                <w:rFonts w:cs="Times New Roman"/>
                <w:sz w:val="24"/>
                <w:rtl/>
              </w:rPr>
              <w:t>העתקים לכל חברי הוועדה</w:t>
            </w:r>
          </w:p>
        </w:tc>
        <w:tc>
          <w:tcPr>
            <w:tcW w:w="567" w:type="dxa"/>
          </w:tcPr>
          <w:p w14:paraId="20EB22AE" w14:textId="77777777" w:rsidR="004E4845" w:rsidRPr="004E4845" w:rsidRDefault="004E4845" w:rsidP="004E4845">
            <w:pPr>
              <w:spacing w:line="240" w:lineRule="auto"/>
              <w:jc w:val="left"/>
              <w:rPr>
                <w:rStyle w:val="Hyperlink"/>
                <w:rtl/>
              </w:rPr>
            </w:pPr>
            <w:hyperlink w:anchor="Seif5" w:tooltip="העתקים לכל חברי הוועדה" w:history="1">
              <w:r w:rsidRPr="004E4845">
                <w:rPr>
                  <w:rStyle w:val="Hyperlink"/>
                </w:rPr>
                <w:t>Go</w:t>
              </w:r>
            </w:hyperlink>
          </w:p>
        </w:tc>
        <w:tc>
          <w:tcPr>
            <w:tcW w:w="850" w:type="dxa"/>
          </w:tcPr>
          <w:p w14:paraId="779E20AF"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1D84E82C" w14:textId="77777777">
        <w:tblPrEx>
          <w:tblCellMar>
            <w:top w:w="0" w:type="dxa"/>
            <w:bottom w:w="0" w:type="dxa"/>
          </w:tblCellMar>
        </w:tblPrEx>
        <w:tc>
          <w:tcPr>
            <w:tcW w:w="1247" w:type="dxa"/>
          </w:tcPr>
          <w:p w14:paraId="526E2736" w14:textId="77777777" w:rsidR="004E4845" w:rsidRPr="004E4845" w:rsidRDefault="004E4845" w:rsidP="004E4845">
            <w:pPr>
              <w:spacing w:line="240" w:lineRule="auto"/>
              <w:jc w:val="left"/>
              <w:rPr>
                <w:rFonts w:cs="Frankruhel"/>
                <w:sz w:val="24"/>
                <w:rtl/>
              </w:rPr>
            </w:pPr>
            <w:r>
              <w:rPr>
                <w:rFonts w:cs="Times New Roman"/>
                <w:sz w:val="24"/>
                <w:rtl/>
              </w:rPr>
              <w:t xml:space="preserve">סעיף 6 </w:t>
            </w:r>
          </w:p>
        </w:tc>
        <w:tc>
          <w:tcPr>
            <w:tcW w:w="5669" w:type="dxa"/>
          </w:tcPr>
          <w:p w14:paraId="66E31EC7" w14:textId="77777777" w:rsidR="004E4845" w:rsidRPr="004E4845" w:rsidRDefault="004E4845" w:rsidP="004E4845">
            <w:pPr>
              <w:spacing w:line="240" w:lineRule="auto"/>
              <w:jc w:val="left"/>
              <w:rPr>
                <w:rFonts w:cs="Frankruhel"/>
                <w:sz w:val="24"/>
                <w:rtl/>
              </w:rPr>
            </w:pPr>
            <w:r>
              <w:rPr>
                <w:rFonts w:cs="Times New Roman"/>
                <w:sz w:val="24"/>
                <w:rtl/>
              </w:rPr>
              <w:t>תשובת המנהל הכללי</w:t>
            </w:r>
          </w:p>
        </w:tc>
        <w:tc>
          <w:tcPr>
            <w:tcW w:w="567" w:type="dxa"/>
          </w:tcPr>
          <w:p w14:paraId="3220A22B" w14:textId="77777777" w:rsidR="004E4845" w:rsidRPr="004E4845" w:rsidRDefault="004E4845" w:rsidP="004E4845">
            <w:pPr>
              <w:spacing w:line="240" w:lineRule="auto"/>
              <w:jc w:val="left"/>
              <w:rPr>
                <w:rStyle w:val="Hyperlink"/>
                <w:rtl/>
              </w:rPr>
            </w:pPr>
            <w:hyperlink w:anchor="Seif6" w:tooltip="תשובת המנהל הכללי" w:history="1">
              <w:r w:rsidRPr="004E4845">
                <w:rPr>
                  <w:rStyle w:val="Hyperlink"/>
                </w:rPr>
                <w:t>Go</w:t>
              </w:r>
            </w:hyperlink>
          </w:p>
        </w:tc>
        <w:tc>
          <w:tcPr>
            <w:tcW w:w="850" w:type="dxa"/>
          </w:tcPr>
          <w:p w14:paraId="28FA1859"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45CF35BD" w14:textId="77777777">
        <w:tblPrEx>
          <w:tblCellMar>
            <w:top w:w="0" w:type="dxa"/>
            <w:bottom w:w="0" w:type="dxa"/>
          </w:tblCellMar>
        </w:tblPrEx>
        <w:tc>
          <w:tcPr>
            <w:tcW w:w="1247" w:type="dxa"/>
          </w:tcPr>
          <w:p w14:paraId="0ECBB1A9" w14:textId="77777777" w:rsidR="004E4845" w:rsidRPr="004E4845" w:rsidRDefault="004E4845" w:rsidP="004E4845">
            <w:pPr>
              <w:spacing w:line="240" w:lineRule="auto"/>
              <w:jc w:val="left"/>
              <w:rPr>
                <w:rFonts w:cs="Frankruhel"/>
                <w:sz w:val="24"/>
                <w:rtl/>
              </w:rPr>
            </w:pPr>
            <w:r>
              <w:rPr>
                <w:rFonts w:cs="Times New Roman"/>
                <w:sz w:val="24"/>
                <w:rtl/>
              </w:rPr>
              <w:t xml:space="preserve">סעיף 7 </w:t>
            </w:r>
          </w:p>
        </w:tc>
        <w:tc>
          <w:tcPr>
            <w:tcW w:w="5669" w:type="dxa"/>
          </w:tcPr>
          <w:p w14:paraId="376B536C" w14:textId="77777777" w:rsidR="004E4845" w:rsidRPr="004E4845" w:rsidRDefault="004E4845" w:rsidP="004E4845">
            <w:pPr>
              <w:spacing w:line="240" w:lineRule="auto"/>
              <w:jc w:val="left"/>
              <w:rPr>
                <w:rFonts w:cs="Frankruhel"/>
                <w:sz w:val="24"/>
                <w:rtl/>
              </w:rPr>
            </w:pPr>
            <w:r>
              <w:rPr>
                <w:rFonts w:cs="Times New Roman"/>
                <w:sz w:val="24"/>
                <w:rtl/>
              </w:rPr>
              <w:t>מחיקת הערר</w:t>
            </w:r>
          </w:p>
        </w:tc>
        <w:tc>
          <w:tcPr>
            <w:tcW w:w="567" w:type="dxa"/>
          </w:tcPr>
          <w:p w14:paraId="2B6C2476" w14:textId="77777777" w:rsidR="004E4845" w:rsidRPr="004E4845" w:rsidRDefault="004E4845" w:rsidP="004E4845">
            <w:pPr>
              <w:spacing w:line="240" w:lineRule="auto"/>
              <w:jc w:val="left"/>
              <w:rPr>
                <w:rStyle w:val="Hyperlink"/>
                <w:rtl/>
              </w:rPr>
            </w:pPr>
            <w:hyperlink w:anchor="Seif7" w:tooltip="מחיקת הערר" w:history="1">
              <w:r w:rsidRPr="004E4845">
                <w:rPr>
                  <w:rStyle w:val="Hyperlink"/>
                </w:rPr>
                <w:t>Go</w:t>
              </w:r>
            </w:hyperlink>
          </w:p>
        </w:tc>
        <w:tc>
          <w:tcPr>
            <w:tcW w:w="850" w:type="dxa"/>
          </w:tcPr>
          <w:p w14:paraId="6EBF8E9E"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4845" w:rsidRPr="004E4845" w14:paraId="7BECD77D" w14:textId="77777777">
        <w:tblPrEx>
          <w:tblCellMar>
            <w:top w:w="0" w:type="dxa"/>
            <w:bottom w:w="0" w:type="dxa"/>
          </w:tblCellMar>
        </w:tblPrEx>
        <w:tc>
          <w:tcPr>
            <w:tcW w:w="1247" w:type="dxa"/>
          </w:tcPr>
          <w:p w14:paraId="394D74B1" w14:textId="77777777" w:rsidR="004E4845" w:rsidRPr="004E4845" w:rsidRDefault="004E4845" w:rsidP="004E4845">
            <w:pPr>
              <w:spacing w:line="240" w:lineRule="auto"/>
              <w:jc w:val="left"/>
              <w:rPr>
                <w:rFonts w:cs="Frankruhel"/>
                <w:sz w:val="24"/>
                <w:rtl/>
              </w:rPr>
            </w:pPr>
            <w:r>
              <w:rPr>
                <w:rFonts w:cs="Times New Roman"/>
                <w:sz w:val="24"/>
                <w:rtl/>
              </w:rPr>
              <w:t xml:space="preserve">סעיף 8 </w:t>
            </w:r>
          </w:p>
        </w:tc>
        <w:tc>
          <w:tcPr>
            <w:tcW w:w="5669" w:type="dxa"/>
          </w:tcPr>
          <w:p w14:paraId="6B828CC1" w14:textId="77777777" w:rsidR="004E4845" w:rsidRPr="004E4845" w:rsidRDefault="004E4845" w:rsidP="004E4845">
            <w:pPr>
              <w:spacing w:line="240" w:lineRule="auto"/>
              <w:jc w:val="left"/>
              <w:rPr>
                <w:rFonts w:cs="Frankruhel"/>
                <w:sz w:val="24"/>
                <w:rtl/>
              </w:rPr>
            </w:pPr>
            <w:r>
              <w:rPr>
                <w:rFonts w:cs="Times New Roman"/>
                <w:sz w:val="24"/>
                <w:rtl/>
              </w:rPr>
              <w:t>הדיונים</w:t>
            </w:r>
          </w:p>
        </w:tc>
        <w:tc>
          <w:tcPr>
            <w:tcW w:w="567" w:type="dxa"/>
          </w:tcPr>
          <w:p w14:paraId="0A5EBBE2" w14:textId="77777777" w:rsidR="004E4845" w:rsidRPr="004E4845" w:rsidRDefault="004E4845" w:rsidP="004E4845">
            <w:pPr>
              <w:spacing w:line="240" w:lineRule="auto"/>
              <w:jc w:val="left"/>
              <w:rPr>
                <w:rStyle w:val="Hyperlink"/>
                <w:rtl/>
              </w:rPr>
            </w:pPr>
            <w:hyperlink w:anchor="Seif8" w:tooltip="הדיונים" w:history="1">
              <w:r w:rsidRPr="004E4845">
                <w:rPr>
                  <w:rStyle w:val="Hyperlink"/>
                </w:rPr>
                <w:t>Go</w:t>
              </w:r>
            </w:hyperlink>
          </w:p>
        </w:tc>
        <w:tc>
          <w:tcPr>
            <w:tcW w:w="850" w:type="dxa"/>
          </w:tcPr>
          <w:p w14:paraId="6F5A72A3"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673E8A2C" w14:textId="77777777">
        <w:tblPrEx>
          <w:tblCellMar>
            <w:top w:w="0" w:type="dxa"/>
            <w:bottom w:w="0" w:type="dxa"/>
          </w:tblCellMar>
        </w:tblPrEx>
        <w:tc>
          <w:tcPr>
            <w:tcW w:w="1247" w:type="dxa"/>
          </w:tcPr>
          <w:p w14:paraId="4813D56A" w14:textId="77777777" w:rsidR="004E4845" w:rsidRPr="004E4845" w:rsidRDefault="004E4845" w:rsidP="004E4845">
            <w:pPr>
              <w:spacing w:line="240" w:lineRule="auto"/>
              <w:jc w:val="left"/>
              <w:rPr>
                <w:rFonts w:cs="Frankruhel"/>
                <w:sz w:val="24"/>
                <w:rtl/>
              </w:rPr>
            </w:pPr>
            <w:r>
              <w:rPr>
                <w:rFonts w:cs="Times New Roman"/>
                <w:sz w:val="24"/>
                <w:rtl/>
              </w:rPr>
              <w:t xml:space="preserve">סעיף 9 </w:t>
            </w:r>
          </w:p>
        </w:tc>
        <w:tc>
          <w:tcPr>
            <w:tcW w:w="5669" w:type="dxa"/>
          </w:tcPr>
          <w:p w14:paraId="3BEF18DA" w14:textId="77777777" w:rsidR="004E4845" w:rsidRPr="004E4845" w:rsidRDefault="004E4845" w:rsidP="004E4845">
            <w:pPr>
              <w:spacing w:line="240" w:lineRule="auto"/>
              <w:jc w:val="left"/>
              <w:rPr>
                <w:rFonts w:cs="Frankruhel"/>
                <w:sz w:val="24"/>
                <w:rtl/>
              </w:rPr>
            </w:pPr>
            <w:r>
              <w:rPr>
                <w:rFonts w:cs="Times New Roman"/>
                <w:sz w:val="24"/>
                <w:rtl/>
              </w:rPr>
              <w:t>פרוטוקול</w:t>
            </w:r>
          </w:p>
        </w:tc>
        <w:tc>
          <w:tcPr>
            <w:tcW w:w="567" w:type="dxa"/>
          </w:tcPr>
          <w:p w14:paraId="5E9938C3" w14:textId="77777777" w:rsidR="004E4845" w:rsidRPr="004E4845" w:rsidRDefault="004E4845" w:rsidP="004E4845">
            <w:pPr>
              <w:spacing w:line="240" w:lineRule="auto"/>
              <w:jc w:val="left"/>
              <w:rPr>
                <w:rStyle w:val="Hyperlink"/>
                <w:rtl/>
              </w:rPr>
            </w:pPr>
            <w:hyperlink w:anchor="Seif9" w:tooltip="פרוטוקול" w:history="1">
              <w:r w:rsidRPr="004E4845">
                <w:rPr>
                  <w:rStyle w:val="Hyperlink"/>
                </w:rPr>
                <w:t>Go</w:t>
              </w:r>
            </w:hyperlink>
          </w:p>
        </w:tc>
        <w:tc>
          <w:tcPr>
            <w:tcW w:w="850" w:type="dxa"/>
          </w:tcPr>
          <w:p w14:paraId="37237B50"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255A7587" w14:textId="77777777">
        <w:tblPrEx>
          <w:tblCellMar>
            <w:top w:w="0" w:type="dxa"/>
            <w:bottom w:w="0" w:type="dxa"/>
          </w:tblCellMar>
        </w:tblPrEx>
        <w:tc>
          <w:tcPr>
            <w:tcW w:w="1247" w:type="dxa"/>
          </w:tcPr>
          <w:p w14:paraId="65479937" w14:textId="77777777" w:rsidR="004E4845" w:rsidRPr="004E4845" w:rsidRDefault="004E4845" w:rsidP="004E4845">
            <w:pPr>
              <w:spacing w:line="240" w:lineRule="auto"/>
              <w:jc w:val="left"/>
              <w:rPr>
                <w:rFonts w:cs="Frankruhel"/>
                <w:sz w:val="24"/>
                <w:rtl/>
              </w:rPr>
            </w:pPr>
            <w:r>
              <w:rPr>
                <w:rFonts w:cs="Times New Roman"/>
                <w:sz w:val="24"/>
                <w:rtl/>
              </w:rPr>
              <w:t xml:space="preserve">סעיף 10 </w:t>
            </w:r>
          </w:p>
        </w:tc>
        <w:tc>
          <w:tcPr>
            <w:tcW w:w="5669" w:type="dxa"/>
          </w:tcPr>
          <w:p w14:paraId="06CDCE04" w14:textId="77777777" w:rsidR="004E4845" w:rsidRPr="004E4845" w:rsidRDefault="004E4845" w:rsidP="004E4845">
            <w:pPr>
              <w:spacing w:line="240" w:lineRule="auto"/>
              <w:jc w:val="left"/>
              <w:rPr>
                <w:rFonts w:cs="Frankruhel"/>
                <w:sz w:val="24"/>
                <w:rtl/>
              </w:rPr>
            </w:pPr>
            <w:r>
              <w:rPr>
                <w:rFonts w:cs="Times New Roman"/>
                <w:sz w:val="24"/>
                <w:rtl/>
              </w:rPr>
              <w:t>זכות היושב ראש להפסיק דיונים</w:t>
            </w:r>
          </w:p>
        </w:tc>
        <w:tc>
          <w:tcPr>
            <w:tcW w:w="567" w:type="dxa"/>
          </w:tcPr>
          <w:p w14:paraId="20652CAC" w14:textId="77777777" w:rsidR="004E4845" w:rsidRPr="004E4845" w:rsidRDefault="004E4845" w:rsidP="004E4845">
            <w:pPr>
              <w:spacing w:line="240" w:lineRule="auto"/>
              <w:jc w:val="left"/>
              <w:rPr>
                <w:rStyle w:val="Hyperlink"/>
                <w:rtl/>
              </w:rPr>
            </w:pPr>
            <w:hyperlink w:anchor="Seif10" w:tooltip="זכות היושב ראש להפסיק דיונים" w:history="1">
              <w:r w:rsidRPr="004E4845">
                <w:rPr>
                  <w:rStyle w:val="Hyperlink"/>
                </w:rPr>
                <w:t>Go</w:t>
              </w:r>
            </w:hyperlink>
          </w:p>
        </w:tc>
        <w:tc>
          <w:tcPr>
            <w:tcW w:w="850" w:type="dxa"/>
          </w:tcPr>
          <w:p w14:paraId="646F8552"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6AF94CEE" w14:textId="77777777">
        <w:tblPrEx>
          <w:tblCellMar>
            <w:top w:w="0" w:type="dxa"/>
            <w:bottom w:w="0" w:type="dxa"/>
          </w:tblCellMar>
        </w:tblPrEx>
        <w:tc>
          <w:tcPr>
            <w:tcW w:w="1247" w:type="dxa"/>
          </w:tcPr>
          <w:p w14:paraId="1A5B949C" w14:textId="77777777" w:rsidR="004E4845" w:rsidRPr="004E4845" w:rsidRDefault="004E4845" w:rsidP="004E4845">
            <w:pPr>
              <w:spacing w:line="240" w:lineRule="auto"/>
              <w:jc w:val="left"/>
              <w:rPr>
                <w:rFonts w:cs="Frankruhel"/>
                <w:sz w:val="24"/>
                <w:rtl/>
              </w:rPr>
            </w:pPr>
            <w:r>
              <w:rPr>
                <w:rFonts w:cs="Times New Roman"/>
                <w:sz w:val="24"/>
                <w:rtl/>
              </w:rPr>
              <w:t xml:space="preserve">סעיף 11 </w:t>
            </w:r>
          </w:p>
        </w:tc>
        <w:tc>
          <w:tcPr>
            <w:tcW w:w="5669" w:type="dxa"/>
          </w:tcPr>
          <w:p w14:paraId="4660F2F9" w14:textId="77777777" w:rsidR="004E4845" w:rsidRPr="004E4845" w:rsidRDefault="004E4845" w:rsidP="004E4845">
            <w:pPr>
              <w:spacing w:line="240" w:lineRule="auto"/>
              <w:jc w:val="left"/>
              <w:rPr>
                <w:rFonts w:cs="Frankruhel"/>
                <w:sz w:val="24"/>
                <w:rtl/>
              </w:rPr>
            </w:pPr>
            <w:r>
              <w:rPr>
                <w:rFonts w:cs="Times New Roman"/>
                <w:sz w:val="24"/>
                <w:rtl/>
              </w:rPr>
              <w:t>איסוף נתונים נוספים</w:t>
            </w:r>
          </w:p>
        </w:tc>
        <w:tc>
          <w:tcPr>
            <w:tcW w:w="567" w:type="dxa"/>
          </w:tcPr>
          <w:p w14:paraId="10560D2E" w14:textId="77777777" w:rsidR="004E4845" w:rsidRPr="004E4845" w:rsidRDefault="004E4845" w:rsidP="004E4845">
            <w:pPr>
              <w:spacing w:line="240" w:lineRule="auto"/>
              <w:jc w:val="left"/>
              <w:rPr>
                <w:rStyle w:val="Hyperlink"/>
                <w:rtl/>
              </w:rPr>
            </w:pPr>
            <w:hyperlink w:anchor="Seif11" w:tooltip="איסוף נתונים נוספים" w:history="1">
              <w:r w:rsidRPr="004E4845">
                <w:rPr>
                  <w:rStyle w:val="Hyperlink"/>
                </w:rPr>
                <w:t>Go</w:t>
              </w:r>
            </w:hyperlink>
          </w:p>
        </w:tc>
        <w:tc>
          <w:tcPr>
            <w:tcW w:w="850" w:type="dxa"/>
          </w:tcPr>
          <w:p w14:paraId="50446591"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2A07B9FC" w14:textId="77777777">
        <w:tblPrEx>
          <w:tblCellMar>
            <w:top w:w="0" w:type="dxa"/>
            <w:bottom w:w="0" w:type="dxa"/>
          </w:tblCellMar>
        </w:tblPrEx>
        <w:tc>
          <w:tcPr>
            <w:tcW w:w="1247" w:type="dxa"/>
          </w:tcPr>
          <w:p w14:paraId="79093DD2" w14:textId="77777777" w:rsidR="004E4845" w:rsidRPr="004E4845" w:rsidRDefault="004E4845" w:rsidP="004E4845">
            <w:pPr>
              <w:spacing w:line="240" w:lineRule="auto"/>
              <w:jc w:val="left"/>
              <w:rPr>
                <w:rFonts w:cs="Frankruhel"/>
                <w:sz w:val="24"/>
                <w:rtl/>
              </w:rPr>
            </w:pPr>
            <w:r>
              <w:rPr>
                <w:rFonts w:cs="Times New Roman"/>
                <w:sz w:val="24"/>
                <w:rtl/>
              </w:rPr>
              <w:t xml:space="preserve">סעיף 12 </w:t>
            </w:r>
          </w:p>
        </w:tc>
        <w:tc>
          <w:tcPr>
            <w:tcW w:w="5669" w:type="dxa"/>
          </w:tcPr>
          <w:p w14:paraId="729588C3" w14:textId="77777777" w:rsidR="004E4845" w:rsidRPr="004E4845" w:rsidRDefault="004E4845" w:rsidP="004E4845">
            <w:pPr>
              <w:spacing w:line="240" w:lineRule="auto"/>
              <w:jc w:val="left"/>
              <w:rPr>
                <w:rFonts w:cs="Frankruhel"/>
                <w:sz w:val="24"/>
                <w:rtl/>
              </w:rPr>
            </w:pPr>
            <w:r>
              <w:rPr>
                <w:rFonts w:cs="Times New Roman"/>
                <w:sz w:val="24"/>
                <w:rtl/>
              </w:rPr>
              <w:t>אי כבילות לדיני הראיות</w:t>
            </w:r>
          </w:p>
        </w:tc>
        <w:tc>
          <w:tcPr>
            <w:tcW w:w="567" w:type="dxa"/>
          </w:tcPr>
          <w:p w14:paraId="6DAC9B32" w14:textId="77777777" w:rsidR="004E4845" w:rsidRPr="004E4845" w:rsidRDefault="004E4845" w:rsidP="004E4845">
            <w:pPr>
              <w:spacing w:line="240" w:lineRule="auto"/>
              <w:jc w:val="left"/>
              <w:rPr>
                <w:rStyle w:val="Hyperlink"/>
                <w:rtl/>
              </w:rPr>
            </w:pPr>
            <w:hyperlink w:anchor="Seif12" w:tooltip="אי כבילות לדיני הראיות" w:history="1">
              <w:r w:rsidRPr="004E4845">
                <w:rPr>
                  <w:rStyle w:val="Hyperlink"/>
                </w:rPr>
                <w:t>Go</w:t>
              </w:r>
            </w:hyperlink>
          </w:p>
        </w:tc>
        <w:tc>
          <w:tcPr>
            <w:tcW w:w="850" w:type="dxa"/>
          </w:tcPr>
          <w:p w14:paraId="11CABED5"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4C001B5E" w14:textId="77777777">
        <w:tblPrEx>
          <w:tblCellMar>
            <w:top w:w="0" w:type="dxa"/>
            <w:bottom w:w="0" w:type="dxa"/>
          </w:tblCellMar>
        </w:tblPrEx>
        <w:tc>
          <w:tcPr>
            <w:tcW w:w="1247" w:type="dxa"/>
          </w:tcPr>
          <w:p w14:paraId="0576D2C4" w14:textId="77777777" w:rsidR="004E4845" w:rsidRPr="004E4845" w:rsidRDefault="004E4845" w:rsidP="004E4845">
            <w:pPr>
              <w:spacing w:line="240" w:lineRule="auto"/>
              <w:jc w:val="left"/>
              <w:rPr>
                <w:rFonts w:cs="Frankruhel"/>
                <w:sz w:val="24"/>
                <w:rtl/>
              </w:rPr>
            </w:pPr>
            <w:r>
              <w:rPr>
                <w:rFonts w:cs="Times New Roman"/>
                <w:sz w:val="24"/>
                <w:rtl/>
              </w:rPr>
              <w:t xml:space="preserve">סעיף 13 </w:t>
            </w:r>
          </w:p>
        </w:tc>
        <w:tc>
          <w:tcPr>
            <w:tcW w:w="5669" w:type="dxa"/>
          </w:tcPr>
          <w:p w14:paraId="3A8050FE" w14:textId="77777777" w:rsidR="004E4845" w:rsidRPr="004E4845" w:rsidRDefault="004E4845" w:rsidP="004E4845">
            <w:pPr>
              <w:spacing w:line="240" w:lineRule="auto"/>
              <w:jc w:val="left"/>
              <w:rPr>
                <w:rFonts w:cs="Frankruhel"/>
                <w:sz w:val="24"/>
                <w:rtl/>
              </w:rPr>
            </w:pPr>
            <w:r>
              <w:rPr>
                <w:rFonts w:cs="Times New Roman"/>
                <w:sz w:val="24"/>
                <w:rtl/>
              </w:rPr>
              <w:t>נימוקים נוספים</w:t>
            </w:r>
          </w:p>
        </w:tc>
        <w:tc>
          <w:tcPr>
            <w:tcW w:w="567" w:type="dxa"/>
          </w:tcPr>
          <w:p w14:paraId="67AFE50E" w14:textId="77777777" w:rsidR="004E4845" w:rsidRPr="004E4845" w:rsidRDefault="004E4845" w:rsidP="004E4845">
            <w:pPr>
              <w:spacing w:line="240" w:lineRule="auto"/>
              <w:jc w:val="left"/>
              <w:rPr>
                <w:rStyle w:val="Hyperlink"/>
                <w:rtl/>
              </w:rPr>
            </w:pPr>
            <w:hyperlink w:anchor="Seif13" w:tooltip="נימוקים נוספים" w:history="1">
              <w:r w:rsidRPr="004E4845">
                <w:rPr>
                  <w:rStyle w:val="Hyperlink"/>
                </w:rPr>
                <w:t>Go</w:t>
              </w:r>
            </w:hyperlink>
          </w:p>
        </w:tc>
        <w:tc>
          <w:tcPr>
            <w:tcW w:w="850" w:type="dxa"/>
          </w:tcPr>
          <w:p w14:paraId="61F3408C"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78D9D564" w14:textId="77777777">
        <w:tblPrEx>
          <w:tblCellMar>
            <w:top w:w="0" w:type="dxa"/>
            <w:bottom w:w="0" w:type="dxa"/>
          </w:tblCellMar>
        </w:tblPrEx>
        <w:tc>
          <w:tcPr>
            <w:tcW w:w="1247" w:type="dxa"/>
          </w:tcPr>
          <w:p w14:paraId="3B26BD31" w14:textId="77777777" w:rsidR="004E4845" w:rsidRPr="004E4845" w:rsidRDefault="004E4845" w:rsidP="004E4845">
            <w:pPr>
              <w:spacing w:line="240" w:lineRule="auto"/>
              <w:jc w:val="left"/>
              <w:rPr>
                <w:rFonts w:cs="Frankruhel"/>
                <w:sz w:val="24"/>
                <w:rtl/>
              </w:rPr>
            </w:pPr>
            <w:r>
              <w:rPr>
                <w:rFonts w:cs="Times New Roman"/>
                <w:sz w:val="24"/>
                <w:rtl/>
              </w:rPr>
              <w:t xml:space="preserve">סעיף 14 </w:t>
            </w:r>
          </w:p>
        </w:tc>
        <w:tc>
          <w:tcPr>
            <w:tcW w:w="5669" w:type="dxa"/>
          </w:tcPr>
          <w:p w14:paraId="5834C4AF" w14:textId="77777777" w:rsidR="004E4845" w:rsidRPr="004E4845" w:rsidRDefault="004E4845" w:rsidP="004E4845">
            <w:pPr>
              <w:spacing w:line="240" w:lineRule="auto"/>
              <w:jc w:val="left"/>
              <w:rPr>
                <w:rFonts w:cs="Frankruhel"/>
                <w:sz w:val="24"/>
                <w:rtl/>
              </w:rPr>
            </w:pPr>
            <w:r>
              <w:rPr>
                <w:rFonts w:cs="Times New Roman"/>
                <w:sz w:val="24"/>
                <w:rtl/>
              </w:rPr>
              <w:t>שינוי בהרכב</w:t>
            </w:r>
          </w:p>
        </w:tc>
        <w:tc>
          <w:tcPr>
            <w:tcW w:w="567" w:type="dxa"/>
          </w:tcPr>
          <w:p w14:paraId="7B6A5D24" w14:textId="77777777" w:rsidR="004E4845" w:rsidRPr="004E4845" w:rsidRDefault="004E4845" w:rsidP="004E4845">
            <w:pPr>
              <w:spacing w:line="240" w:lineRule="auto"/>
              <w:jc w:val="left"/>
              <w:rPr>
                <w:rStyle w:val="Hyperlink"/>
                <w:rtl/>
              </w:rPr>
            </w:pPr>
            <w:hyperlink w:anchor="Seif14" w:tooltip="שינוי בהרכב" w:history="1">
              <w:r w:rsidRPr="004E4845">
                <w:rPr>
                  <w:rStyle w:val="Hyperlink"/>
                </w:rPr>
                <w:t>Go</w:t>
              </w:r>
            </w:hyperlink>
          </w:p>
        </w:tc>
        <w:tc>
          <w:tcPr>
            <w:tcW w:w="850" w:type="dxa"/>
          </w:tcPr>
          <w:p w14:paraId="3A8419AD"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030C4336" w14:textId="77777777">
        <w:tblPrEx>
          <w:tblCellMar>
            <w:top w:w="0" w:type="dxa"/>
            <w:bottom w:w="0" w:type="dxa"/>
          </w:tblCellMar>
        </w:tblPrEx>
        <w:tc>
          <w:tcPr>
            <w:tcW w:w="1247" w:type="dxa"/>
          </w:tcPr>
          <w:p w14:paraId="57DC4B79" w14:textId="77777777" w:rsidR="004E4845" w:rsidRPr="004E4845" w:rsidRDefault="004E4845" w:rsidP="004E4845">
            <w:pPr>
              <w:spacing w:line="240" w:lineRule="auto"/>
              <w:jc w:val="left"/>
              <w:rPr>
                <w:rFonts w:cs="Frankruhel"/>
                <w:sz w:val="24"/>
                <w:rtl/>
              </w:rPr>
            </w:pPr>
            <w:r>
              <w:rPr>
                <w:rFonts w:cs="Times New Roman"/>
                <w:sz w:val="24"/>
                <w:rtl/>
              </w:rPr>
              <w:t xml:space="preserve">סעיף 15 </w:t>
            </w:r>
          </w:p>
        </w:tc>
        <w:tc>
          <w:tcPr>
            <w:tcW w:w="5669" w:type="dxa"/>
          </w:tcPr>
          <w:p w14:paraId="39483B65" w14:textId="77777777" w:rsidR="004E4845" w:rsidRPr="004E4845" w:rsidRDefault="004E4845" w:rsidP="004E4845">
            <w:pPr>
              <w:spacing w:line="240" w:lineRule="auto"/>
              <w:jc w:val="left"/>
              <w:rPr>
                <w:rFonts w:cs="Frankruhel"/>
                <w:sz w:val="24"/>
                <w:rtl/>
              </w:rPr>
            </w:pPr>
            <w:r>
              <w:rPr>
                <w:rFonts w:cs="Times New Roman"/>
                <w:sz w:val="24"/>
                <w:rtl/>
              </w:rPr>
              <w:t>החלטה</w:t>
            </w:r>
          </w:p>
        </w:tc>
        <w:tc>
          <w:tcPr>
            <w:tcW w:w="567" w:type="dxa"/>
          </w:tcPr>
          <w:p w14:paraId="231B74C0" w14:textId="77777777" w:rsidR="004E4845" w:rsidRPr="004E4845" w:rsidRDefault="004E4845" w:rsidP="004E4845">
            <w:pPr>
              <w:spacing w:line="240" w:lineRule="auto"/>
              <w:jc w:val="left"/>
              <w:rPr>
                <w:rStyle w:val="Hyperlink"/>
                <w:rtl/>
              </w:rPr>
            </w:pPr>
            <w:hyperlink w:anchor="Seif15" w:tooltip="החלטה" w:history="1">
              <w:r w:rsidRPr="004E4845">
                <w:rPr>
                  <w:rStyle w:val="Hyperlink"/>
                </w:rPr>
                <w:t>Go</w:t>
              </w:r>
            </w:hyperlink>
          </w:p>
        </w:tc>
        <w:tc>
          <w:tcPr>
            <w:tcW w:w="850" w:type="dxa"/>
          </w:tcPr>
          <w:p w14:paraId="6F5AA22B"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E4845" w:rsidRPr="004E4845" w14:paraId="7E93E816" w14:textId="77777777">
        <w:tblPrEx>
          <w:tblCellMar>
            <w:top w:w="0" w:type="dxa"/>
            <w:bottom w:w="0" w:type="dxa"/>
          </w:tblCellMar>
        </w:tblPrEx>
        <w:tc>
          <w:tcPr>
            <w:tcW w:w="1247" w:type="dxa"/>
          </w:tcPr>
          <w:p w14:paraId="087B1E33" w14:textId="77777777" w:rsidR="004E4845" w:rsidRPr="004E4845" w:rsidRDefault="004E4845" w:rsidP="004E4845">
            <w:pPr>
              <w:spacing w:line="240" w:lineRule="auto"/>
              <w:jc w:val="left"/>
              <w:rPr>
                <w:rFonts w:cs="Frankruhel"/>
                <w:sz w:val="24"/>
                <w:rtl/>
              </w:rPr>
            </w:pPr>
            <w:r>
              <w:rPr>
                <w:rFonts w:cs="Times New Roman"/>
                <w:sz w:val="24"/>
                <w:rtl/>
              </w:rPr>
              <w:t xml:space="preserve">סעיף 16 </w:t>
            </w:r>
          </w:p>
        </w:tc>
        <w:tc>
          <w:tcPr>
            <w:tcW w:w="5669" w:type="dxa"/>
          </w:tcPr>
          <w:p w14:paraId="76424B1D" w14:textId="77777777" w:rsidR="004E4845" w:rsidRPr="004E4845" w:rsidRDefault="004E4845" w:rsidP="004E4845">
            <w:pPr>
              <w:spacing w:line="240" w:lineRule="auto"/>
              <w:jc w:val="left"/>
              <w:rPr>
                <w:rFonts w:cs="Frankruhel"/>
                <w:sz w:val="24"/>
                <w:rtl/>
              </w:rPr>
            </w:pPr>
            <w:r>
              <w:rPr>
                <w:rFonts w:cs="Times New Roman"/>
                <w:sz w:val="24"/>
                <w:rtl/>
              </w:rPr>
              <w:t>תחילה</w:t>
            </w:r>
          </w:p>
        </w:tc>
        <w:tc>
          <w:tcPr>
            <w:tcW w:w="567" w:type="dxa"/>
          </w:tcPr>
          <w:p w14:paraId="68489E65" w14:textId="77777777" w:rsidR="004E4845" w:rsidRPr="004E4845" w:rsidRDefault="004E4845" w:rsidP="004E4845">
            <w:pPr>
              <w:spacing w:line="240" w:lineRule="auto"/>
              <w:jc w:val="left"/>
              <w:rPr>
                <w:rStyle w:val="Hyperlink"/>
                <w:rtl/>
              </w:rPr>
            </w:pPr>
            <w:hyperlink w:anchor="Seif16" w:tooltip="תחילה" w:history="1">
              <w:r w:rsidRPr="004E4845">
                <w:rPr>
                  <w:rStyle w:val="Hyperlink"/>
                </w:rPr>
                <w:t>Go</w:t>
              </w:r>
            </w:hyperlink>
          </w:p>
        </w:tc>
        <w:tc>
          <w:tcPr>
            <w:tcW w:w="850" w:type="dxa"/>
          </w:tcPr>
          <w:p w14:paraId="44F177F6" w14:textId="77777777" w:rsidR="004E4845" w:rsidRPr="004E4845" w:rsidRDefault="004E4845" w:rsidP="004E48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B3B9E63" w14:textId="77777777" w:rsidR="00D25D5C" w:rsidRDefault="00D25D5C" w:rsidP="005E682E">
      <w:pPr>
        <w:pStyle w:val="big-header"/>
        <w:ind w:left="0" w:right="1134"/>
        <w:rPr>
          <w:rStyle w:val="default"/>
          <w:rFonts w:hint="cs"/>
          <w:sz w:val="22"/>
          <w:szCs w:val="22"/>
          <w:rtl/>
        </w:rPr>
      </w:pPr>
      <w:r>
        <w:rPr>
          <w:rFonts w:cs="FrankRuehl"/>
          <w:sz w:val="32"/>
          <w:rtl/>
        </w:rPr>
        <w:br w:type="page"/>
      </w:r>
      <w:r w:rsidR="00094DD9">
        <w:rPr>
          <w:rFonts w:cs="FrankRuehl" w:hint="cs"/>
          <w:sz w:val="32"/>
          <w:rtl/>
        </w:rPr>
        <w:lastRenderedPageBreak/>
        <w:t>תקנות מוסדות חינוך תרבותיים ייחודיים (</w:t>
      </w:r>
      <w:r w:rsidR="00A71DAC">
        <w:rPr>
          <w:rFonts w:cs="FrankRuehl" w:hint="cs"/>
          <w:sz w:val="32"/>
          <w:rtl/>
        </w:rPr>
        <w:t xml:space="preserve">סדרי הדין בוועדת ערר </w:t>
      </w:r>
      <w:r w:rsidR="00A71DAC">
        <w:rPr>
          <w:rFonts w:cs="FrankRuehl"/>
          <w:sz w:val="32"/>
          <w:rtl/>
        </w:rPr>
        <w:t>–</w:t>
      </w:r>
      <w:r w:rsidR="00A71DAC">
        <w:rPr>
          <w:rFonts w:cs="FrankRuehl" w:hint="cs"/>
          <w:sz w:val="32"/>
          <w:rtl/>
        </w:rPr>
        <w:t xml:space="preserve"> רישיון</w:t>
      </w:r>
      <w:r w:rsidR="00094DD9">
        <w:rPr>
          <w:rFonts w:cs="FrankRuehl" w:hint="cs"/>
          <w:sz w:val="32"/>
          <w:rtl/>
        </w:rPr>
        <w:t>), תשס"ט-2009</w:t>
      </w:r>
      <w:r>
        <w:rPr>
          <w:rStyle w:val="default"/>
          <w:sz w:val="22"/>
          <w:szCs w:val="22"/>
          <w:rtl/>
        </w:rPr>
        <w:footnoteReference w:customMarkFollows="1" w:id="1"/>
        <w:t>*</w:t>
      </w:r>
    </w:p>
    <w:p w14:paraId="09380254" w14:textId="77777777" w:rsidR="00BD1625" w:rsidRDefault="00BD1625" w:rsidP="007A1FF2">
      <w:pPr>
        <w:pStyle w:val="P00"/>
        <w:spacing w:before="72"/>
        <w:ind w:left="0" w:right="1134"/>
        <w:rPr>
          <w:rStyle w:val="default"/>
          <w:rFonts w:cs="FrankRuehl" w:hint="cs"/>
          <w:rtl/>
        </w:rPr>
      </w:pPr>
      <w:r>
        <w:rPr>
          <w:rStyle w:val="default"/>
          <w:rFonts w:cs="FrankRuehl" w:hint="cs"/>
          <w:rtl/>
        </w:rPr>
        <w:tab/>
        <w:t xml:space="preserve">בתוקף סמכותי לפי </w:t>
      </w:r>
      <w:r w:rsidR="00094DD9">
        <w:rPr>
          <w:rStyle w:val="default"/>
          <w:rFonts w:cs="FrankRuehl" w:hint="cs"/>
          <w:rtl/>
        </w:rPr>
        <w:t xml:space="preserve">סעיפים </w:t>
      </w:r>
      <w:r w:rsidR="007A1FF2">
        <w:rPr>
          <w:rStyle w:val="default"/>
          <w:rFonts w:cs="FrankRuehl" w:hint="cs"/>
          <w:rtl/>
        </w:rPr>
        <w:t>17(ד)</w:t>
      </w:r>
      <w:r w:rsidR="00094DD9">
        <w:rPr>
          <w:rStyle w:val="default"/>
          <w:rFonts w:cs="FrankRuehl" w:hint="cs"/>
          <w:rtl/>
        </w:rPr>
        <w:t xml:space="preserve"> ו-38 לחוק מוסדות חינוך תרבותיים ייחודיים, התשס"ח-2008 (להלן </w:t>
      </w:r>
      <w:r w:rsidR="00094DD9">
        <w:rPr>
          <w:rStyle w:val="default"/>
          <w:rFonts w:cs="FrankRuehl"/>
          <w:rtl/>
        </w:rPr>
        <w:t>–</w:t>
      </w:r>
      <w:r w:rsidR="00094DD9">
        <w:rPr>
          <w:rStyle w:val="default"/>
          <w:rFonts w:cs="FrankRuehl" w:hint="cs"/>
          <w:rtl/>
        </w:rPr>
        <w:t xml:space="preserve"> החוק), ובאישור ועדת החינוך התרבות והספורט של הכנסת, אני מתקין תקנות אלה</w:t>
      </w:r>
      <w:r>
        <w:rPr>
          <w:rStyle w:val="default"/>
          <w:rFonts w:cs="FrankRuehl" w:hint="cs"/>
          <w:rtl/>
        </w:rPr>
        <w:t>:</w:t>
      </w:r>
    </w:p>
    <w:p w14:paraId="44BDF322" w14:textId="77777777" w:rsidR="00642120" w:rsidRDefault="00642120" w:rsidP="00094DD9">
      <w:pPr>
        <w:pStyle w:val="P00"/>
        <w:spacing w:before="72"/>
        <w:ind w:left="0" w:right="1134"/>
        <w:rPr>
          <w:rStyle w:val="default"/>
          <w:rFonts w:cs="FrankRuehl" w:hint="cs"/>
          <w:rtl/>
        </w:rPr>
      </w:pPr>
      <w:bookmarkStart w:id="0" w:name="Seif1"/>
      <w:bookmarkEnd w:id="0"/>
      <w:r>
        <w:rPr>
          <w:lang w:val="he-IL"/>
        </w:rPr>
        <w:pict w14:anchorId="39B88688">
          <v:rect id="_x0000_s1107" style="position:absolute;left:0;text-align:left;margin-left:464.5pt;margin-top:8.05pt;width:75.05pt;height:11.5pt;z-index:251650048" o:allowincell="f" filled="f" stroked="f" strokecolor="lime" strokeweight=".25pt">
            <v:textbox inset="0,0,0,0">
              <w:txbxContent>
                <w:p w14:paraId="24AEC6A5" w14:textId="77777777" w:rsidR="00642120" w:rsidRDefault="003D5BB0"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094DD9">
        <w:rPr>
          <w:rStyle w:val="default"/>
          <w:rFonts w:cs="FrankRuehl" w:hint="cs"/>
          <w:rtl/>
        </w:rPr>
        <w:t xml:space="preserve">בתקנות אלה </w:t>
      </w:r>
      <w:r w:rsidR="00094DD9">
        <w:rPr>
          <w:rStyle w:val="default"/>
          <w:rFonts w:cs="FrankRuehl"/>
          <w:rtl/>
        </w:rPr>
        <w:t>–</w:t>
      </w:r>
    </w:p>
    <w:p w14:paraId="4625360B" w14:textId="77777777" w:rsidR="007A1FF2" w:rsidRDefault="007A1FF2" w:rsidP="00094DD9">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ערר שמונתה לפי סעיף 17(ד) לחוק;</w:t>
      </w:r>
    </w:p>
    <w:p w14:paraId="1C9723E8"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w:t>
      </w:r>
    </w:p>
    <w:p w14:paraId="6D4941F0" w14:textId="77777777" w:rsidR="007A1FF2" w:rsidRDefault="007A1FF2" w:rsidP="00094DD9">
      <w:pPr>
        <w:pStyle w:val="P00"/>
        <w:spacing w:before="72"/>
        <w:ind w:left="0" w:right="1134"/>
        <w:rPr>
          <w:rStyle w:val="default"/>
          <w:rFonts w:cs="FrankRuehl" w:hint="cs"/>
          <w:rtl/>
        </w:rPr>
      </w:pPr>
      <w:r>
        <w:rPr>
          <w:rStyle w:val="default"/>
          <w:rFonts w:cs="FrankRuehl" w:hint="cs"/>
          <w:rtl/>
        </w:rPr>
        <w:tab/>
        <w:t xml:space="preserve">"המרכז" </w:t>
      </w:r>
      <w:r>
        <w:rPr>
          <w:rStyle w:val="default"/>
          <w:rFonts w:cs="FrankRuehl"/>
          <w:rtl/>
        </w:rPr>
        <w:t>–</w:t>
      </w:r>
      <w:r>
        <w:rPr>
          <w:rStyle w:val="default"/>
          <w:rFonts w:cs="FrankRuehl" w:hint="cs"/>
          <w:rtl/>
        </w:rPr>
        <w:t xml:space="preserve"> מי שהשר מינהו למרכז הוועדה;</w:t>
      </w:r>
    </w:p>
    <w:p w14:paraId="2E73790B" w14:textId="77777777" w:rsidR="007A1FF2" w:rsidRDefault="007A1FF2" w:rsidP="00094DD9">
      <w:pPr>
        <w:pStyle w:val="P00"/>
        <w:spacing w:before="72"/>
        <w:ind w:left="0" w:right="1134"/>
        <w:rPr>
          <w:rStyle w:val="default"/>
          <w:rFonts w:cs="FrankRuehl" w:hint="cs"/>
          <w:rtl/>
        </w:rPr>
      </w:pPr>
      <w:r>
        <w:rPr>
          <w:rStyle w:val="default"/>
          <w:rFonts w:cs="FrankRuehl" w:hint="cs"/>
          <w:rtl/>
        </w:rPr>
        <w:tab/>
        <w:t xml:space="preserve">"יושב ראש" </w:t>
      </w:r>
      <w:r>
        <w:rPr>
          <w:rStyle w:val="default"/>
          <w:rFonts w:cs="FrankRuehl"/>
          <w:rtl/>
        </w:rPr>
        <w:t>–</w:t>
      </w:r>
      <w:r>
        <w:rPr>
          <w:rStyle w:val="default"/>
          <w:rFonts w:cs="FrankRuehl" w:hint="cs"/>
          <w:rtl/>
        </w:rPr>
        <w:t xml:space="preserve"> יושב ראש הוועדה;</w:t>
      </w:r>
    </w:p>
    <w:p w14:paraId="1EF7615B" w14:textId="77777777" w:rsidR="007A1FF2" w:rsidRDefault="007A1FF2" w:rsidP="00094DD9">
      <w:pPr>
        <w:pStyle w:val="P00"/>
        <w:spacing w:before="72"/>
        <w:ind w:left="0" w:right="1134"/>
        <w:rPr>
          <w:rStyle w:val="default"/>
          <w:rFonts w:cs="FrankRuehl" w:hint="cs"/>
          <w:rtl/>
        </w:rPr>
      </w:pPr>
      <w:r>
        <w:rPr>
          <w:rStyle w:val="default"/>
          <w:rFonts w:cs="FrankRuehl" w:hint="cs"/>
          <w:rtl/>
        </w:rPr>
        <w:tab/>
        <w:t xml:space="preserve">"ערר" </w:t>
      </w:r>
      <w:r>
        <w:rPr>
          <w:rStyle w:val="default"/>
          <w:rFonts w:cs="FrankRuehl"/>
          <w:rtl/>
        </w:rPr>
        <w:t>–</w:t>
      </w:r>
      <w:r>
        <w:rPr>
          <w:rStyle w:val="default"/>
          <w:rFonts w:cs="FrankRuehl" w:hint="cs"/>
          <w:rtl/>
        </w:rPr>
        <w:t xml:space="preserve"> כמשמעותו בסעיף 17(א) לחוק;</w:t>
      </w:r>
    </w:p>
    <w:p w14:paraId="135EA90B" w14:textId="77777777" w:rsidR="007A1FF2" w:rsidRDefault="007A1FF2" w:rsidP="00094DD9">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כמשמעותו בסעיף 7 לחוק;</w:t>
      </w:r>
    </w:p>
    <w:p w14:paraId="3187BB53"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"תצהיר" </w:t>
      </w:r>
      <w:r>
        <w:rPr>
          <w:rStyle w:val="default"/>
          <w:rFonts w:cs="FrankRuehl"/>
          <w:rtl/>
        </w:rPr>
        <w:t>–</w:t>
      </w:r>
      <w:r>
        <w:rPr>
          <w:rStyle w:val="default"/>
          <w:rFonts w:cs="FrankRuehl" w:hint="cs"/>
          <w:rtl/>
        </w:rPr>
        <w:t xml:space="preserve"> כהגדרתו בתקנה 1 לתקנות סדר הדין האזרחי, התשמ"ד-1984.</w:t>
      </w:r>
    </w:p>
    <w:p w14:paraId="3F2A3F10" w14:textId="77777777" w:rsidR="00642120" w:rsidRDefault="00642120" w:rsidP="005E67B1">
      <w:pPr>
        <w:pStyle w:val="P00"/>
        <w:spacing w:before="72"/>
        <w:ind w:left="0" w:right="1134"/>
        <w:rPr>
          <w:rStyle w:val="default"/>
          <w:rFonts w:cs="FrankRuehl" w:hint="cs"/>
          <w:rtl/>
        </w:rPr>
      </w:pPr>
      <w:bookmarkStart w:id="1" w:name="Seif2"/>
      <w:bookmarkEnd w:id="1"/>
      <w:r>
        <w:rPr>
          <w:lang w:val="he-IL"/>
        </w:rPr>
        <w:pict w14:anchorId="770DE6FF">
          <v:rect id="_x0000_s1108" style="position:absolute;left:0;text-align:left;margin-left:464.5pt;margin-top:8.05pt;width:75.05pt;height:12.7pt;z-index:251651072" o:allowincell="f" filled="f" stroked="f" strokecolor="lime" strokeweight=".25pt">
            <v:textbox inset="0,0,0,0">
              <w:txbxContent>
                <w:p w14:paraId="0BC885BD" w14:textId="77777777" w:rsidR="00642120" w:rsidRDefault="005E67B1" w:rsidP="00373ACB">
                  <w:pPr>
                    <w:spacing w:line="160" w:lineRule="exact"/>
                    <w:jc w:val="left"/>
                    <w:rPr>
                      <w:rFonts w:cs="Miriam" w:hint="cs"/>
                      <w:noProof/>
                      <w:sz w:val="18"/>
                      <w:szCs w:val="18"/>
                      <w:rtl/>
                    </w:rPr>
                  </w:pPr>
                  <w:r>
                    <w:rPr>
                      <w:rFonts w:cs="Miriam" w:hint="cs"/>
                      <w:sz w:val="18"/>
                      <w:szCs w:val="18"/>
                      <w:rtl/>
                    </w:rPr>
                    <w:t>הכנת תיק</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5E67B1">
        <w:rPr>
          <w:rStyle w:val="default"/>
          <w:rFonts w:cs="FrankRuehl" w:hint="cs"/>
          <w:rtl/>
        </w:rPr>
        <w:t xml:space="preserve">החלטת המנהל הכללי בדבר סירוב לבקשת רישיון, או ביטול רישיון תתויק יחד עם כל אלה (להלן </w:t>
      </w:r>
      <w:r w:rsidR="005E67B1">
        <w:rPr>
          <w:rStyle w:val="default"/>
          <w:rFonts w:cs="FrankRuehl"/>
          <w:rtl/>
        </w:rPr>
        <w:t>–</w:t>
      </w:r>
      <w:r w:rsidR="005E67B1">
        <w:rPr>
          <w:rStyle w:val="default"/>
          <w:rFonts w:cs="FrankRuehl" w:hint="cs"/>
          <w:rtl/>
        </w:rPr>
        <w:t xml:space="preserve"> התיק):</w:t>
      </w:r>
    </w:p>
    <w:p w14:paraId="52C20F78" w14:textId="77777777" w:rsidR="005E67B1" w:rsidRDefault="005E67B1" w:rsidP="00BE37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הבקשה לרישיון;</w:t>
      </w:r>
    </w:p>
    <w:p w14:paraId="79D85372" w14:textId="77777777" w:rsidR="005E67B1" w:rsidRDefault="005E67B1" w:rsidP="00BE37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טעמי ההחלטה;</w:t>
      </w:r>
    </w:p>
    <w:p w14:paraId="7B0628FB" w14:textId="77777777" w:rsidR="005E67B1" w:rsidRDefault="005E67B1" w:rsidP="00BE37D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פרטים אחרים הקשורים בהחלטת המנהל הכללי לסרב לבקשה או בהחלטת המנהל הכללי לבטל רישיון.</w:t>
      </w:r>
    </w:p>
    <w:p w14:paraId="365F2D08" w14:textId="77777777" w:rsidR="00094DD9" w:rsidRDefault="00094DD9" w:rsidP="00333313">
      <w:pPr>
        <w:pStyle w:val="P00"/>
        <w:spacing w:before="72"/>
        <w:ind w:left="0" w:right="1134"/>
        <w:rPr>
          <w:rStyle w:val="default"/>
          <w:rFonts w:cs="FrankRuehl" w:hint="cs"/>
          <w:rtl/>
        </w:rPr>
      </w:pPr>
      <w:bookmarkStart w:id="2" w:name="Seif3"/>
      <w:bookmarkEnd w:id="2"/>
      <w:r>
        <w:rPr>
          <w:lang w:val="he-IL"/>
        </w:rPr>
        <w:pict w14:anchorId="6B63AB70">
          <v:rect id="_x0000_s1125" style="position:absolute;left:0;text-align:left;margin-left:464.5pt;margin-top:8.05pt;width:75.05pt;height:18.1pt;z-index:251652096" o:allowincell="f" filled="f" stroked="f" strokecolor="lime" strokeweight=".25pt">
            <v:textbox inset="0,0,0,0">
              <w:txbxContent>
                <w:p w14:paraId="3B69579B" w14:textId="77777777" w:rsidR="00094DD9" w:rsidRDefault="00BE37D5" w:rsidP="00094DD9">
                  <w:pPr>
                    <w:spacing w:line="160" w:lineRule="exact"/>
                    <w:jc w:val="left"/>
                    <w:rPr>
                      <w:rFonts w:cs="Miriam" w:hint="cs"/>
                      <w:noProof/>
                      <w:sz w:val="18"/>
                      <w:szCs w:val="18"/>
                      <w:rtl/>
                    </w:rPr>
                  </w:pPr>
                  <w:r>
                    <w:rPr>
                      <w:rFonts w:cs="Miriam" w:hint="cs"/>
                      <w:sz w:val="18"/>
                      <w:szCs w:val="18"/>
                      <w:rtl/>
                    </w:rPr>
                    <w:t>עיון בתיק</w:t>
                  </w:r>
                </w:p>
              </w:txbxContent>
            </v:textbox>
            <w10:anchorlock/>
          </v:rect>
        </w:pict>
      </w:r>
      <w:r>
        <w:rPr>
          <w:rStyle w:val="big-number"/>
          <w:rFonts w:cs="Miriam" w:hint="cs"/>
          <w:rtl/>
        </w:rPr>
        <w:t>3</w:t>
      </w:r>
      <w:r>
        <w:rPr>
          <w:rStyle w:val="big-number"/>
          <w:rFonts w:cs="Miriam"/>
          <w:rtl/>
        </w:rPr>
        <w:t>.</w:t>
      </w:r>
      <w:r>
        <w:rPr>
          <w:rStyle w:val="big-number"/>
          <w:rFonts w:cs="Miriam"/>
          <w:rtl/>
        </w:rPr>
        <w:tab/>
      </w:r>
      <w:r w:rsidR="00373ACB">
        <w:rPr>
          <w:rStyle w:val="default"/>
          <w:rFonts w:cs="FrankRuehl" w:hint="cs"/>
          <w:rtl/>
        </w:rPr>
        <w:t xml:space="preserve">מוסד </w:t>
      </w:r>
      <w:r w:rsidR="00333313">
        <w:rPr>
          <w:rStyle w:val="default"/>
          <w:rFonts w:cs="FrankRuehl" w:hint="cs"/>
          <w:rtl/>
        </w:rPr>
        <w:t>שהמנהל הכללי סירב לבקשתו לרישיון, או שביטל את רישיונו, רשאי לעיין בתיק בתוך עשרים ואחד ימים מיום שנמסר לו על ההחלטה.</w:t>
      </w:r>
    </w:p>
    <w:p w14:paraId="7C4F4B84" w14:textId="77777777" w:rsidR="00094DD9" w:rsidRDefault="00094DD9" w:rsidP="00333313">
      <w:pPr>
        <w:pStyle w:val="P00"/>
        <w:spacing w:before="72"/>
        <w:ind w:left="0" w:right="1134"/>
        <w:rPr>
          <w:rStyle w:val="default"/>
          <w:rFonts w:cs="FrankRuehl" w:hint="cs"/>
          <w:rtl/>
        </w:rPr>
      </w:pPr>
      <w:bookmarkStart w:id="3" w:name="Seif4"/>
      <w:bookmarkEnd w:id="3"/>
      <w:r>
        <w:rPr>
          <w:lang w:val="he-IL"/>
        </w:rPr>
        <w:pict w14:anchorId="69B4C99E">
          <v:rect id="_x0000_s1126" style="position:absolute;left:0;text-align:left;margin-left:464.5pt;margin-top:8.05pt;width:75.05pt;height:18.1pt;z-index:251653120" o:allowincell="f" filled="f" stroked="f" strokecolor="lime" strokeweight=".25pt">
            <v:textbox inset="0,0,0,0">
              <w:txbxContent>
                <w:p w14:paraId="68E8D7DF" w14:textId="77777777" w:rsidR="00094DD9" w:rsidRDefault="00333313" w:rsidP="00094DD9">
                  <w:pPr>
                    <w:spacing w:line="160" w:lineRule="exact"/>
                    <w:jc w:val="left"/>
                    <w:rPr>
                      <w:rFonts w:cs="Miriam" w:hint="cs"/>
                      <w:noProof/>
                      <w:sz w:val="18"/>
                      <w:szCs w:val="18"/>
                      <w:rtl/>
                    </w:rPr>
                  </w:pPr>
                  <w:r>
                    <w:rPr>
                      <w:rFonts w:cs="Miriam" w:hint="cs"/>
                      <w:sz w:val="18"/>
                      <w:szCs w:val="18"/>
                      <w:rtl/>
                    </w:rPr>
                    <w:t>הגשת הערר</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t>ערר על החלטת המנהל הכללי שלא לתת רישיון למוסד או על החלטת המנהל הכללי על ביטול רישיון המוסד, יוגש למרכז בכתב בחמישה עותקים ויימסר ביד או באמצעות דואר רשום כנגד אישור קבלתו.</w:t>
      </w:r>
    </w:p>
    <w:p w14:paraId="09110F54"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הערר ילווה בתצהיר של העורר על אמיתות כל אחת מהעובדות הנטענות בערר.</w:t>
      </w:r>
    </w:p>
    <w:p w14:paraId="6E85AD1B"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ראיה וכל מסמך שברצון העורר להביא לפני הוועדה יצוינו בתצהיר, ובלבד שהיו לפני המנהל הכללי בעת קבלת ההחלטה; הוועדה רשאית להתיר לעורר להביא מסמכים נוספים, אף אם לא היו לפני המנהל הכללי בעת קבלת ההחלטה, מטעמים מיוחדים שיירשמו.</w:t>
      </w:r>
    </w:p>
    <w:p w14:paraId="194EC95D" w14:textId="77777777" w:rsidR="00094DD9" w:rsidRDefault="00094DD9" w:rsidP="00333313">
      <w:pPr>
        <w:pStyle w:val="P00"/>
        <w:spacing w:before="72"/>
        <w:ind w:left="0" w:right="1134"/>
        <w:rPr>
          <w:rStyle w:val="default"/>
          <w:rFonts w:cs="FrankRuehl" w:hint="cs"/>
          <w:rtl/>
        </w:rPr>
      </w:pPr>
      <w:bookmarkStart w:id="4" w:name="Seif5"/>
      <w:bookmarkEnd w:id="4"/>
      <w:r>
        <w:rPr>
          <w:lang w:val="he-IL"/>
        </w:rPr>
        <w:pict w14:anchorId="57A79BD2">
          <v:rect id="_x0000_s1127" style="position:absolute;left:0;text-align:left;margin-left:464.5pt;margin-top:8.05pt;width:75.05pt;height:18.1pt;z-index:251654144" o:allowincell="f" filled="f" stroked="f" strokecolor="lime" strokeweight=".25pt">
            <v:textbox inset="0,0,0,0">
              <w:txbxContent>
                <w:p w14:paraId="1B57AECB" w14:textId="77777777" w:rsidR="00094DD9" w:rsidRDefault="00333313" w:rsidP="00094DD9">
                  <w:pPr>
                    <w:spacing w:line="160" w:lineRule="exact"/>
                    <w:jc w:val="left"/>
                    <w:rPr>
                      <w:rFonts w:cs="Miriam" w:hint="cs"/>
                      <w:noProof/>
                      <w:sz w:val="18"/>
                      <w:szCs w:val="18"/>
                      <w:rtl/>
                    </w:rPr>
                  </w:pPr>
                  <w:r>
                    <w:rPr>
                      <w:rFonts w:cs="Miriam" w:hint="cs"/>
                      <w:sz w:val="18"/>
                      <w:szCs w:val="18"/>
                      <w:rtl/>
                    </w:rPr>
                    <w:t>העתקים לכל חברי הוועדה</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333313">
        <w:rPr>
          <w:rStyle w:val="default"/>
          <w:rFonts w:cs="FrankRuehl" w:hint="cs"/>
          <w:rtl/>
        </w:rPr>
        <w:t>המרכז ישלח עותק של הערר אל היושב ראש ואל כל חבר של הוועדה.</w:t>
      </w:r>
    </w:p>
    <w:p w14:paraId="7E8FC5A1" w14:textId="77777777" w:rsidR="004C4E16" w:rsidRDefault="004C4E16" w:rsidP="00333313">
      <w:pPr>
        <w:pStyle w:val="P00"/>
        <w:spacing w:before="72"/>
        <w:ind w:left="0" w:right="1134"/>
        <w:rPr>
          <w:rStyle w:val="default"/>
          <w:rFonts w:cs="FrankRuehl" w:hint="cs"/>
          <w:rtl/>
        </w:rPr>
      </w:pPr>
      <w:bookmarkStart w:id="5" w:name="Seif6"/>
      <w:bookmarkEnd w:id="5"/>
      <w:r>
        <w:rPr>
          <w:lang w:val="he-IL"/>
        </w:rPr>
        <w:pict w14:anchorId="5411B6EE">
          <v:rect id="_x0000_s1128" style="position:absolute;left:0;text-align:left;margin-left:464.5pt;margin-top:8.05pt;width:75.05pt;height:18.1pt;z-index:251655168" o:allowincell="f" filled="f" stroked="f" strokecolor="lime" strokeweight=".25pt">
            <v:textbox inset="0,0,0,0">
              <w:txbxContent>
                <w:p w14:paraId="62AC18AA" w14:textId="77777777" w:rsidR="004C4E16" w:rsidRDefault="00333313" w:rsidP="004C4E16">
                  <w:pPr>
                    <w:spacing w:line="160" w:lineRule="exact"/>
                    <w:jc w:val="left"/>
                    <w:rPr>
                      <w:rFonts w:cs="Miriam" w:hint="cs"/>
                      <w:noProof/>
                      <w:sz w:val="18"/>
                      <w:szCs w:val="18"/>
                      <w:rtl/>
                    </w:rPr>
                  </w:pPr>
                  <w:r>
                    <w:rPr>
                      <w:rFonts w:cs="Miriam" w:hint="cs"/>
                      <w:sz w:val="18"/>
                      <w:szCs w:val="18"/>
                      <w:rtl/>
                    </w:rPr>
                    <w:t>תשובת המנהל הכללי</w:t>
                  </w:r>
                </w:p>
              </w:txbxContent>
            </v:textbox>
            <w10:anchorlock/>
          </v:rect>
        </w:pict>
      </w:r>
      <w:r w:rsidR="00373ACB">
        <w:rPr>
          <w:rStyle w:val="big-number"/>
          <w:rFonts w:cs="Miriam" w:hint="cs"/>
          <w:rtl/>
        </w:rPr>
        <w:t>6</w:t>
      </w:r>
      <w:r>
        <w:rPr>
          <w:rStyle w:val="big-number"/>
          <w:rFonts w:cs="Miriam"/>
          <w:rtl/>
        </w:rPr>
        <w:t>.</w:t>
      </w:r>
      <w:r>
        <w:rPr>
          <w:rStyle w:val="big-number"/>
          <w:rFonts w:cs="Miriam"/>
          <w:rtl/>
        </w:rPr>
        <w:tab/>
      </w:r>
      <w:r w:rsidR="00333313">
        <w:rPr>
          <w:rStyle w:val="default"/>
          <w:rFonts w:cs="FrankRuehl" w:hint="cs"/>
          <w:rtl/>
        </w:rPr>
        <w:t>תשובה מטעם המנהל הכללי או מי שהוא הסמיך לכך, תינתן למרכז שלושים ימים מיום קבלת הערר, ועותק ממנה יועבר לעורר.</w:t>
      </w:r>
    </w:p>
    <w:p w14:paraId="6C9DB150" w14:textId="77777777" w:rsidR="0044263A" w:rsidRDefault="0044263A" w:rsidP="00333313">
      <w:pPr>
        <w:pStyle w:val="P00"/>
        <w:spacing w:before="72"/>
        <w:ind w:left="0" w:right="1134"/>
        <w:rPr>
          <w:rStyle w:val="default"/>
          <w:rFonts w:cs="FrankRuehl" w:hint="cs"/>
          <w:rtl/>
        </w:rPr>
      </w:pPr>
      <w:bookmarkStart w:id="6" w:name="Seif7"/>
      <w:bookmarkEnd w:id="6"/>
      <w:r>
        <w:rPr>
          <w:lang w:val="he-IL"/>
        </w:rPr>
        <w:pict w14:anchorId="46A3BB07">
          <v:rect id="_x0000_s1129" style="position:absolute;left:0;text-align:left;margin-left:464.5pt;margin-top:8.05pt;width:75.05pt;height:18.1pt;z-index:251656192" o:allowincell="f" filled="f" stroked="f" strokecolor="lime" strokeweight=".25pt">
            <v:textbox inset="0,0,0,0">
              <w:txbxContent>
                <w:p w14:paraId="73EDDBB2" w14:textId="77777777" w:rsidR="0044263A" w:rsidRDefault="00333313" w:rsidP="0044263A">
                  <w:pPr>
                    <w:spacing w:line="160" w:lineRule="exact"/>
                    <w:jc w:val="left"/>
                    <w:rPr>
                      <w:rFonts w:cs="Miriam" w:hint="cs"/>
                      <w:noProof/>
                      <w:sz w:val="18"/>
                      <w:szCs w:val="18"/>
                      <w:rtl/>
                    </w:rPr>
                  </w:pPr>
                  <w:r>
                    <w:rPr>
                      <w:rFonts w:cs="Miriam" w:hint="cs"/>
                      <w:sz w:val="18"/>
                      <w:szCs w:val="18"/>
                      <w:rtl/>
                    </w:rPr>
                    <w:t>מחיקת הערר</w:t>
                  </w:r>
                </w:p>
              </w:txbxContent>
            </v:textbox>
            <w10:anchorlock/>
          </v:rect>
        </w:pict>
      </w:r>
      <w:r w:rsidR="00333313">
        <w:rPr>
          <w:rStyle w:val="big-number"/>
          <w:rFonts w:cs="Miriam" w:hint="cs"/>
          <w:rtl/>
        </w:rPr>
        <w:t>7</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t>הוועדה רשאית למחוק את הערר בכל אחד מהמקרים האלה:</w:t>
      </w:r>
    </w:p>
    <w:p w14:paraId="78A845C4" w14:textId="77777777" w:rsidR="00333313" w:rsidRDefault="00333313" w:rsidP="003333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הערר לא הוגש בהתאם לתקנה 4;</w:t>
      </w:r>
    </w:p>
    <w:p w14:paraId="6A896C35" w14:textId="77777777" w:rsidR="00333313" w:rsidRDefault="00333313" w:rsidP="003333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העורר לא הופיע לפני הוועדה בישיבה שנקבעה לכך, אלא אם כן נתקיימו נסיבות שלא היו לו שליטה עליהן והוא הודיע עליהן לוועדה בתוך שבעה ימים מיום הישיבה.</w:t>
      </w:r>
    </w:p>
    <w:p w14:paraId="35091EC5" w14:textId="77777777" w:rsidR="00333313" w:rsidRDefault="00333313" w:rsidP="00333313">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 xml:space="preserve">ערר שנמחק רשאי העורר להגישו ברשות הוועדה פעם אחת נוספת בלבד בתוך שבעה ימים לאחר שהודיעו לו על המחיקה; נמחק הערר שנית </w:t>
      </w:r>
      <w:r>
        <w:rPr>
          <w:rStyle w:val="default"/>
          <w:rFonts w:cs="FrankRuehl"/>
          <w:rtl/>
        </w:rPr>
        <w:t>–</w:t>
      </w:r>
      <w:r>
        <w:rPr>
          <w:rStyle w:val="default"/>
          <w:rFonts w:cs="FrankRuehl" w:hint="cs"/>
          <w:rtl/>
        </w:rPr>
        <w:t xml:space="preserve"> לא יהיה ניתן עוד להגישו.</w:t>
      </w:r>
    </w:p>
    <w:p w14:paraId="39EE4C86" w14:textId="77777777" w:rsidR="0044263A" w:rsidRDefault="0044263A" w:rsidP="00333313">
      <w:pPr>
        <w:pStyle w:val="P00"/>
        <w:spacing w:before="72"/>
        <w:ind w:left="0" w:right="1134"/>
        <w:rPr>
          <w:rStyle w:val="default"/>
          <w:rFonts w:cs="FrankRuehl" w:hint="cs"/>
          <w:rtl/>
        </w:rPr>
      </w:pPr>
      <w:bookmarkStart w:id="7" w:name="Seif8"/>
      <w:bookmarkEnd w:id="7"/>
      <w:r>
        <w:rPr>
          <w:lang w:val="he-IL"/>
        </w:rPr>
        <w:pict w14:anchorId="124ACAF8">
          <v:rect id="_x0000_s1130" style="position:absolute;left:0;text-align:left;margin-left:464.5pt;margin-top:8.05pt;width:75.05pt;height:18.1pt;z-index:251657216" o:allowincell="f" filled="f" stroked="f" strokecolor="lime" strokeweight=".25pt">
            <v:textbox inset="0,0,0,0">
              <w:txbxContent>
                <w:p w14:paraId="47D5210B" w14:textId="77777777" w:rsidR="0044263A" w:rsidRDefault="00333313" w:rsidP="0044263A">
                  <w:pPr>
                    <w:spacing w:line="160" w:lineRule="exact"/>
                    <w:jc w:val="left"/>
                    <w:rPr>
                      <w:rFonts w:cs="Miriam" w:hint="cs"/>
                      <w:noProof/>
                      <w:sz w:val="18"/>
                      <w:szCs w:val="18"/>
                      <w:rtl/>
                    </w:rPr>
                  </w:pPr>
                  <w:r>
                    <w:rPr>
                      <w:rFonts w:cs="Miriam" w:hint="cs"/>
                      <w:sz w:val="18"/>
                      <w:szCs w:val="18"/>
                      <w:rtl/>
                    </w:rPr>
                    <w:t>הדיונים</w:t>
                  </w:r>
                </w:p>
              </w:txbxContent>
            </v:textbox>
            <w10:anchorlock/>
          </v:rect>
        </w:pict>
      </w:r>
      <w:r w:rsidR="00333313">
        <w:rPr>
          <w:rStyle w:val="big-number"/>
          <w:rFonts w:cs="Miriam" w:hint="cs"/>
          <w:rtl/>
        </w:rPr>
        <w:t>8</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t>היושב ראש יקבע את המקום והמועד לישיבת הוועדה, ויזמין את העורר ואת המנהל הכללי או מי שהוא הסמיך לכך לישיבה כאמור תוך ציון מקום הישיבה, אלא אם כן ביקשו הצדדים כי הוועדה תיתן את החלטתה על יסוד החומר בכתב שהובא לפניה.</w:t>
      </w:r>
    </w:p>
    <w:p w14:paraId="05FA8C2C"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העורר יטען ראשון, ואחריו יטען המנהל הכללי או מי שהוא הסמיך לכך.</w:t>
      </w:r>
    </w:p>
    <w:p w14:paraId="77E01F24"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הוועדה והמנהל הכללי או מי שהוא הסמיך לכך רשאים לחקור את העורר או את העדים שחתמו על תצהירים בכל דבר הנוגע לראיה או למסמכים שהוגשו.</w:t>
      </w:r>
    </w:p>
    <w:p w14:paraId="6C1799E4"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לאחר סיום דברי העורר ושמיעת עדיו, אם היו כאלה, תשמע הוועדה את העדים שחתמו על תצהירים ומסמכים, אם אלה צוינו בתשובה לערר.</w:t>
      </w:r>
    </w:p>
    <w:p w14:paraId="6077BCBB"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חברי הוועדה והעורר רשאים לחקור את העדים שהגישו תצהירים בכל דבר הנוגע לעדים ולמסמכים שהוגשו או למוסד החינוך שלגביו הוגש הערר.</w:t>
      </w:r>
    </w:p>
    <w:p w14:paraId="6C904A57"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היושב ראש רשאי להרשות להביא עדים נוספים או להגיש מסמכים נוספים על אף שאלה לא הוזכרו בכתב הערר או בתשובה, אם ראה צורך בכך לשם הבהרת העניין.</w:t>
      </w:r>
    </w:p>
    <w:p w14:paraId="7680E7D5" w14:textId="77777777" w:rsidR="0044263A" w:rsidRDefault="0044263A" w:rsidP="00333313">
      <w:pPr>
        <w:pStyle w:val="P00"/>
        <w:spacing w:before="72"/>
        <w:ind w:left="0" w:right="1134"/>
        <w:rPr>
          <w:rStyle w:val="default"/>
          <w:rFonts w:cs="FrankRuehl" w:hint="cs"/>
          <w:rtl/>
        </w:rPr>
      </w:pPr>
      <w:bookmarkStart w:id="8" w:name="Seif9"/>
      <w:bookmarkEnd w:id="8"/>
      <w:r>
        <w:rPr>
          <w:lang w:val="he-IL"/>
        </w:rPr>
        <w:pict w14:anchorId="5A595440">
          <v:rect id="_x0000_s1131" style="position:absolute;left:0;text-align:left;margin-left:464.5pt;margin-top:8.05pt;width:75.05pt;height:18.1pt;z-index:251658240" o:allowincell="f" filled="f" stroked="f" strokecolor="lime" strokeweight=".25pt">
            <v:textbox inset="0,0,0,0">
              <w:txbxContent>
                <w:p w14:paraId="7455E446" w14:textId="77777777" w:rsidR="0044263A" w:rsidRDefault="00333313" w:rsidP="0044263A">
                  <w:pPr>
                    <w:spacing w:line="160" w:lineRule="exact"/>
                    <w:jc w:val="left"/>
                    <w:rPr>
                      <w:rFonts w:cs="Miriam" w:hint="cs"/>
                      <w:noProof/>
                      <w:sz w:val="18"/>
                      <w:szCs w:val="18"/>
                      <w:rtl/>
                    </w:rPr>
                  </w:pPr>
                  <w:r>
                    <w:rPr>
                      <w:rFonts w:cs="Miriam" w:hint="cs"/>
                      <w:sz w:val="18"/>
                      <w:szCs w:val="18"/>
                      <w:rtl/>
                    </w:rPr>
                    <w:t>פרוטוקול</w:t>
                  </w:r>
                </w:p>
              </w:txbxContent>
            </v:textbox>
            <w10:anchorlock/>
          </v:rect>
        </w:pict>
      </w:r>
      <w:r w:rsidR="00333313">
        <w:rPr>
          <w:rStyle w:val="big-number"/>
          <w:rFonts w:cs="Miriam" w:hint="cs"/>
          <w:rtl/>
        </w:rPr>
        <w:t>9</w:t>
      </w:r>
      <w:r>
        <w:rPr>
          <w:rStyle w:val="big-number"/>
          <w:rFonts w:cs="Miriam"/>
          <w:rtl/>
        </w:rPr>
        <w:t>.</w:t>
      </w:r>
      <w:r>
        <w:rPr>
          <w:rStyle w:val="big-number"/>
          <w:rFonts w:cs="Miriam"/>
          <w:rtl/>
        </w:rPr>
        <w:tab/>
      </w:r>
      <w:r w:rsidR="00333313">
        <w:rPr>
          <w:rStyle w:val="default"/>
          <w:rFonts w:cs="FrankRuehl" w:hint="cs"/>
          <w:rtl/>
        </w:rPr>
        <w:t>(א)</w:t>
      </w:r>
      <w:r w:rsidR="00333313">
        <w:rPr>
          <w:rStyle w:val="default"/>
          <w:rFonts w:cs="FrankRuehl" w:hint="cs"/>
          <w:rtl/>
        </w:rPr>
        <w:tab/>
        <w:t>פרוטוקול על מהלך הדיון לפני הוועדה ינוהל בידי היושב ראש או בידי מי שהוא מינה לכך וייחתם בידי היושב ראש.</w:t>
      </w:r>
    </w:p>
    <w:p w14:paraId="4A4ADCE0" w14:textId="77777777" w:rsidR="00333313" w:rsidRDefault="00333313" w:rsidP="003333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המסמכים שקיבלה הוועדה, לרבות התיק, יצורפו לפרוטוקול ויהוו חלק בלתי נפרד ממנו.</w:t>
      </w:r>
    </w:p>
    <w:p w14:paraId="35085903" w14:textId="77777777" w:rsidR="0044263A" w:rsidRDefault="0044263A" w:rsidP="00333313">
      <w:pPr>
        <w:pStyle w:val="P00"/>
        <w:spacing w:before="72"/>
        <w:ind w:left="0" w:right="1134"/>
        <w:rPr>
          <w:rStyle w:val="default"/>
          <w:rFonts w:cs="FrankRuehl" w:hint="cs"/>
          <w:rtl/>
        </w:rPr>
      </w:pPr>
      <w:bookmarkStart w:id="9" w:name="Seif10"/>
      <w:bookmarkEnd w:id="9"/>
      <w:r>
        <w:rPr>
          <w:lang w:val="he-IL"/>
        </w:rPr>
        <w:pict w14:anchorId="3001F205">
          <v:rect id="_x0000_s1132" style="position:absolute;left:0;text-align:left;margin-left:464.5pt;margin-top:8.05pt;width:75.05pt;height:18.1pt;z-index:251659264" o:allowincell="f" filled="f" stroked="f" strokecolor="lime" strokeweight=".25pt">
            <v:textbox inset="0,0,0,0">
              <w:txbxContent>
                <w:p w14:paraId="59DFF955" w14:textId="77777777" w:rsidR="0044263A" w:rsidRDefault="00333313" w:rsidP="0044263A">
                  <w:pPr>
                    <w:spacing w:line="160" w:lineRule="exact"/>
                    <w:jc w:val="left"/>
                    <w:rPr>
                      <w:rFonts w:cs="Miriam" w:hint="cs"/>
                      <w:noProof/>
                      <w:sz w:val="18"/>
                      <w:szCs w:val="18"/>
                      <w:rtl/>
                    </w:rPr>
                  </w:pPr>
                  <w:r>
                    <w:rPr>
                      <w:rFonts w:cs="Miriam" w:hint="cs"/>
                      <w:sz w:val="18"/>
                      <w:szCs w:val="18"/>
                      <w:rtl/>
                    </w:rPr>
                    <w:t>זכות היושב ראש להפסיק דיונים</w:t>
                  </w:r>
                </w:p>
              </w:txbxContent>
            </v:textbox>
            <w10:anchorlock/>
          </v:rect>
        </w:pict>
      </w:r>
      <w:r>
        <w:rPr>
          <w:rStyle w:val="big-number"/>
          <w:rFonts w:cs="Miriam" w:hint="cs"/>
          <w:rtl/>
        </w:rPr>
        <w:t>10</w:t>
      </w:r>
      <w:r>
        <w:rPr>
          <w:rStyle w:val="big-number"/>
          <w:rFonts w:cs="Miriam"/>
          <w:rtl/>
        </w:rPr>
        <w:t>.</w:t>
      </w:r>
      <w:r>
        <w:rPr>
          <w:rStyle w:val="big-number"/>
          <w:rFonts w:cs="Miriam"/>
          <w:rtl/>
        </w:rPr>
        <w:tab/>
      </w:r>
      <w:r w:rsidR="00333313">
        <w:rPr>
          <w:rStyle w:val="default"/>
          <w:rFonts w:cs="FrankRuehl" w:hint="cs"/>
          <w:rtl/>
        </w:rPr>
        <w:t>היושב ראש רשאי, בהסכמת שאר חברי הוועדה, להפסיק כל מתן עדות לפני הוועדה, אם ראה שהמשך השמעת העדות אינו לעניין ומהווה הטרדה או גורם לאיבוד זמן.</w:t>
      </w:r>
    </w:p>
    <w:p w14:paraId="1C4BA78D" w14:textId="77777777" w:rsidR="0044263A" w:rsidRDefault="0044263A" w:rsidP="00333313">
      <w:pPr>
        <w:pStyle w:val="P00"/>
        <w:spacing w:before="72"/>
        <w:ind w:left="0" w:right="1134"/>
        <w:rPr>
          <w:rStyle w:val="default"/>
          <w:rFonts w:cs="FrankRuehl" w:hint="cs"/>
          <w:rtl/>
        </w:rPr>
      </w:pPr>
      <w:bookmarkStart w:id="10" w:name="Seif11"/>
      <w:bookmarkEnd w:id="10"/>
      <w:r>
        <w:rPr>
          <w:lang w:val="he-IL"/>
        </w:rPr>
        <w:pict w14:anchorId="55AE6A54">
          <v:rect id="_x0000_s1133" style="position:absolute;left:0;text-align:left;margin-left:464.5pt;margin-top:8.05pt;width:75.05pt;height:18.1pt;z-index:251660288" o:allowincell="f" filled="f" stroked="f" strokecolor="lime" strokeweight=".25pt">
            <v:textbox inset="0,0,0,0">
              <w:txbxContent>
                <w:p w14:paraId="0F6DD155" w14:textId="77777777" w:rsidR="0044263A" w:rsidRDefault="00333313" w:rsidP="0044263A">
                  <w:pPr>
                    <w:spacing w:line="160" w:lineRule="exact"/>
                    <w:jc w:val="left"/>
                    <w:rPr>
                      <w:rFonts w:cs="Miriam" w:hint="cs"/>
                      <w:noProof/>
                      <w:sz w:val="18"/>
                      <w:szCs w:val="18"/>
                      <w:rtl/>
                    </w:rPr>
                  </w:pPr>
                  <w:r>
                    <w:rPr>
                      <w:rFonts w:cs="Miriam" w:hint="cs"/>
                      <w:sz w:val="18"/>
                      <w:szCs w:val="18"/>
                      <w:rtl/>
                    </w:rPr>
                    <w:t>איסוף נתונים נוספים</w:t>
                  </w:r>
                </w:p>
              </w:txbxContent>
            </v:textbox>
            <w10:anchorlock/>
          </v:rect>
        </w:pict>
      </w:r>
      <w:r>
        <w:rPr>
          <w:rStyle w:val="big-number"/>
          <w:rFonts w:cs="Miriam" w:hint="cs"/>
          <w:rtl/>
        </w:rPr>
        <w:t>1</w:t>
      </w:r>
      <w:r w:rsidR="00333313">
        <w:rPr>
          <w:rStyle w:val="big-number"/>
          <w:rFonts w:cs="Miriam" w:hint="cs"/>
          <w:rtl/>
        </w:rPr>
        <w:t>1</w:t>
      </w:r>
      <w:r>
        <w:rPr>
          <w:rStyle w:val="big-number"/>
          <w:rFonts w:cs="Miriam"/>
          <w:rtl/>
        </w:rPr>
        <w:t>.</w:t>
      </w:r>
      <w:r>
        <w:rPr>
          <w:rStyle w:val="big-number"/>
          <w:rFonts w:cs="Miriam"/>
          <w:rtl/>
        </w:rPr>
        <w:tab/>
      </w:r>
      <w:r w:rsidR="00333313">
        <w:rPr>
          <w:rStyle w:val="default"/>
          <w:rFonts w:cs="FrankRuehl" w:hint="cs"/>
          <w:rtl/>
        </w:rPr>
        <w:t>הוועדה רשאית לדחות את המשך דיוניה ולאסוף ראיות ומסמכים נוספים ככל שתמצא לנכון.</w:t>
      </w:r>
    </w:p>
    <w:p w14:paraId="1D678F70" w14:textId="77777777" w:rsidR="0044263A" w:rsidRDefault="0044263A" w:rsidP="00333313">
      <w:pPr>
        <w:pStyle w:val="P00"/>
        <w:spacing w:before="72"/>
        <w:ind w:left="0" w:right="1134"/>
        <w:rPr>
          <w:rStyle w:val="default"/>
          <w:rFonts w:cs="FrankRuehl" w:hint="cs"/>
          <w:rtl/>
        </w:rPr>
      </w:pPr>
      <w:bookmarkStart w:id="11" w:name="Seif12"/>
      <w:bookmarkEnd w:id="11"/>
      <w:r>
        <w:rPr>
          <w:lang w:val="he-IL"/>
        </w:rPr>
        <w:pict w14:anchorId="1F32016B">
          <v:rect id="_x0000_s1134" style="position:absolute;left:0;text-align:left;margin-left:464.5pt;margin-top:8.05pt;width:75.05pt;height:18.1pt;z-index:251661312" o:allowincell="f" filled="f" stroked="f" strokecolor="lime" strokeweight=".25pt">
            <v:textbox inset="0,0,0,0">
              <w:txbxContent>
                <w:p w14:paraId="25D3BB1F" w14:textId="77777777" w:rsidR="0044263A" w:rsidRDefault="00333313" w:rsidP="0044263A">
                  <w:pPr>
                    <w:spacing w:line="160" w:lineRule="exact"/>
                    <w:jc w:val="left"/>
                    <w:rPr>
                      <w:rFonts w:cs="Miriam" w:hint="cs"/>
                      <w:noProof/>
                      <w:sz w:val="18"/>
                      <w:szCs w:val="18"/>
                      <w:rtl/>
                    </w:rPr>
                  </w:pPr>
                  <w:r>
                    <w:rPr>
                      <w:rFonts w:cs="Miriam" w:hint="cs"/>
                      <w:sz w:val="18"/>
                      <w:szCs w:val="18"/>
                      <w:rtl/>
                    </w:rPr>
                    <w:t>אי-כבילות לדיני הראיות</w:t>
                  </w:r>
                </w:p>
              </w:txbxContent>
            </v:textbox>
            <w10:anchorlock/>
          </v:rect>
        </w:pict>
      </w:r>
      <w:r>
        <w:rPr>
          <w:rStyle w:val="big-number"/>
          <w:rFonts w:cs="Miriam" w:hint="cs"/>
          <w:rtl/>
        </w:rPr>
        <w:t>1</w:t>
      </w:r>
      <w:r w:rsidR="00333313">
        <w:rPr>
          <w:rStyle w:val="big-number"/>
          <w:rFonts w:cs="Miriam" w:hint="cs"/>
          <w:rtl/>
        </w:rPr>
        <w:t>2</w:t>
      </w:r>
      <w:r>
        <w:rPr>
          <w:rStyle w:val="big-number"/>
          <w:rFonts w:cs="Miriam"/>
          <w:rtl/>
        </w:rPr>
        <w:t>.</w:t>
      </w:r>
      <w:r>
        <w:rPr>
          <w:rStyle w:val="big-number"/>
          <w:rFonts w:cs="Miriam"/>
          <w:rtl/>
        </w:rPr>
        <w:tab/>
      </w:r>
      <w:r w:rsidR="00333313">
        <w:rPr>
          <w:rStyle w:val="default"/>
          <w:rFonts w:cs="FrankRuehl" w:hint="cs"/>
          <w:rtl/>
        </w:rPr>
        <w:t>הוועדה לא תהיה קשורה בדיני הראיות ובסדרי הדין הנהוגים בבתי המשפט והיא רשאית לקבל כל מידע נוסף בכל דרך הנראית לה מועילה, בכפוף לכל דין.</w:t>
      </w:r>
    </w:p>
    <w:p w14:paraId="28F66C8B" w14:textId="77777777" w:rsidR="0044263A" w:rsidRDefault="0044263A" w:rsidP="00333313">
      <w:pPr>
        <w:pStyle w:val="P00"/>
        <w:spacing w:before="72"/>
        <w:ind w:left="0" w:right="1134"/>
        <w:rPr>
          <w:rStyle w:val="default"/>
          <w:rFonts w:cs="FrankRuehl" w:hint="cs"/>
          <w:rtl/>
        </w:rPr>
      </w:pPr>
      <w:bookmarkStart w:id="12" w:name="Seif13"/>
      <w:bookmarkEnd w:id="12"/>
      <w:r>
        <w:rPr>
          <w:lang w:val="he-IL"/>
        </w:rPr>
        <w:pict w14:anchorId="5C6D24BC">
          <v:rect id="_x0000_s1135" style="position:absolute;left:0;text-align:left;margin-left:464.5pt;margin-top:8.05pt;width:75.05pt;height:18.1pt;z-index:251662336" o:allowincell="f" filled="f" stroked="f" strokecolor="lime" strokeweight=".25pt">
            <v:textbox inset="0,0,0,0">
              <w:txbxContent>
                <w:p w14:paraId="5108DD0B" w14:textId="77777777" w:rsidR="0044263A" w:rsidRDefault="00333313" w:rsidP="0044263A">
                  <w:pPr>
                    <w:spacing w:line="160" w:lineRule="exact"/>
                    <w:jc w:val="left"/>
                    <w:rPr>
                      <w:rFonts w:cs="Miriam" w:hint="cs"/>
                      <w:noProof/>
                      <w:sz w:val="18"/>
                      <w:szCs w:val="18"/>
                      <w:rtl/>
                    </w:rPr>
                  </w:pPr>
                  <w:r>
                    <w:rPr>
                      <w:rFonts w:cs="Miriam" w:hint="cs"/>
                      <w:sz w:val="18"/>
                      <w:szCs w:val="18"/>
                      <w:rtl/>
                    </w:rPr>
                    <w:t>נימוקים נוספים</w:t>
                  </w:r>
                </w:p>
              </w:txbxContent>
            </v:textbox>
            <w10:anchorlock/>
          </v:rect>
        </w:pict>
      </w:r>
      <w:r>
        <w:rPr>
          <w:rStyle w:val="big-number"/>
          <w:rFonts w:cs="Miriam" w:hint="cs"/>
          <w:rtl/>
        </w:rPr>
        <w:t>1</w:t>
      </w:r>
      <w:r w:rsidR="00333313">
        <w:rPr>
          <w:rStyle w:val="big-number"/>
          <w:rFonts w:cs="Miriam" w:hint="cs"/>
          <w:rtl/>
        </w:rPr>
        <w:t>3</w:t>
      </w:r>
      <w:r>
        <w:rPr>
          <w:rStyle w:val="big-number"/>
          <w:rFonts w:cs="Miriam"/>
          <w:rtl/>
        </w:rPr>
        <w:t>.</w:t>
      </w:r>
      <w:r>
        <w:rPr>
          <w:rStyle w:val="big-number"/>
          <w:rFonts w:cs="Miriam"/>
          <w:rtl/>
        </w:rPr>
        <w:tab/>
      </w:r>
      <w:r w:rsidR="00333313">
        <w:rPr>
          <w:rStyle w:val="default"/>
          <w:rFonts w:cs="FrankRuehl" w:hint="cs"/>
          <w:rtl/>
        </w:rPr>
        <w:t>הוועדה לא תזדקק לכל נימוק שלא הוזכר בערר, אלא אם כן ראתה ששמיעת הנימוק הנוסף דרושה מטעמים שיירשמו.</w:t>
      </w:r>
    </w:p>
    <w:p w14:paraId="10AED476" w14:textId="77777777" w:rsidR="00333313" w:rsidRDefault="0044263A" w:rsidP="00333313">
      <w:pPr>
        <w:pStyle w:val="P00"/>
        <w:spacing w:before="72"/>
        <w:ind w:left="0" w:right="1134"/>
        <w:rPr>
          <w:rStyle w:val="default"/>
          <w:rFonts w:cs="FrankRuehl" w:hint="cs"/>
          <w:rtl/>
        </w:rPr>
      </w:pPr>
      <w:bookmarkStart w:id="13" w:name="Seif14"/>
      <w:bookmarkEnd w:id="13"/>
      <w:r>
        <w:rPr>
          <w:lang w:val="he-IL"/>
        </w:rPr>
        <w:pict w14:anchorId="62272958">
          <v:rect id="_x0000_s1136" style="position:absolute;left:0;text-align:left;margin-left:464.5pt;margin-top:8.05pt;width:75.05pt;height:18.1pt;z-index:251663360" o:allowincell="f" filled="f" stroked="f" strokecolor="lime" strokeweight=".25pt">
            <v:textbox inset="0,0,0,0">
              <w:txbxContent>
                <w:p w14:paraId="4C45CF1B" w14:textId="77777777" w:rsidR="0044263A" w:rsidRDefault="00333313" w:rsidP="0044263A">
                  <w:pPr>
                    <w:spacing w:line="160" w:lineRule="exact"/>
                    <w:jc w:val="left"/>
                    <w:rPr>
                      <w:rFonts w:cs="Miriam" w:hint="cs"/>
                      <w:noProof/>
                      <w:sz w:val="18"/>
                      <w:szCs w:val="18"/>
                      <w:rtl/>
                    </w:rPr>
                  </w:pPr>
                  <w:r>
                    <w:rPr>
                      <w:rFonts w:cs="Miriam" w:hint="cs"/>
                      <w:sz w:val="18"/>
                      <w:szCs w:val="18"/>
                      <w:rtl/>
                    </w:rPr>
                    <w:t>שינוי בהרכב</w:t>
                  </w:r>
                </w:p>
              </w:txbxContent>
            </v:textbox>
            <w10:anchorlock/>
          </v:rect>
        </w:pict>
      </w:r>
      <w:r>
        <w:rPr>
          <w:rStyle w:val="big-number"/>
          <w:rFonts w:cs="Miriam" w:hint="cs"/>
          <w:rtl/>
        </w:rPr>
        <w:t>1</w:t>
      </w:r>
      <w:r w:rsidR="00333313">
        <w:rPr>
          <w:rStyle w:val="big-number"/>
          <w:rFonts w:cs="Miriam" w:hint="cs"/>
          <w:rtl/>
        </w:rPr>
        <w:t>4</w:t>
      </w:r>
      <w:r>
        <w:rPr>
          <w:rStyle w:val="big-number"/>
          <w:rFonts w:cs="Miriam"/>
          <w:rtl/>
        </w:rPr>
        <w:t>.</w:t>
      </w:r>
      <w:r>
        <w:rPr>
          <w:rStyle w:val="big-number"/>
          <w:rFonts w:cs="Miriam"/>
          <w:rtl/>
        </w:rPr>
        <w:tab/>
      </w:r>
      <w:r w:rsidR="00333313">
        <w:rPr>
          <w:rStyle w:val="default"/>
          <w:rFonts w:cs="FrankRuehl" w:hint="cs"/>
          <w:rtl/>
        </w:rPr>
        <w:t>נבצר מחבר הוועדה להמשיך בשמיעת הערר, רשאית הוועדה להמשיך בהרכב אחר מן השלב שאליו הגיע הדיון, ורואים את הדיון שקוים בהרכבו הקודם כאילו היה בהרכב החדש.</w:t>
      </w:r>
    </w:p>
    <w:p w14:paraId="1E195CAE" w14:textId="77777777" w:rsidR="0044263A" w:rsidRDefault="0044263A" w:rsidP="00333313">
      <w:pPr>
        <w:pStyle w:val="P00"/>
        <w:spacing w:before="72"/>
        <w:ind w:left="0" w:right="1134"/>
        <w:rPr>
          <w:rStyle w:val="default"/>
          <w:rFonts w:cs="FrankRuehl" w:hint="cs"/>
          <w:rtl/>
        </w:rPr>
      </w:pPr>
      <w:bookmarkStart w:id="14" w:name="Seif15"/>
      <w:bookmarkEnd w:id="14"/>
      <w:r>
        <w:rPr>
          <w:lang w:val="he-IL"/>
        </w:rPr>
        <w:pict w14:anchorId="136A0823">
          <v:rect id="_x0000_s1137" style="position:absolute;left:0;text-align:left;margin-left:464.5pt;margin-top:8.05pt;width:75.05pt;height:18.1pt;z-index:251664384" o:allowincell="f" filled="f" stroked="f" strokecolor="lime" strokeweight=".25pt">
            <v:textbox inset="0,0,0,0">
              <w:txbxContent>
                <w:p w14:paraId="2E5B0D33" w14:textId="77777777" w:rsidR="0044263A" w:rsidRDefault="00333313" w:rsidP="0044263A">
                  <w:pPr>
                    <w:spacing w:line="160" w:lineRule="exact"/>
                    <w:jc w:val="left"/>
                    <w:rPr>
                      <w:rFonts w:cs="Miriam" w:hint="cs"/>
                      <w:noProof/>
                      <w:sz w:val="18"/>
                      <w:szCs w:val="18"/>
                      <w:rtl/>
                    </w:rPr>
                  </w:pPr>
                  <w:r>
                    <w:rPr>
                      <w:rFonts w:cs="Miriam" w:hint="cs"/>
                      <w:sz w:val="18"/>
                      <w:szCs w:val="18"/>
                      <w:rtl/>
                    </w:rPr>
                    <w:t>החלטה</w:t>
                  </w:r>
                </w:p>
              </w:txbxContent>
            </v:textbox>
            <w10:anchorlock/>
          </v:rect>
        </w:pict>
      </w:r>
      <w:r>
        <w:rPr>
          <w:rStyle w:val="big-number"/>
          <w:rFonts w:cs="Miriam" w:hint="cs"/>
          <w:rtl/>
        </w:rPr>
        <w:t>1</w:t>
      </w:r>
      <w:r w:rsidR="00333313">
        <w:rPr>
          <w:rStyle w:val="big-number"/>
          <w:rFonts w:cs="Miriam" w:hint="cs"/>
          <w:rtl/>
        </w:rPr>
        <w:t>5</w:t>
      </w:r>
      <w:r>
        <w:rPr>
          <w:rStyle w:val="big-number"/>
          <w:rFonts w:cs="Miriam"/>
          <w:rtl/>
        </w:rPr>
        <w:t>.</w:t>
      </w:r>
      <w:r>
        <w:rPr>
          <w:rStyle w:val="big-number"/>
          <w:rFonts w:cs="Miriam"/>
          <w:rtl/>
        </w:rPr>
        <w:tab/>
      </w:r>
      <w:r w:rsidR="00333313">
        <w:rPr>
          <w:rStyle w:val="default"/>
          <w:rFonts w:cs="FrankRuehl" w:hint="cs"/>
          <w:rtl/>
        </w:rPr>
        <w:t>החלטת הוועדה תתקבל ברוב דעות והיא תהיה מנומקת; המרכז ישלח העתק ממנה חתום בידי היושב ראש ושאר חברי הוועדה לעורר ולמנהל הכללי, ההחלטה תינתן בתוך ארבעים וחמישה ימים מיום שהסתיימו דיוני הוועדה.</w:t>
      </w:r>
    </w:p>
    <w:p w14:paraId="4E054053" w14:textId="77777777" w:rsidR="0044263A" w:rsidRDefault="0044263A" w:rsidP="00333313">
      <w:pPr>
        <w:pStyle w:val="P00"/>
        <w:spacing w:before="72"/>
        <w:ind w:left="0" w:right="1134"/>
        <w:rPr>
          <w:rStyle w:val="default"/>
          <w:rFonts w:cs="FrankRuehl" w:hint="cs"/>
          <w:rtl/>
        </w:rPr>
      </w:pPr>
      <w:bookmarkStart w:id="15" w:name="Seif16"/>
      <w:bookmarkEnd w:id="15"/>
      <w:r>
        <w:rPr>
          <w:lang w:val="he-IL"/>
        </w:rPr>
        <w:pict w14:anchorId="65C6E128">
          <v:rect id="_x0000_s1138" style="position:absolute;left:0;text-align:left;margin-left:464.5pt;margin-top:8.05pt;width:75.05pt;height:18.1pt;z-index:251665408" o:allowincell="f" filled="f" stroked="f" strokecolor="lime" strokeweight=".25pt">
            <v:textbox inset="0,0,0,0">
              <w:txbxContent>
                <w:p w14:paraId="1AA252F2" w14:textId="77777777" w:rsidR="0044263A" w:rsidRDefault="0044263A" w:rsidP="0044263A">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333313">
        <w:rPr>
          <w:rStyle w:val="big-number"/>
          <w:rFonts w:cs="Miriam" w:hint="cs"/>
          <w:rtl/>
        </w:rPr>
        <w:t>6</w:t>
      </w:r>
      <w:r>
        <w:rPr>
          <w:rStyle w:val="big-number"/>
          <w:rFonts w:cs="Miriam"/>
          <w:rtl/>
        </w:rPr>
        <w:t>.</w:t>
      </w:r>
      <w:r>
        <w:rPr>
          <w:rStyle w:val="big-number"/>
          <w:rFonts w:cs="Miriam"/>
          <w:rtl/>
        </w:rPr>
        <w:tab/>
      </w:r>
      <w:r>
        <w:rPr>
          <w:rStyle w:val="default"/>
          <w:rFonts w:cs="FrankRuehl" w:hint="cs"/>
          <w:rtl/>
        </w:rPr>
        <w:t>תחילתן</w:t>
      </w:r>
      <w:r w:rsidR="00005864">
        <w:rPr>
          <w:rStyle w:val="default"/>
          <w:rFonts w:cs="FrankRuehl" w:hint="cs"/>
          <w:rtl/>
        </w:rPr>
        <w:t xml:space="preserve"> של תקנות אלה מיום ה' באב התשס"ט (26 ביולי 2009).</w:t>
      </w:r>
    </w:p>
    <w:p w14:paraId="3A818413" w14:textId="77777777" w:rsidR="004C4E16" w:rsidRDefault="004C4E16" w:rsidP="00431CAA">
      <w:pPr>
        <w:pStyle w:val="P00"/>
        <w:spacing w:before="72"/>
        <w:ind w:left="0" w:right="1134"/>
        <w:rPr>
          <w:rStyle w:val="default"/>
          <w:rFonts w:cs="FrankRuehl" w:hint="cs"/>
          <w:rtl/>
        </w:rPr>
      </w:pPr>
    </w:p>
    <w:p w14:paraId="15B4912A" w14:textId="77777777" w:rsidR="00D25D5C" w:rsidRDefault="00D25D5C" w:rsidP="00431CAA">
      <w:pPr>
        <w:pStyle w:val="P00"/>
        <w:spacing w:before="72"/>
        <w:ind w:left="0" w:right="1134"/>
        <w:rPr>
          <w:rStyle w:val="default"/>
          <w:rFonts w:cs="FrankRuehl"/>
          <w:rtl/>
        </w:rPr>
      </w:pPr>
    </w:p>
    <w:p w14:paraId="4B31BDF1" w14:textId="77777777" w:rsidR="00D50C5F" w:rsidRDefault="00FD3CF5" w:rsidP="00FD3CF5">
      <w:pPr>
        <w:pStyle w:val="sig-0"/>
        <w:tabs>
          <w:tab w:val="clear" w:pos="4820"/>
          <w:tab w:val="center" w:pos="5103"/>
        </w:tabs>
        <w:ind w:left="0" w:right="1134"/>
        <w:rPr>
          <w:rFonts w:cs="FrankRuehl" w:hint="cs"/>
          <w:sz w:val="26"/>
          <w:rtl/>
        </w:rPr>
      </w:pPr>
      <w:r>
        <w:rPr>
          <w:rFonts w:cs="FrankRuehl" w:hint="cs"/>
          <w:sz w:val="26"/>
          <w:rtl/>
        </w:rPr>
        <w:t>ג' באלול</w:t>
      </w:r>
      <w:r w:rsidR="00BD1625">
        <w:rPr>
          <w:rFonts w:cs="FrankRuehl" w:hint="cs"/>
          <w:sz w:val="26"/>
          <w:rtl/>
        </w:rPr>
        <w:t xml:space="preserve"> התשס"ט (</w:t>
      </w:r>
      <w:r>
        <w:rPr>
          <w:rFonts w:cs="FrankRuehl" w:hint="cs"/>
          <w:sz w:val="26"/>
          <w:rtl/>
        </w:rPr>
        <w:t>23 באוגוסט</w:t>
      </w:r>
      <w:r w:rsidR="00BD1625">
        <w:rPr>
          <w:rFonts w:cs="FrankRuehl" w:hint="cs"/>
          <w:sz w:val="26"/>
          <w:rtl/>
        </w:rPr>
        <w:t xml:space="preserve"> 2009)</w:t>
      </w:r>
      <w:r w:rsidR="00D50C5F">
        <w:rPr>
          <w:rFonts w:cs="FrankRuehl" w:hint="cs"/>
          <w:sz w:val="26"/>
          <w:rtl/>
        </w:rPr>
        <w:tab/>
      </w:r>
      <w:r>
        <w:rPr>
          <w:rFonts w:cs="FrankRuehl" w:hint="cs"/>
          <w:sz w:val="26"/>
          <w:rtl/>
        </w:rPr>
        <w:t>גדעון סער</w:t>
      </w:r>
    </w:p>
    <w:p w14:paraId="4E509D8B" w14:textId="77777777" w:rsidR="00D50C5F" w:rsidRDefault="00D50C5F" w:rsidP="00FD3CF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FD3CF5">
        <w:rPr>
          <w:rFonts w:cs="FrankRuehl" w:hint="cs"/>
          <w:sz w:val="22"/>
          <w:rtl/>
        </w:rPr>
        <w:t>החינוך</w:t>
      </w:r>
    </w:p>
    <w:p w14:paraId="05B8B2EB" w14:textId="77777777" w:rsidR="00094DD9" w:rsidRDefault="00094DD9" w:rsidP="00927A15">
      <w:pPr>
        <w:pStyle w:val="P00"/>
        <w:spacing w:before="72"/>
        <w:ind w:left="0" w:right="1134"/>
        <w:rPr>
          <w:rStyle w:val="default"/>
          <w:rFonts w:cs="FrankRuehl" w:hint="cs"/>
          <w:rtl/>
        </w:rPr>
      </w:pPr>
    </w:p>
    <w:p w14:paraId="19B4978C" w14:textId="77777777" w:rsidR="00927A15" w:rsidRDefault="00927A15" w:rsidP="00927A15">
      <w:pPr>
        <w:pStyle w:val="P00"/>
        <w:spacing w:before="72"/>
        <w:ind w:left="0" w:right="1134"/>
        <w:rPr>
          <w:rStyle w:val="default"/>
          <w:rFonts w:cs="FrankRuehl" w:hint="cs"/>
          <w:rtl/>
        </w:rPr>
      </w:pPr>
    </w:p>
    <w:p w14:paraId="402695D9" w14:textId="77777777" w:rsidR="004E4845" w:rsidRDefault="004E4845" w:rsidP="00927A15">
      <w:pPr>
        <w:pStyle w:val="P00"/>
        <w:spacing w:before="72"/>
        <w:ind w:left="0" w:right="1134"/>
        <w:rPr>
          <w:rStyle w:val="default"/>
          <w:rFonts w:cs="FrankRuehl"/>
          <w:rtl/>
        </w:rPr>
      </w:pPr>
    </w:p>
    <w:p w14:paraId="234F8452" w14:textId="77777777" w:rsidR="004E4845" w:rsidRDefault="004E4845" w:rsidP="00927A15">
      <w:pPr>
        <w:pStyle w:val="P00"/>
        <w:spacing w:before="72"/>
        <w:ind w:left="0" w:right="1134"/>
        <w:rPr>
          <w:rStyle w:val="default"/>
          <w:rFonts w:cs="FrankRuehl"/>
          <w:rtl/>
        </w:rPr>
      </w:pPr>
    </w:p>
    <w:p w14:paraId="3C93F323" w14:textId="77777777" w:rsidR="004E4845" w:rsidRDefault="004E4845" w:rsidP="004E484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12E36C25" w14:textId="77777777" w:rsidR="00C9259B" w:rsidRPr="004E4845" w:rsidRDefault="00C9259B" w:rsidP="004E4845">
      <w:pPr>
        <w:pStyle w:val="P00"/>
        <w:spacing w:before="72"/>
        <w:ind w:left="0" w:right="1134"/>
        <w:jc w:val="center"/>
        <w:rPr>
          <w:rStyle w:val="default"/>
          <w:rFonts w:cs="David"/>
          <w:color w:val="0000FF"/>
          <w:szCs w:val="24"/>
          <w:u w:val="single"/>
          <w:rtl/>
        </w:rPr>
      </w:pPr>
    </w:p>
    <w:sectPr w:rsidR="00C9259B" w:rsidRPr="004E484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3EAC" w14:textId="77777777" w:rsidR="007832D8" w:rsidRDefault="007832D8">
      <w:r>
        <w:separator/>
      </w:r>
    </w:p>
  </w:endnote>
  <w:endnote w:type="continuationSeparator" w:id="0">
    <w:p w14:paraId="4A397C92" w14:textId="77777777" w:rsidR="007832D8" w:rsidRDefault="0078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8EFA"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EDEF5A"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042411"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4845">
      <w:rPr>
        <w:rFonts w:cs="TopType Jerushalmi"/>
        <w:noProof/>
        <w:color w:val="000000"/>
        <w:sz w:val="14"/>
        <w:szCs w:val="14"/>
      </w:rPr>
      <w:t>Y:\Temp\Misrad-2003\00000000\2009----------------\09-Sep\2009-09-03\law\tav\500_200.doc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1C6D"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52B1">
      <w:rPr>
        <w:rFonts w:hAnsi="FrankRuehl" w:cs="FrankRuehl"/>
        <w:noProof/>
        <w:sz w:val="24"/>
        <w:szCs w:val="24"/>
        <w:rtl/>
      </w:rPr>
      <w:t>2</w:t>
    </w:r>
    <w:r>
      <w:rPr>
        <w:rFonts w:hAnsi="FrankRuehl" w:cs="FrankRuehl"/>
        <w:sz w:val="24"/>
        <w:szCs w:val="24"/>
        <w:rtl/>
      </w:rPr>
      <w:fldChar w:fldCharType="end"/>
    </w:r>
  </w:p>
  <w:p w14:paraId="59DD3479"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32EC9D"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4845">
      <w:rPr>
        <w:rFonts w:cs="TopType Jerushalmi"/>
        <w:noProof/>
        <w:color w:val="000000"/>
        <w:sz w:val="14"/>
        <w:szCs w:val="14"/>
      </w:rPr>
      <w:t>Y:\Temp\Misrad-2003\00000000\2009----------------\09-Sep\2009-09-03\law\tav\500_200.doc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AF73" w14:textId="77777777" w:rsidR="007832D8" w:rsidRDefault="007832D8" w:rsidP="007C57AA">
      <w:pPr>
        <w:spacing w:before="60" w:line="240" w:lineRule="auto"/>
        <w:ind w:right="1134"/>
      </w:pPr>
      <w:r>
        <w:separator/>
      </w:r>
    </w:p>
  </w:footnote>
  <w:footnote w:type="continuationSeparator" w:id="0">
    <w:p w14:paraId="02A1E96B" w14:textId="77777777" w:rsidR="007832D8" w:rsidRDefault="007832D8">
      <w:pPr>
        <w:spacing w:before="60"/>
        <w:ind w:right="1134"/>
      </w:pPr>
      <w:r>
        <w:separator/>
      </w:r>
    </w:p>
  </w:footnote>
  <w:footnote w:id="1">
    <w:p w14:paraId="3D208D42" w14:textId="77777777" w:rsidR="00A36AB8" w:rsidRDefault="00904EEA" w:rsidP="00A36A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0E6E54">
        <w:rPr>
          <w:rFonts w:cs="FrankRuehl" w:hint="cs"/>
          <w:rtl/>
        </w:rPr>
        <w:t>פורס</w:t>
      </w:r>
      <w:r w:rsidR="00094DD9">
        <w:rPr>
          <w:rFonts w:cs="FrankRuehl" w:hint="cs"/>
          <w:rtl/>
        </w:rPr>
        <w:t>מו</w:t>
      </w:r>
      <w:r w:rsidR="008C2526">
        <w:rPr>
          <w:rFonts w:cs="FrankRuehl" w:hint="cs"/>
          <w:rtl/>
        </w:rPr>
        <w:t xml:space="preserve"> </w:t>
      </w:r>
      <w:hyperlink r:id="rId1" w:history="1">
        <w:r w:rsidR="00BD1625" w:rsidRPr="00A36AB8">
          <w:rPr>
            <w:rStyle w:val="Hyperlink"/>
            <w:rFonts w:cs="FrankRuehl" w:hint="cs"/>
            <w:rtl/>
          </w:rPr>
          <w:t>ק"ת תשס"ט מס' 6</w:t>
        </w:r>
        <w:r w:rsidR="00D26AA4" w:rsidRPr="00A36AB8">
          <w:rPr>
            <w:rStyle w:val="Hyperlink"/>
            <w:rFonts w:cs="FrankRuehl" w:hint="cs"/>
            <w:rtl/>
          </w:rPr>
          <w:t>80</w:t>
        </w:r>
        <w:r w:rsidR="00094DD9" w:rsidRPr="00A36AB8">
          <w:rPr>
            <w:rStyle w:val="Hyperlink"/>
            <w:rFonts w:cs="FrankRuehl" w:hint="cs"/>
            <w:rtl/>
          </w:rPr>
          <w:t>6</w:t>
        </w:r>
      </w:hyperlink>
      <w:r w:rsidR="00BD1625">
        <w:rPr>
          <w:rFonts w:cs="FrankRuehl" w:hint="cs"/>
          <w:rtl/>
        </w:rPr>
        <w:t xml:space="preserve"> מיום </w:t>
      </w:r>
      <w:r w:rsidR="00094DD9">
        <w:rPr>
          <w:rFonts w:cs="FrankRuehl" w:hint="cs"/>
          <w:rtl/>
        </w:rPr>
        <w:t>3</w:t>
      </w:r>
      <w:r w:rsidR="00D26AA4">
        <w:rPr>
          <w:rFonts w:cs="FrankRuehl" w:hint="cs"/>
          <w:rtl/>
        </w:rPr>
        <w:t>0.8</w:t>
      </w:r>
      <w:r w:rsidR="00BD1625">
        <w:rPr>
          <w:rFonts w:cs="FrankRuehl" w:hint="cs"/>
          <w:rtl/>
        </w:rPr>
        <w:t xml:space="preserve">.2009 עמ' </w:t>
      </w:r>
      <w:r w:rsidR="00094DD9">
        <w:rPr>
          <w:rFonts w:cs="FrankRuehl" w:hint="cs"/>
          <w:rtl/>
        </w:rPr>
        <w:t>125</w:t>
      </w:r>
      <w:r w:rsidR="00A71DAC">
        <w:rPr>
          <w:rFonts w:cs="FrankRuehl" w:hint="cs"/>
          <w:rtl/>
        </w:rPr>
        <w:t>5</w:t>
      </w:r>
      <w:r w:rsidR="008C25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6D10"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0F0E7CA"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F8F637"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37D3" w14:textId="77777777" w:rsidR="00904EEA" w:rsidRDefault="00094DD9" w:rsidP="00A71DA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מוסדות חינוך תרבותיים ייחודיים (</w:t>
    </w:r>
    <w:r w:rsidR="00A71DAC">
      <w:rPr>
        <w:rFonts w:hAnsi="FrankRuehl" w:cs="FrankRuehl" w:hint="cs"/>
        <w:color w:val="000000"/>
        <w:sz w:val="28"/>
        <w:szCs w:val="28"/>
        <w:rtl/>
      </w:rPr>
      <w:t xml:space="preserve">סדרי הדין בוועדת ערר </w:t>
    </w:r>
    <w:r w:rsidR="00A71DAC">
      <w:rPr>
        <w:rFonts w:hAnsi="FrankRuehl" w:cs="FrankRuehl"/>
        <w:color w:val="000000"/>
        <w:sz w:val="28"/>
        <w:szCs w:val="28"/>
        <w:rtl/>
      </w:rPr>
      <w:t>–</w:t>
    </w:r>
    <w:r w:rsidR="00A71DAC">
      <w:rPr>
        <w:rFonts w:hAnsi="FrankRuehl" w:cs="FrankRuehl" w:hint="cs"/>
        <w:color w:val="000000"/>
        <w:sz w:val="28"/>
        <w:szCs w:val="28"/>
        <w:rtl/>
      </w:rPr>
      <w:t xml:space="preserve"> רישיון</w:t>
    </w:r>
    <w:r>
      <w:rPr>
        <w:rFonts w:hAnsi="FrankRuehl" w:cs="FrankRuehl" w:hint="cs"/>
        <w:color w:val="000000"/>
        <w:sz w:val="28"/>
        <w:szCs w:val="28"/>
        <w:rtl/>
      </w:rPr>
      <w:t>)</w:t>
    </w:r>
    <w:r w:rsidR="008C2526">
      <w:rPr>
        <w:rFonts w:hAnsi="FrankRuehl" w:cs="FrankRuehl" w:hint="cs"/>
        <w:color w:val="000000"/>
        <w:sz w:val="28"/>
        <w:szCs w:val="28"/>
        <w:rtl/>
      </w:rPr>
      <w:t>, תשס"ט-2009</w:t>
    </w:r>
  </w:p>
  <w:p w14:paraId="376A50BA"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A7B675"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2520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619D9"/>
    <w:rsid w:val="00062C31"/>
    <w:rsid w:val="00064468"/>
    <w:rsid w:val="000948CA"/>
    <w:rsid w:val="00094DD9"/>
    <w:rsid w:val="000C79C0"/>
    <w:rsid w:val="000D7097"/>
    <w:rsid w:val="000D7FBE"/>
    <w:rsid w:val="000E0D01"/>
    <w:rsid w:val="000E6E54"/>
    <w:rsid w:val="0010753D"/>
    <w:rsid w:val="00112119"/>
    <w:rsid w:val="00122C2E"/>
    <w:rsid w:val="001275F0"/>
    <w:rsid w:val="00186445"/>
    <w:rsid w:val="001C4AB6"/>
    <w:rsid w:val="001E0FA8"/>
    <w:rsid w:val="002216B6"/>
    <w:rsid w:val="002538D4"/>
    <w:rsid w:val="002C7187"/>
    <w:rsid w:val="002E3E60"/>
    <w:rsid w:val="002F76E8"/>
    <w:rsid w:val="0033109A"/>
    <w:rsid w:val="00333313"/>
    <w:rsid w:val="0033559B"/>
    <w:rsid w:val="00337032"/>
    <w:rsid w:val="00342C78"/>
    <w:rsid w:val="003528CA"/>
    <w:rsid w:val="00373ACB"/>
    <w:rsid w:val="0037705A"/>
    <w:rsid w:val="003A23D8"/>
    <w:rsid w:val="003D5BB0"/>
    <w:rsid w:val="003E10E3"/>
    <w:rsid w:val="003E17A4"/>
    <w:rsid w:val="003E74D6"/>
    <w:rsid w:val="003F5C71"/>
    <w:rsid w:val="00401963"/>
    <w:rsid w:val="0041737A"/>
    <w:rsid w:val="00431CAA"/>
    <w:rsid w:val="004355B4"/>
    <w:rsid w:val="0044263A"/>
    <w:rsid w:val="004555FD"/>
    <w:rsid w:val="00460500"/>
    <w:rsid w:val="00484974"/>
    <w:rsid w:val="00490D4B"/>
    <w:rsid w:val="0049129C"/>
    <w:rsid w:val="00495C68"/>
    <w:rsid w:val="004C3C1F"/>
    <w:rsid w:val="004C4E16"/>
    <w:rsid w:val="004E4845"/>
    <w:rsid w:val="004F31AA"/>
    <w:rsid w:val="004F32A4"/>
    <w:rsid w:val="004F512C"/>
    <w:rsid w:val="005416A0"/>
    <w:rsid w:val="005607E7"/>
    <w:rsid w:val="00574BC7"/>
    <w:rsid w:val="005A4835"/>
    <w:rsid w:val="005C17DB"/>
    <w:rsid w:val="005C6342"/>
    <w:rsid w:val="005D091B"/>
    <w:rsid w:val="005E3B35"/>
    <w:rsid w:val="005E67B1"/>
    <w:rsid w:val="005E682E"/>
    <w:rsid w:val="005E7167"/>
    <w:rsid w:val="00635CB5"/>
    <w:rsid w:val="00640B97"/>
    <w:rsid w:val="00642120"/>
    <w:rsid w:val="00672071"/>
    <w:rsid w:val="006849D8"/>
    <w:rsid w:val="00687666"/>
    <w:rsid w:val="006B5390"/>
    <w:rsid w:val="00700FF2"/>
    <w:rsid w:val="00720039"/>
    <w:rsid w:val="00752BF0"/>
    <w:rsid w:val="0076254E"/>
    <w:rsid w:val="0078071F"/>
    <w:rsid w:val="007832D8"/>
    <w:rsid w:val="007A1FF2"/>
    <w:rsid w:val="007B6045"/>
    <w:rsid w:val="007C0B21"/>
    <w:rsid w:val="007C57AA"/>
    <w:rsid w:val="008159FF"/>
    <w:rsid w:val="00852A6C"/>
    <w:rsid w:val="0085655A"/>
    <w:rsid w:val="0086107A"/>
    <w:rsid w:val="0087771D"/>
    <w:rsid w:val="0089792E"/>
    <w:rsid w:val="008A638E"/>
    <w:rsid w:val="008C2526"/>
    <w:rsid w:val="008E367E"/>
    <w:rsid w:val="00904EEA"/>
    <w:rsid w:val="00906581"/>
    <w:rsid w:val="00927A15"/>
    <w:rsid w:val="00955AC8"/>
    <w:rsid w:val="009C2916"/>
    <w:rsid w:val="009E2AAC"/>
    <w:rsid w:val="00A0666F"/>
    <w:rsid w:val="00A10AE2"/>
    <w:rsid w:val="00A141C3"/>
    <w:rsid w:val="00A14F70"/>
    <w:rsid w:val="00A36AB8"/>
    <w:rsid w:val="00A42C95"/>
    <w:rsid w:val="00A66F20"/>
    <w:rsid w:val="00A71DAC"/>
    <w:rsid w:val="00A9239A"/>
    <w:rsid w:val="00AB7FCA"/>
    <w:rsid w:val="00AC7B1B"/>
    <w:rsid w:val="00B12F53"/>
    <w:rsid w:val="00B134DF"/>
    <w:rsid w:val="00B17AF7"/>
    <w:rsid w:val="00B62BCF"/>
    <w:rsid w:val="00B8400A"/>
    <w:rsid w:val="00B84C6D"/>
    <w:rsid w:val="00B87DA4"/>
    <w:rsid w:val="00BD1625"/>
    <w:rsid w:val="00BE03B7"/>
    <w:rsid w:val="00BE37D5"/>
    <w:rsid w:val="00BF580C"/>
    <w:rsid w:val="00C07231"/>
    <w:rsid w:val="00C17A30"/>
    <w:rsid w:val="00C34AA6"/>
    <w:rsid w:val="00C53230"/>
    <w:rsid w:val="00C6067A"/>
    <w:rsid w:val="00C64BB0"/>
    <w:rsid w:val="00C90BBE"/>
    <w:rsid w:val="00C9259B"/>
    <w:rsid w:val="00CA174A"/>
    <w:rsid w:val="00CC2E3C"/>
    <w:rsid w:val="00CC7FEC"/>
    <w:rsid w:val="00CD6719"/>
    <w:rsid w:val="00D10BBD"/>
    <w:rsid w:val="00D25D5C"/>
    <w:rsid w:val="00D26AA4"/>
    <w:rsid w:val="00D3243E"/>
    <w:rsid w:val="00D33D4D"/>
    <w:rsid w:val="00D4088D"/>
    <w:rsid w:val="00D50C5F"/>
    <w:rsid w:val="00D5121D"/>
    <w:rsid w:val="00D55EBB"/>
    <w:rsid w:val="00D5641C"/>
    <w:rsid w:val="00D714B8"/>
    <w:rsid w:val="00D909F6"/>
    <w:rsid w:val="00DD6D56"/>
    <w:rsid w:val="00DE52B1"/>
    <w:rsid w:val="00DF1462"/>
    <w:rsid w:val="00DF2216"/>
    <w:rsid w:val="00E7431C"/>
    <w:rsid w:val="00E967BF"/>
    <w:rsid w:val="00EC16B8"/>
    <w:rsid w:val="00ED50FD"/>
    <w:rsid w:val="00EE528E"/>
    <w:rsid w:val="00EE70B6"/>
    <w:rsid w:val="00EF1C64"/>
    <w:rsid w:val="00F43F52"/>
    <w:rsid w:val="00F6207C"/>
    <w:rsid w:val="00F67F6D"/>
    <w:rsid w:val="00F810E4"/>
    <w:rsid w:val="00F87D85"/>
    <w:rsid w:val="00F97644"/>
    <w:rsid w:val="00FA1FFE"/>
    <w:rsid w:val="00FA7979"/>
    <w:rsid w:val="00FB27A7"/>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16D57E2"/>
  <w15:chartTrackingRefBased/>
  <w15:docId w15:val="{F64DC049-3CA5-4C9F-B82D-F78B0386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5747</CharactersWithSpaces>
  <SharedDoc>false</SharedDoc>
  <HLinks>
    <vt:vector size="108" baseType="variant">
      <vt:variant>
        <vt:i4>393283</vt:i4>
      </vt:variant>
      <vt:variant>
        <vt:i4>96</vt:i4>
      </vt:variant>
      <vt:variant>
        <vt:i4>0</vt:i4>
      </vt:variant>
      <vt:variant>
        <vt:i4>5</vt:i4>
      </vt:variant>
      <vt:variant>
        <vt:lpwstr>http://www.nevo.co.il/advertisements/nevo-100.doc</vt:lpwstr>
      </vt:variant>
      <vt:variant>
        <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8323078</vt:i4>
      </vt:variant>
      <vt:variant>
        <vt:i4>0</vt:i4>
      </vt:variant>
      <vt:variant>
        <vt:i4>0</vt:i4>
      </vt:variant>
      <vt:variant>
        <vt:i4>5</vt:i4>
      </vt:variant>
      <vt:variant>
        <vt:lpwstr>http://www.nevo.co.il/Law_word/law06/TAK-6806.pdf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מוסדות חינוך תרבותיים ייחודיים (סדרי הדין בוועדת ערר - רישיון), תשס"ט-2009</vt:lpwstr>
  </property>
  <property fmtid="{D5CDD505-2E9C-101B-9397-08002B2CF9AE}" pid="4" name="LAWNUMBER">
    <vt:lpwstr>0200</vt:lpwstr>
  </property>
  <property fmtid="{D5CDD505-2E9C-101B-9397-08002B2CF9AE}" pid="5" name="TYPE">
    <vt:lpwstr>01</vt:lpwstr>
  </property>
  <property fmtid="{D5CDD505-2E9C-101B-9397-08002B2CF9AE}" pid="6" name="CHNAME">
    <vt:lpwstr>חינוך</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LINKK1">
    <vt:lpwstr>http://www.nevo.co.il/Law_word/law06/TAK-6806.pdf;‎רשומות - תקנות כלליות#פורסמו ק"ת תשס"ט ‏מס' 6806 #מיום 30.8.2009 עמ' 1255‏</vt:lpwstr>
  </property>
  <property fmtid="{D5CDD505-2E9C-101B-9397-08002B2CF9AE}" pid="24" name="MEKOR_NAME1">
    <vt:lpwstr>חוק מוסדות חינוך תרבותיים ייחודיים</vt:lpwstr>
  </property>
  <property fmtid="{D5CDD505-2E9C-101B-9397-08002B2CF9AE}" pid="25" name="MEKOR_SAIF1">
    <vt:lpwstr>17XדX;38X</vt:lpwstr>
  </property>
  <property fmtid="{D5CDD505-2E9C-101B-9397-08002B2CF9AE}" pid="26" name="NOSE11">
    <vt:lpwstr>רשויות ומשפט מנהלי</vt:lpwstr>
  </property>
  <property fmtid="{D5CDD505-2E9C-101B-9397-08002B2CF9AE}" pid="27" name="NOSE21">
    <vt:lpwstr>חינוך</vt:lpwstr>
  </property>
  <property fmtid="{D5CDD505-2E9C-101B-9397-08002B2CF9AE}" pid="28" name="NOSE31">
    <vt:lpwstr>מוסדות חינוך</vt:lpwstr>
  </property>
  <property fmtid="{D5CDD505-2E9C-101B-9397-08002B2CF9AE}" pid="29" name="NOSE41">
    <vt:lpwstr>תרבותיים ייחודיים</vt:lpwstr>
  </property>
  <property fmtid="{D5CDD505-2E9C-101B-9397-08002B2CF9AE}" pid="30" name="NOSE12">
    <vt:lpwstr>רשויות ומשפט מנהלי</vt:lpwstr>
  </property>
  <property fmtid="{D5CDD505-2E9C-101B-9397-08002B2CF9AE}" pid="31" name="NOSE22">
    <vt:lpwstr>רישוי</vt:lpwstr>
  </property>
  <property fmtid="{D5CDD505-2E9C-101B-9397-08002B2CF9AE}" pid="32" name="NOSE32">
    <vt:lpwstr>ערר</vt:lpwstr>
  </property>
  <property fmtid="{D5CDD505-2E9C-101B-9397-08002B2CF9AE}" pid="33" name="NOSE42">
    <vt:lpwstr>סדרי דין</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