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7A1EA9" w:rsidP="0096256E">
      <w:pPr>
        <w:pStyle w:val="big-header"/>
        <w:ind w:left="0" w:right="1134"/>
        <w:rPr>
          <w:rFonts w:cs="FrankRuehl" w:hint="cs"/>
          <w:sz w:val="32"/>
          <w:rtl/>
        </w:rPr>
      </w:pPr>
      <w:r>
        <w:rPr>
          <w:rFonts w:cs="FrankRuehl" w:hint="cs"/>
          <w:sz w:val="32"/>
          <w:rtl/>
        </w:rPr>
        <w:t xml:space="preserve">תקנות </w:t>
      </w:r>
      <w:r w:rsidR="0096256E">
        <w:rPr>
          <w:rFonts w:cs="FrankRuehl" w:hint="cs"/>
          <w:sz w:val="32"/>
          <w:rtl/>
        </w:rPr>
        <w:t>מועצת הצמחים (ייצור ושיווק) (סדרי דין בפני ועדת קנסות</w:t>
      </w:r>
      <w:r w:rsidR="00564525">
        <w:rPr>
          <w:rFonts w:cs="FrankRuehl" w:hint="cs"/>
          <w:sz w:val="32"/>
          <w:rtl/>
        </w:rPr>
        <w:t>)</w:t>
      </w:r>
      <w:r w:rsidR="001B185E">
        <w:rPr>
          <w:rFonts w:cs="FrankRuehl" w:hint="cs"/>
          <w:sz w:val="32"/>
          <w:rtl/>
        </w:rPr>
        <w:t xml:space="preserve">, </w:t>
      </w:r>
      <w:r w:rsidR="0096256E">
        <w:rPr>
          <w:rFonts w:cs="FrankRuehl"/>
          <w:sz w:val="32"/>
          <w:rtl/>
        </w:rPr>
        <w:br/>
      </w:r>
      <w:r w:rsidR="001B185E">
        <w:rPr>
          <w:rFonts w:cs="FrankRuehl" w:hint="cs"/>
          <w:sz w:val="32"/>
          <w:rtl/>
        </w:rPr>
        <w:t>תש"ע-2010</w:t>
      </w:r>
    </w:p>
    <w:p w:rsidR="00263AC0" w:rsidRPr="00263AC0" w:rsidRDefault="00263AC0" w:rsidP="00263AC0">
      <w:pPr>
        <w:spacing w:line="320" w:lineRule="auto"/>
        <w:rPr>
          <w:rFonts w:cs="FrankRuehl"/>
          <w:szCs w:val="26"/>
          <w:rtl/>
        </w:rPr>
      </w:pPr>
    </w:p>
    <w:p w:rsidR="00B14719" w:rsidRDefault="00B14719" w:rsidP="00B14719">
      <w:pPr>
        <w:spacing w:line="320" w:lineRule="auto"/>
        <w:rPr>
          <w:rtl/>
        </w:rPr>
      </w:pPr>
    </w:p>
    <w:p w:rsidR="00263AC0" w:rsidRPr="00B14719" w:rsidRDefault="00B14719" w:rsidP="00B14719">
      <w:pPr>
        <w:spacing w:line="320" w:lineRule="auto"/>
        <w:rPr>
          <w:rFonts w:cs="Miriam"/>
          <w:szCs w:val="22"/>
          <w:rtl/>
        </w:rPr>
      </w:pPr>
      <w:r w:rsidRPr="00B14719">
        <w:rPr>
          <w:rFonts w:cs="Miriam"/>
          <w:szCs w:val="22"/>
          <w:rtl/>
        </w:rPr>
        <w:t>חקלאות טבע וסביבה</w:t>
      </w:r>
      <w:r w:rsidRPr="00B14719">
        <w:rPr>
          <w:rFonts w:cs="FrankRuehl"/>
          <w:szCs w:val="26"/>
          <w:rtl/>
        </w:rPr>
        <w:t xml:space="preserve"> – חקלאות – מועצת הצמחים – סדר דין</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p>
        </w:tc>
        <w:tc>
          <w:tcPr>
            <w:tcW w:w="5669" w:type="dxa"/>
          </w:tcPr>
          <w:p w:rsidR="00F54930" w:rsidRPr="00F54930" w:rsidRDefault="00F54930" w:rsidP="00F54930">
            <w:pPr>
              <w:rPr>
                <w:rFonts w:cs="Frankruhel" w:hint="cs"/>
                <w:rtl/>
              </w:rPr>
            </w:pPr>
            <w:r>
              <w:rPr>
                <w:rtl/>
              </w:rPr>
              <w:t>פרק א': פרשנות</w:t>
            </w:r>
          </w:p>
        </w:tc>
        <w:tc>
          <w:tcPr>
            <w:tcW w:w="567" w:type="dxa"/>
          </w:tcPr>
          <w:p w:rsidR="00F54930" w:rsidRPr="00F54930" w:rsidRDefault="00F54930" w:rsidP="00F54930">
            <w:pPr>
              <w:rPr>
                <w:rStyle w:val="Hyperlink"/>
                <w:rFonts w:hint="cs"/>
                <w:rtl/>
              </w:rPr>
            </w:pPr>
            <w:hyperlink w:anchor="med0" w:tooltip="פרק א: פרשנות"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 </w:t>
            </w:r>
          </w:p>
        </w:tc>
        <w:tc>
          <w:tcPr>
            <w:tcW w:w="5669" w:type="dxa"/>
          </w:tcPr>
          <w:p w:rsidR="00F54930" w:rsidRPr="00F54930" w:rsidRDefault="00F54930" w:rsidP="00F54930">
            <w:pPr>
              <w:rPr>
                <w:rFonts w:cs="Frankruhel" w:hint="cs"/>
                <w:rtl/>
              </w:rPr>
            </w:pPr>
            <w:r>
              <w:rPr>
                <w:rtl/>
              </w:rPr>
              <w:t>הגדרה</w:t>
            </w:r>
          </w:p>
        </w:tc>
        <w:tc>
          <w:tcPr>
            <w:tcW w:w="567" w:type="dxa"/>
          </w:tcPr>
          <w:p w:rsidR="00F54930" w:rsidRPr="00F54930" w:rsidRDefault="00F54930" w:rsidP="00F54930">
            <w:pPr>
              <w:rPr>
                <w:rStyle w:val="Hyperlink"/>
                <w:rFonts w:hint="cs"/>
                <w:rtl/>
              </w:rPr>
            </w:pPr>
            <w:hyperlink w:anchor="Seif1" w:tooltip="הגדר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p>
        </w:tc>
        <w:tc>
          <w:tcPr>
            <w:tcW w:w="5669" w:type="dxa"/>
          </w:tcPr>
          <w:p w:rsidR="00F54930" w:rsidRPr="00F54930" w:rsidRDefault="00F54930" w:rsidP="00F54930">
            <w:pPr>
              <w:rPr>
                <w:rFonts w:cs="Frankruhel" w:hint="cs"/>
                <w:rtl/>
              </w:rPr>
            </w:pPr>
            <w:r>
              <w:rPr>
                <w:rtl/>
              </w:rPr>
              <w:t>פרק ב': סדרי דין בפני ועדת קנסות</w:t>
            </w:r>
          </w:p>
        </w:tc>
        <w:tc>
          <w:tcPr>
            <w:tcW w:w="567" w:type="dxa"/>
          </w:tcPr>
          <w:p w:rsidR="00F54930" w:rsidRPr="00F54930" w:rsidRDefault="00F54930" w:rsidP="00F54930">
            <w:pPr>
              <w:rPr>
                <w:rStyle w:val="Hyperlink"/>
                <w:rFonts w:hint="cs"/>
                <w:rtl/>
              </w:rPr>
            </w:pPr>
            <w:hyperlink w:anchor="med1" w:tooltip="פרק ב: סדרי דין בפני ועדת קנסות"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 </w:t>
            </w:r>
          </w:p>
        </w:tc>
        <w:tc>
          <w:tcPr>
            <w:tcW w:w="5669" w:type="dxa"/>
          </w:tcPr>
          <w:p w:rsidR="00F54930" w:rsidRPr="00F54930" w:rsidRDefault="00F54930" w:rsidP="00F54930">
            <w:pPr>
              <w:rPr>
                <w:rFonts w:cs="Frankruhel" w:hint="cs"/>
                <w:rtl/>
              </w:rPr>
            </w:pPr>
            <w:r>
              <w:rPr>
                <w:rtl/>
              </w:rPr>
              <w:t>הגשת כתב אישום</w:t>
            </w:r>
          </w:p>
        </w:tc>
        <w:tc>
          <w:tcPr>
            <w:tcW w:w="567" w:type="dxa"/>
          </w:tcPr>
          <w:p w:rsidR="00F54930" w:rsidRPr="00F54930" w:rsidRDefault="00F54930" w:rsidP="00F54930">
            <w:pPr>
              <w:rPr>
                <w:rStyle w:val="Hyperlink"/>
                <w:rFonts w:hint="cs"/>
                <w:rtl/>
              </w:rPr>
            </w:pPr>
            <w:hyperlink w:anchor="Seif2" w:tooltip="הגשת כתב אישו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3 </w:t>
            </w:r>
          </w:p>
        </w:tc>
        <w:tc>
          <w:tcPr>
            <w:tcW w:w="5669" w:type="dxa"/>
          </w:tcPr>
          <w:p w:rsidR="00F54930" w:rsidRPr="00F54930" w:rsidRDefault="00F54930" w:rsidP="00F54930">
            <w:pPr>
              <w:rPr>
                <w:rFonts w:cs="Frankruhel" w:hint="cs"/>
                <w:rtl/>
              </w:rPr>
            </w:pPr>
            <w:r>
              <w:rPr>
                <w:rtl/>
              </w:rPr>
              <w:t>פרטי כתב אישום</w:t>
            </w:r>
          </w:p>
        </w:tc>
        <w:tc>
          <w:tcPr>
            <w:tcW w:w="567" w:type="dxa"/>
          </w:tcPr>
          <w:p w:rsidR="00F54930" w:rsidRPr="00F54930" w:rsidRDefault="00F54930" w:rsidP="00F54930">
            <w:pPr>
              <w:rPr>
                <w:rStyle w:val="Hyperlink"/>
                <w:rFonts w:hint="cs"/>
                <w:rtl/>
              </w:rPr>
            </w:pPr>
            <w:hyperlink w:anchor="Seif3" w:tooltip="פרטי כתב אישו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4 </w:t>
            </w:r>
          </w:p>
        </w:tc>
        <w:tc>
          <w:tcPr>
            <w:tcW w:w="5669" w:type="dxa"/>
          </w:tcPr>
          <w:p w:rsidR="00F54930" w:rsidRPr="00F54930" w:rsidRDefault="00F54930" w:rsidP="00F54930">
            <w:pPr>
              <w:rPr>
                <w:rFonts w:cs="Frankruhel" w:hint="cs"/>
                <w:rtl/>
              </w:rPr>
            </w:pPr>
            <w:r>
              <w:rPr>
                <w:rtl/>
              </w:rPr>
              <w:t>צירוף אישומים</w:t>
            </w:r>
          </w:p>
        </w:tc>
        <w:tc>
          <w:tcPr>
            <w:tcW w:w="567" w:type="dxa"/>
          </w:tcPr>
          <w:p w:rsidR="00F54930" w:rsidRPr="00F54930" w:rsidRDefault="00F54930" w:rsidP="00F54930">
            <w:pPr>
              <w:rPr>
                <w:rStyle w:val="Hyperlink"/>
                <w:rFonts w:hint="cs"/>
                <w:rtl/>
              </w:rPr>
            </w:pPr>
            <w:hyperlink w:anchor="Seif4" w:tooltip="צירוף אישומי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5 </w:t>
            </w:r>
          </w:p>
        </w:tc>
        <w:tc>
          <w:tcPr>
            <w:tcW w:w="5669" w:type="dxa"/>
          </w:tcPr>
          <w:p w:rsidR="00F54930" w:rsidRPr="00F54930" w:rsidRDefault="00F54930" w:rsidP="00F54930">
            <w:pPr>
              <w:rPr>
                <w:rFonts w:cs="Frankruhel" w:hint="cs"/>
                <w:rtl/>
              </w:rPr>
            </w:pPr>
            <w:r>
              <w:rPr>
                <w:rtl/>
              </w:rPr>
              <w:t>הפרדת הדיון</w:t>
            </w:r>
          </w:p>
        </w:tc>
        <w:tc>
          <w:tcPr>
            <w:tcW w:w="567" w:type="dxa"/>
          </w:tcPr>
          <w:p w:rsidR="00F54930" w:rsidRPr="00F54930" w:rsidRDefault="00F54930" w:rsidP="00F54930">
            <w:pPr>
              <w:rPr>
                <w:rStyle w:val="Hyperlink"/>
                <w:rFonts w:hint="cs"/>
                <w:rtl/>
              </w:rPr>
            </w:pPr>
            <w:hyperlink w:anchor="Seif5" w:tooltip="הפרדת הדיון"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6 </w:t>
            </w:r>
          </w:p>
        </w:tc>
        <w:tc>
          <w:tcPr>
            <w:tcW w:w="5669" w:type="dxa"/>
          </w:tcPr>
          <w:p w:rsidR="00F54930" w:rsidRPr="00F54930" w:rsidRDefault="00F54930" w:rsidP="00F54930">
            <w:pPr>
              <w:rPr>
                <w:rFonts w:cs="Frankruhel" w:hint="cs"/>
                <w:rtl/>
              </w:rPr>
            </w:pPr>
            <w:r>
              <w:rPr>
                <w:rtl/>
              </w:rPr>
              <w:t>חזרה מאישום</w:t>
            </w:r>
          </w:p>
        </w:tc>
        <w:tc>
          <w:tcPr>
            <w:tcW w:w="567" w:type="dxa"/>
          </w:tcPr>
          <w:p w:rsidR="00F54930" w:rsidRPr="00F54930" w:rsidRDefault="00F54930" w:rsidP="00F54930">
            <w:pPr>
              <w:rPr>
                <w:rStyle w:val="Hyperlink"/>
                <w:rFonts w:hint="cs"/>
                <w:rtl/>
              </w:rPr>
            </w:pPr>
            <w:hyperlink w:anchor="Seif6" w:tooltip="חזרה מאישו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7 </w:t>
            </w:r>
          </w:p>
        </w:tc>
        <w:tc>
          <w:tcPr>
            <w:tcW w:w="5669" w:type="dxa"/>
          </w:tcPr>
          <w:p w:rsidR="00F54930" w:rsidRPr="00F54930" w:rsidRDefault="00F54930" w:rsidP="00F54930">
            <w:pPr>
              <w:rPr>
                <w:rFonts w:cs="Frankruhel" w:hint="cs"/>
                <w:rtl/>
              </w:rPr>
            </w:pPr>
            <w:r>
              <w:rPr>
                <w:rtl/>
              </w:rPr>
              <w:t>תוצאות החזרה</w:t>
            </w:r>
          </w:p>
        </w:tc>
        <w:tc>
          <w:tcPr>
            <w:tcW w:w="567" w:type="dxa"/>
          </w:tcPr>
          <w:p w:rsidR="00F54930" w:rsidRPr="00F54930" w:rsidRDefault="00F54930" w:rsidP="00F54930">
            <w:pPr>
              <w:rPr>
                <w:rStyle w:val="Hyperlink"/>
                <w:rFonts w:hint="cs"/>
                <w:rtl/>
              </w:rPr>
            </w:pPr>
            <w:hyperlink w:anchor="Seif7" w:tooltip="תוצאות החזר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8 </w:t>
            </w:r>
          </w:p>
        </w:tc>
        <w:tc>
          <w:tcPr>
            <w:tcW w:w="5669" w:type="dxa"/>
          </w:tcPr>
          <w:p w:rsidR="00F54930" w:rsidRPr="00F54930" w:rsidRDefault="00F54930" w:rsidP="00F54930">
            <w:pPr>
              <w:rPr>
                <w:rFonts w:cs="Frankruhel" w:hint="cs"/>
                <w:rtl/>
              </w:rPr>
            </w:pPr>
            <w:r>
              <w:rPr>
                <w:rtl/>
              </w:rPr>
              <w:t>המצאת כתב אישום לנאשם</w:t>
            </w:r>
          </w:p>
        </w:tc>
        <w:tc>
          <w:tcPr>
            <w:tcW w:w="567" w:type="dxa"/>
          </w:tcPr>
          <w:p w:rsidR="00F54930" w:rsidRPr="00F54930" w:rsidRDefault="00F54930" w:rsidP="00F54930">
            <w:pPr>
              <w:rPr>
                <w:rStyle w:val="Hyperlink"/>
                <w:rFonts w:hint="cs"/>
                <w:rtl/>
              </w:rPr>
            </w:pPr>
            <w:hyperlink w:anchor="Seif8" w:tooltip="המצאת כתב אישום לנאש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9 </w:t>
            </w:r>
          </w:p>
        </w:tc>
        <w:tc>
          <w:tcPr>
            <w:tcW w:w="5669" w:type="dxa"/>
          </w:tcPr>
          <w:p w:rsidR="00F54930" w:rsidRPr="00F54930" w:rsidRDefault="00F54930" w:rsidP="00F54930">
            <w:pPr>
              <w:rPr>
                <w:rFonts w:cs="Frankruhel" w:hint="cs"/>
                <w:rtl/>
              </w:rPr>
            </w:pPr>
            <w:r>
              <w:rPr>
                <w:rtl/>
              </w:rPr>
              <w:t>כפירה</w:t>
            </w:r>
          </w:p>
        </w:tc>
        <w:tc>
          <w:tcPr>
            <w:tcW w:w="567" w:type="dxa"/>
          </w:tcPr>
          <w:p w:rsidR="00F54930" w:rsidRPr="00F54930" w:rsidRDefault="00F54930" w:rsidP="00F54930">
            <w:pPr>
              <w:rPr>
                <w:rStyle w:val="Hyperlink"/>
                <w:rFonts w:hint="cs"/>
                <w:rtl/>
              </w:rPr>
            </w:pPr>
            <w:hyperlink w:anchor="Seif9" w:tooltip="כפיר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10 </w:t>
            </w:r>
          </w:p>
        </w:tc>
        <w:tc>
          <w:tcPr>
            <w:tcW w:w="5669" w:type="dxa"/>
          </w:tcPr>
          <w:p w:rsidR="00F54930" w:rsidRPr="00F54930" w:rsidRDefault="00F54930" w:rsidP="00F54930">
            <w:pPr>
              <w:rPr>
                <w:rFonts w:cs="Frankruhel" w:hint="cs"/>
                <w:rtl/>
              </w:rPr>
            </w:pPr>
            <w:r>
              <w:rPr>
                <w:rtl/>
              </w:rPr>
              <w:t>קביעת מועד הדיון</w:t>
            </w:r>
          </w:p>
        </w:tc>
        <w:tc>
          <w:tcPr>
            <w:tcW w:w="567" w:type="dxa"/>
          </w:tcPr>
          <w:p w:rsidR="00F54930" w:rsidRPr="00F54930" w:rsidRDefault="00F54930" w:rsidP="00F54930">
            <w:pPr>
              <w:rPr>
                <w:rStyle w:val="Hyperlink"/>
                <w:rFonts w:hint="cs"/>
                <w:rtl/>
              </w:rPr>
            </w:pPr>
            <w:hyperlink w:anchor="Seif10" w:tooltip="קביעת מועד הדיון"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11 </w:t>
            </w:r>
          </w:p>
        </w:tc>
        <w:tc>
          <w:tcPr>
            <w:tcW w:w="5669" w:type="dxa"/>
          </w:tcPr>
          <w:p w:rsidR="00F54930" w:rsidRPr="00F54930" w:rsidRDefault="00F54930" w:rsidP="00F54930">
            <w:pPr>
              <w:rPr>
                <w:rFonts w:cs="Frankruhel" w:hint="cs"/>
                <w:rtl/>
              </w:rPr>
            </w:pPr>
            <w:r>
              <w:rPr>
                <w:rtl/>
              </w:rPr>
              <w:t>נוכחות הנאשם</w:t>
            </w:r>
          </w:p>
        </w:tc>
        <w:tc>
          <w:tcPr>
            <w:tcW w:w="567" w:type="dxa"/>
          </w:tcPr>
          <w:p w:rsidR="00F54930" w:rsidRPr="00F54930" w:rsidRDefault="00F54930" w:rsidP="00F54930">
            <w:pPr>
              <w:rPr>
                <w:rStyle w:val="Hyperlink"/>
                <w:rFonts w:hint="cs"/>
                <w:rtl/>
              </w:rPr>
            </w:pPr>
            <w:hyperlink w:anchor="Seif11" w:tooltip="נוכחות הנאש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12 </w:t>
            </w:r>
          </w:p>
        </w:tc>
        <w:tc>
          <w:tcPr>
            <w:tcW w:w="5669" w:type="dxa"/>
          </w:tcPr>
          <w:p w:rsidR="00F54930" w:rsidRPr="00F54930" w:rsidRDefault="00F54930" w:rsidP="00F54930">
            <w:pPr>
              <w:rPr>
                <w:rFonts w:cs="Frankruhel" w:hint="cs"/>
                <w:rtl/>
              </w:rPr>
            </w:pPr>
            <w:r>
              <w:rPr>
                <w:rtl/>
              </w:rPr>
              <w:t>הודיה בכתב</w:t>
            </w:r>
          </w:p>
        </w:tc>
        <w:tc>
          <w:tcPr>
            <w:tcW w:w="567" w:type="dxa"/>
          </w:tcPr>
          <w:p w:rsidR="00F54930" w:rsidRPr="00F54930" w:rsidRDefault="00F54930" w:rsidP="00F54930">
            <w:pPr>
              <w:rPr>
                <w:rStyle w:val="Hyperlink"/>
                <w:rFonts w:hint="cs"/>
                <w:rtl/>
              </w:rPr>
            </w:pPr>
            <w:hyperlink w:anchor="Seif12" w:tooltip="הודיה בכתב"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13 </w:t>
            </w:r>
          </w:p>
        </w:tc>
        <w:tc>
          <w:tcPr>
            <w:tcW w:w="5669" w:type="dxa"/>
          </w:tcPr>
          <w:p w:rsidR="00F54930" w:rsidRPr="00F54930" w:rsidRDefault="00F54930" w:rsidP="00F54930">
            <w:pPr>
              <w:rPr>
                <w:rFonts w:cs="Frankruhel" w:hint="cs"/>
                <w:rtl/>
              </w:rPr>
            </w:pPr>
            <w:r>
              <w:rPr>
                <w:rtl/>
              </w:rPr>
              <w:t>הודיה בכתב אינה מונעת טענות מקדמיות</w:t>
            </w:r>
          </w:p>
        </w:tc>
        <w:tc>
          <w:tcPr>
            <w:tcW w:w="567" w:type="dxa"/>
          </w:tcPr>
          <w:p w:rsidR="00F54930" w:rsidRPr="00F54930" w:rsidRDefault="00F54930" w:rsidP="00F54930">
            <w:pPr>
              <w:rPr>
                <w:rStyle w:val="Hyperlink"/>
                <w:rFonts w:hint="cs"/>
                <w:rtl/>
              </w:rPr>
            </w:pPr>
            <w:hyperlink w:anchor="Seif13" w:tooltip="הודיה בכתב אינה מונעת טענות מקדמיות"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14 </w:t>
            </w:r>
          </w:p>
        </w:tc>
        <w:tc>
          <w:tcPr>
            <w:tcW w:w="5669" w:type="dxa"/>
          </w:tcPr>
          <w:p w:rsidR="00F54930" w:rsidRPr="00F54930" w:rsidRDefault="00F54930" w:rsidP="00F54930">
            <w:pPr>
              <w:rPr>
                <w:rFonts w:cs="Frankruhel" w:hint="cs"/>
                <w:rtl/>
              </w:rPr>
            </w:pPr>
            <w:r>
              <w:rPr>
                <w:rtl/>
              </w:rPr>
              <w:t>העדר תביעה</w:t>
            </w:r>
          </w:p>
        </w:tc>
        <w:tc>
          <w:tcPr>
            <w:tcW w:w="567" w:type="dxa"/>
          </w:tcPr>
          <w:p w:rsidR="00F54930" w:rsidRPr="00F54930" w:rsidRDefault="00F54930" w:rsidP="00F54930">
            <w:pPr>
              <w:rPr>
                <w:rStyle w:val="Hyperlink"/>
                <w:rFonts w:hint="cs"/>
                <w:rtl/>
              </w:rPr>
            </w:pPr>
            <w:hyperlink w:anchor="Seif14" w:tooltip="העדר תביע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15 </w:t>
            </w:r>
          </w:p>
        </w:tc>
        <w:tc>
          <w:tcPr>
            <w:tcW w:w="5669" w:type="dxa"/>
          </w:tcPr>
          <w:p w:rsidR="00F54930" w:rsidRPr="00F54930" w:rsidRDefault="00F54930" w:rsidP="00F54930">
            <w:pPr>
              <w:rPr>
                <w:rFonts w:cs="Frankruhel" w:hint="cs"/>
                <w:rtl/>
              </w:rPr>
            </w:pPr>
            <w:r>
              <w:rPr>
                <w:rtl/>
              </w:rPr>
              <w:t>הקראת כתב אישום</w:t>
            </w:r>
          </w:p>
        </w:tc>
        <w:tc>
          <w:tcPr>
            <w:tcW w:w="567" w:type="dxa"/>
          </w:tcPr>
          <w:p w:rsidR="00F54930" w:rsidRPr="00F54930" w:rsidRDefault="00F54930" w:rsidP="00F54930">
            <w:pPr>
              <w:rPr>
                <w:rStyle w:val="Hyperlink"/>
                <w:rFonts w:hint="cs"/>
                <w:rtl/>
              </w:rPr>
            </w:pPr>
            <w:hyperlink w:anchor="Seif15" w:tooltip="הקראת כתב אישו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16 </w:t>
            </w:r>
          </w:p>
        </w:tc>
        <w:tc>
          <w:tcPr>
            <w:tcW w:w="5669" w:type="dxa"/>
          </w:tcPr>
          <w:p w:rsidR="00F54930" w:rsidRPr="00F54930" w:rsidRDefault="00F54930" w:rsidP="00F54930">
            <w:pPr>
              <w:rPr>
                <w:rFonts w:cs="Frankruhel" w:hint="cs"/>
                <w:rtl/>
              </w:rPr>
            </w:pPr>
            <w:r>
              <w:rPr>
                <w:rtl/>
              </w:rPr>
              <w:t>הגשת התביעה</w:t>
            </w:r>
          </w:p>
        </w:tc>
        <w:tc>
          <w:tcPr>
            <w:tcW w:w="567" w:type="dxa"/>
          </w:tcPr>
          <w:p w:rsidR="00F54930" w:rsidRPr="00F54930" w:rsidRDefault="00F54930" w:rsidP="00F54930">
            <w:pPr>
              <w:rPr>
                <w:rStyle w:val="Hyperlink"/>
                <w:rFonts w:hint="cs"/>
                <w:rtl/>
              </w:rPr>
            </w:pPr>
            <w:hyperlink w:anchor="Seif16" w:tooltip="הגשת התביע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17 </w:t>
            </w:r>
          </w:p>
        </w:tc>
        <w:tc>
          <w:tcPr>
            <w:tcW w:w="5669" w:type="dxa"/>
          </w:tcPr>
          <w:p w:rsidR="00F54930" w:rsidRPr="00F54930" w:rsidRDefault="00F54930" w:rsidP="00F54930">
            <w:pPr>
              <w:rPr>
                <w:rFonts w:cs="Frankruhel" w:hint="cs"/>
                <w:rtl/>
              </w:rPr>
            </w:pPr>
            <w:r>
              <w:rPr>
                <w:rtl/>
              </w:rPr>
              <w:t>חזרה מהודאה</w:t>
            </w:r>
          </w:p>
        </w:tc>
        <w:tc>
          <w:tcPr>
            <w:tcW w:w="567" w:type="dxa"/>
          </w:tcPr>
          <w:p w:rsidR="00F54930" w:rsidRPr="00F54930" w:rsidRDefault="00F54930" w:rsidP="00F54930">
            <w:pPr>
              <w:rPr>
                <w:rStyle w:val="Hyperlink"/>
                <w:rFonts w:hint="cs"/>
                <w:rtl/>
              </w:rPr>
            </w:pPr>
            <w:hyperlink w:anchor="Seif17" w:tooltip="חזרה מהודא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18 </w:t>
            </w:r>
          </w:p>
        </w:tc>
        <w:tc>
          <w:tcPr>
            <w:tcW w:w="5669" w:type="dxa"/>
          </w:tcPr>
          <w:p w:rsidR="00F54930" w:rsidRPr="00F54930" w:rsidRDefault="00F54930" w:rsidP="00F54930">
            <w:pPr>
              <w:rPr>
                <w:rFonts w:cs="Frankruhel" w:hint="cs"/>
                <w:rtl/>
              </w:rPr>
            </w:pPr>
            <w:r>
              <w:rPr>
                <w:rtl/>
              </w:rPr>
              <w:t>טענת חוסר עילה</w:t>
            </w:r>
          </w:p>
        </w:tc>
        <w:tc>
          <w:tcPr>
            <w:tcW w:w="567" w:type="dxa"/>
          </w:tcPr>
          <w:p w:rsidR="00F54930" w:rsidRPr="00F54930" w:rsidRDefault="00F54930" w:rsidP="00F54930">
            <w:pPr>
              <w:rPr>
                <w:rStyle w:val="Hyperlink"/>
                <w:rFonts w:hint="cs"/>
                <w:rtl/>
              </w:rPr>
            </w:pPr>
            <w:hyperlink w:anchor="Seif18" w:tooltip="טענת חוסר עיל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19 </w:t>
            </w:r>
          </w:p>
        </w:tc>
        <w:tc>
          <w:tcPr>
            <w:tcW w:w="5669" w:type="dxa"/>
          </w:tcPr>
          <w:p w:rsidR="00F54930" w:rsidRPr="00F54930" w:rsidRDefault="00F54930" w:rsidP="00F54930">
            <w:pPr>
              <w:rPr>
                <w:rFonts w:cs="Frankruhel" w:hint="cs"/>
                <w:rtl/>
              </w:rPr>
            </w:pPr>
            <w:r>
              <w:rPr>
                <w:rtl/>
              </w:rPr>
              <w:t>זיכוי בהעדר הוכחה לכאורה</w:t>
            </w:r>
          </w:p>
        </w:tc>
        <w:tc>
          <w:tcPr>
            <w:tcW w:w="567" w:type="dxa"/>
          </w:tcPr>
          <w:p w:rsidR="00F54930" w:rsidRPr="00F54930" w:rsidRDefault="00F54930" w:rsidP="00F54930">
            <w:pPr>
              <w:rPr>
                <w:rStyle w:val="Hyperlink"/>
                <w:rFonts w:hint="cs"/>
                <w:rtl/>
              </w:rPr>
            </w:pPr>
            <w:hyperlink w:anchor="Seif19" w:tooltip="זיכוי בהעדר הוכחה לכאור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20 </w:t>
            </w:r>
          </w:p>
        </w:tc>
        <w:tc>
          <w:tcPr>
            <w:tcW w:w="5669" w:type="dxa"/>
          </w:tcPr>
          <w:p w:rsidR="00F54930" w:rsidRPr="00F54930" w:rsidRDefault="00F54930" w:rsidP="00F54930">
            <w:pPr>
              <w:rPr>
                <w:rFonts w:cs="Frankruhel" w:hint="cs"/>
                <w:rtl/>
              </w:rPr>
            </w:pPr>
            <w:r>
              <w:rPr>
                <w:rtl/>
              </w:rPr>
              <w:t>פרשת ההגנה</w:t>
            </w:r>
          </w:p>
        </w:tc>
        <w:tc>
          <w:tcPr>
            <w:tcW w:w="567" w:type="dxa"/>
          </w:tcPr>
          <w:p w:rsidR="00F54930" w:rsidRPr="00F54930" w:rsidRDefault="00F54930" w:rsidP="00F54930">
            <w:pPr>
              <w:rPr>
                <w:rStyle w:val="Hyperlink"/>
                <w:rFonts w:hint="cs"/>
                <w:rtl/>
              </w:rPr>
            </w:pPr>
            <w:hyperlink w:anchor="Seif20" w:tooltip="פרשת ההגנ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21 </w:t>
            </w:r>
          </w:p>
        </w:tc>
        <w:tc>
          <w:tcPr>
            <w:tcW w:w="5669" w:type="dxa"/>
          </w:tcPr>
          <w:p w:rsidR="00F54930" w:rsidRPr="00F54930" w:rsidRDefault="00F54930" w:rsidP="00F54930">
            <w:pPr>
              <w:rPr>
                <w:rFonts w:cs="Frankruhel" w:hint="cs"/>
                <w:rtl/>
              </w:rPr>
            </w:pPr>
            <w:r>
              <w:rPr>
                <w:rtl/>
              </w:rPr>
              <w:t>סיכומים</w:t>
            </w:r>
          </w:p>
        </w:tc>
        <w:tc>
          <w:tcPr>
            <w:tcW w:w="567" w:type="dxa"/>
          </w:tcPr>
          <w:p w:rsidR="00F54930" w:rsidRPr="00F54930" w:rsidRDefault="00F54930" w:rsidP="00F54930">
            <w:pPr>
              <w:rPr>
                <w:rStyle w:val="Hyperlink"/>
                <w:rFonts w:hint="cs"/>
                <w:rtl/>
              </w:rPr>
            </w:pPr>
            <w:hyperlink w:anchor="Seif21" w:tooltip="סיכומי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22 </w:t>
            </w:r>
          </w:p>
        </w:tc>
        <w:tc>
          <w:tcPr>
            <w:tcW w:w="5669" w:type="dxa"/>
          </w:tcPr>
          <w:p w:rsidR="00F54930" w:rsidRPr="00F54930" w:rsidRDefault="00F54930" w:rsidP="00F54930">
            <w:pPr>
              <w:rPr>
                <w:rFonts w:cs="Frankruhel" w:hint="cs"/>
                <w:rtl/>
              </w:rPr>
            </w:pPr>
            <w:r>
              <w:rPr>
                <w:rtl/>
              </w:rPr>
              <w:t>הכרעת דין</w:t>
            </w:r>
          </w:p>
        </w:tc>
        <w:tc>
          <w:tcPr>
            <w:tcW w:w="567" w:type="dxa"/>
          </w:tcPr>
          <w:p w:rsidR="00F54930" w:rsidRPr="00F54930" w:rsidRDefault="00F54930" w:rsidP="00F54930">
            <w:pPr>
              <w:rPr>
                <w:rStyle w:val="Hyperlink"/>
                <w:rFonts w:hint="cs"/>
                <w:rtl/>
              </w:rPr>
            </w:pPr>
            <w:hyperlink w:anchor="Seif22" w:tooltip="הכרעת דין"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23 </w:t>
            </w:r>
          </w:p>
        </w:tc>
        <w:tc>
          <w:tcPr>
            <w:tcW w:w="5669" w:type="dxa"/>
          </w:tcPr>
          <w:p w:rsidR="00F54930" w:rsidRPr="00F54930" w:rsidRDefault="00F54930" w:rsidP="00F54930">
            <w:pPr>
              <w:rPr>
                <w:rFonts w:cs="Frankruhel" w:hint="cs"/>
                <w:rtl/>
              </w:rPr>
            </w:pPr>
            <w:r>
              <w:rPr>
                <w:rtl/>
              </w:rPr>
              <w:t>חיוב בעבירה על פי העובדות שהוכחו</w:t>
            </w:r>
          </w:p>
        </w:tc>
        <w:tc>
          <w:tcPr>
            <w:tcW w:w="567" w:type="dxa"/>
          </w:tcPr>
          <w:p w:rsidR="00F54930" w:rsidRPr="00F54930" w:rsidRDefault="00F54930" w:rsidP="00F54930">
            <w:pPr>
              <w:rPr>
                <w:rStyle w:val="Hyperlink"/>
                <w:rFonts w:hint="cs"/>
                <w:rtl/>
              </w:rPr>
            </w:pPr>
            <w:hyperlink w:anchor="Seif23" w:tooltip="חיוב בעבירה על פי העובדות שהוכחו"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24 </w:t>
            </w:r>
          </w:p>
        </w:tc>
        <w:tc>
          <w:tcPr>
            <w:tcW w:w="5669" w:type="dxa"/>
          </w:tcPr>
          <w:p w:rsidR="00F54930" w:rsidRPr="00F54930" w:rsidRDefault="00F54930" w:rsidP="00F54930">
            <w:pPr>
              <w:rPr>
                <w:rFonts w:cs="Frankruhel" w:hint="cs"/>
                <w:rtl/>
              </w:rPr>
            </w:pPr>
            <w:r>
              <w:rPr>
                <w:rtl/>
              </w:rPr>
              <w:t>טענות וראיות לעניין שיעור הקנס</w:t>
            </w:r>
          </w:p>
        </w:tc>
        <w:tc>
          <w:tcPr>
            <w:tcW w:w="567" w:type="dxa"/>
          </w:tcPr>
          <w:p w:rsidR="00F54930" w:rsidRPr="00F54930" w:rsidRDefault="00F54930" w:rsidP="00F54930">
            <w:pPr>
              <w:rPr>
                <w:rStyle w:val="Hyperlink"/>
                <w:rFonts w:hint="cs"/>
                <w:rtl/>
              </w:rPr>
            </w:pPr>
            <w:hyperlink w:anchor="Seif24" w:tooltip="טענות וראיות לעניין שיעור הקנס"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25 </w:t>
            </w:r>
          </w:p>
        </w:tc>
        <w:tc>
          <w:tcPr>
            <w:tcW w:w="5669" w:type="dxa"/>
          </w:tcPr>
          <w:p w:rsidR="00F54930" w:rsidRPr="00F54930" w:rsidRDefault="00F54930" w:rsidP="00F54930">
            <w:pPr>
              <w:rPr>
                <w:rFonts w:cs="Frankruhel" w:hint="cs"/>
                <w:rtl/>
              </w:rPr>
            </w:pPr>
            <w:r>
              <w:rPr>
                <w:rtl/>
              </w:rPr>
              <w:t>גזר דין</w:t>
            </w:r>
          </w:p>
        </w:tc>
        <w:tc>
          <w:tcPr>
            <w:tcW w:w="567" w:type="dxa"/>
          </w:tcPr>
          <w:p w:rsidR="00F54930" w:rsidRPr="00F54930" w:rsidRDefault="00F54930" w:rsidP="00F54930">
            <w:pPr>
              <w:rPr>
                <w:rStyle w:val="Hyperlink"/>
                <w:rFonts w:hint="cs"/>
                <w:rtl/>
              </w:rPr>
            </w:pPr>
            <w:hyperlink w:anchor="Seif25" w:tooltip="גזר דין"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4</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p>
        </w:tc>
        <w:tc>
          <w:tcPr>
            <w:tcW w:w="5669" w:type="dxa"/>
          </w:tcPr>
          <w:p w:rsidR="00F54930" w:rsidRPr="00F54930" w:rsidRDefault="00F54930" w:rsidP="00F54930">
            <w:pPr>
              <w:rPr>
                <w:rFonts w:cs="Frankruhel" w:hint="cs"/>
                <w:rtl/>
              </w:rPr>
            </w:pPr>
            <w:r>
              <w:rPr>
                <w:rtl/>
              </w:rPr>
              <w:t>פרק ג': הוראות שונות</w:t>
            </w:r>
          </w:p>
        </w:tc>
        <w:tc>
          <w:tcPr>
            <w:tcW w:w="567" w:type="dxa"/>
          </w:tcPr>
          <w:p w:rsidR="00F54930" w:rsidRPr="00F54930" w:rsidRDefault="00F54930" w:rsidP="00F54930">
            <w:pPr>
              <w:rPr>
                <w:rStyle w:val="Hyperlink"/>
                <w:rFonts w:hint="cs"/>
                <w:rtl/>
              </w:rPr>
            </w:pPr>
            <w:hyperlink w:anchor="med2" w:tooltip="פרק ג: הוראות שונות"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26 </w:t>
            </w:r>
          </w:p>
        </w:tc>
        <w:tc>
          <w:tcPr>
            <w:tcW w:w="5669" w:type="dxa"/>
          </w:tcPr>
          <w:p w:rsidR="00F54930" w:rsidRPr="00F54930" w:rsidRDefault="00F54930" w:rsidP="00F54930">
            <w:pPr>
              <w:rPr>
                <w:rFonts w:cs="Frankruhel" w:hint="cs"/>
                <w:rtl/>
              </w:rPr>
            </w:pPr>
            <w:r>
              <w:rPr>
                <w:rtl/>
              </w:rPr>
              <w:t>החלטות ברוב דעות</w:t>
            </w:r>
          </w:p>
        </w:tc>
        <w:tc>
          <w:tcPr>
            <w:tcW w:w="567" w:type="dxa"/>
          </w:tcPr>
          <w:p w:rsidR="00F54930" w:rsidRPr="00F54930" w:rsidRDefault="00F54930" w:rsidP="00F54930">
            <w:pPr>
              <w:rPr>
                <w:rStyle w:val="Hyperlink"/>
                <w:rFonts w:hint="cs"/>
                <w:rtl/>
              </w:rPr>
            </w:pPr>
            <w:hyperlink w:anchor="Seif26" w:tooltip="החלטות ברוב דעות"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27 </w:t>
            </w:r>
          </w:p>
        </w:tc>
        <w:tc>
          <w:tcPr>
            <w:tcW w:w="5669" w:type="dxa"/>
          </w:tcPr>
          <w:p w:rsidR="00F54930" w:rsidRPr="00F54930" w:rsidRDefault="00F54930" w:rsidP="00F54930">
            <w:pPr>
              <w:rPr>
                <w:rFonts w:cs="Frankruhel" w:hint="cs"/>
                <w:rtl/>
              </w:rPr>
            </w:pPr>
            <w:r>
              <w:rPr>
                <w:rtl/>
              </w:rPr>
              <w:t>דעת מיעוט</w:t>
            </w:r>
          </w:p>
        </w:tc>
        <w:tc>
          <w:tcPr>
            <w:tcW w:w="567" w:type="dxa"/>
          </w:tcPr>
          <w:p w:rsidR="00F54930" w:rsidRPr="00F54930" w:rsidRDefault="00F54930" w:rsidP="00F54930">
            <w:pPr>
              <w:rPr>
                <w:rStyle w:val="Hyperlink"/>
                <w:rFonts w:hint="cs"/>
                <w:rtl/>
              </w:rPr>
            </w:pPr>
            <w:hyperlink w:anchor="Seif27" w:tooltip="דעת מיעוט"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28 </w:t>
            </w:r>
          </w:p>
        </w:tc>
        <w:tc>
          <w:tcPr>
            <w:tcW w:w="5669" w:type="dxa"/>
          </w:tcPr>
          <w:p w:rsidR="00F54930" w:rsidRPr="00F54930" w:rsidRDefault="00F54930" w:rsidP="00F54930">
            <w:pPr>
              <w:rPr>
                <w:rFonts w:cs="Frankruhel" w:hint="cs"/>
                <w:rtl/>
              </w:rPr>
            </w:pPr>
            <w:r>
              <w:rPr>
                <w:rtl/>
              </w:rPr>
              <w:t>שינוי בהרכב הוועדה</w:t>
            </w:r>
          </w:p>
        </w:tc>
        <w:tc>
          <w:tcPr>
            <w:tcW w:w="567" w:type="dxa"/>
          </w:tcPr>
          <w:p w:rsidR="00F54930" w:rsidRPr="00F54930" w:rsidRDefault="00F54930" w:rsidP="00F54930">
            <w:pPr>
              <w:rPr>
                <w:rStyle w:val="Hyperlink"/>
                <w:rFonts w:hint="cs"/>
                <w:rtl/>
              </w:rPr>
            </w:pPr>
            <w:hyperlink w:anchor="Seif28" w:tooltip="שינוי בהרכב הוועד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29 </w:t>
            </w:r>
          </w:p>
        </w:tc>
        <w:tc>
          <w:tcPr>
            <w:tcW w:w="5669" w:type="dxa"/>
          </w:tcPr>
          <w:p w:rsidR="00F54930" w:rsidRPr="00F54930" w:rsidRDefault="00F54930" w:rsidP="00F54930">
            <w:pPr>
              <w:rPr>
                <w:rFonts w:cs="Frankruhel" w:hint="cs"/>
                <w:rtl/>
              </w:rPr>
            </w:pPr>
            <w:r>
              <w:rPr>
                <w:rtl/>
              </w:rPr>
              <w:t>המצאת מסמכים</w:t>
            </w:r>
          </w:p>
        </w:tc>
        <w:tc>
          <w:tcPr>
            <w:tcW w:w="567" w:type="dxa"/>
          </w:tcPr>
          <w:p w:rsidR="00F54930" w:rsidRPr="00F54930" w:rsidRDefault="00F54930" w:rsidP="00F54930">
            <w:pPr>
              <w:rPr>
                <w:rStyle w:val="Hyperlink"/>
                <w:rFonts w:hint="cs"/>
                <w:rtl/>
              </w:rPr>
            </w:pPr>
            <w:hyperlink w:anchor="Seif29" w:tooltip="המצאת מסמכי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30 </w:t>
            </w:r>
          </w:p>
        </w:tc>
        <w:tc>
          <w:tcPr>
            <w:tcW w:w="5669" w:type="dxa"/>
          </w:tcPr>
          <w:p w:rsidR="00F54930" w:rsidRPr="00F54930" w:rsidRDefault="00F54930" w:rsidP="00F54930">
            <w:pPr>
              <w:rPr>
                <w:rFonts w:cs="Frankruhel" w:hint="cs"/>
                <w:rtl/>
              </w:rPr>
            </w:pPr>
            <w:r>
              <w:rPr>
                <w:rtl/>
              </w:rPr>
              <w:t>דחיית הדיון והזמנה</w:t>
            </w:r>
          </w:p>
        </w:tc>
        <w:tc>
          <w:tcPr>
            <w:tcW w:w="567" w:type="dxa"/>
          </w:tcPr>
          <w:p w:rsidR="00F54930" w:rsidRPr="00F54930" w:rsidRDefault="00F54930" w:rsidP="00F54930">
            <w:pPr>
              <w:rPr>
                <w:rStyle w:val="Hyperlink"/>
                <w:rFonts w:hint="cs"/>
                <w:rtl/>
              </w:rPr>
            </w:pPr>
            <w:hyperlink w:anchor="Seif30" w:tooltip="דחיית הדיון והזמנ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31 </w:t>
            </w:r>
          </w:p>
        </w:tc>
        <w:tc>
          <w:tcPr>
            <w:tcW w:w="5669" w:type="dxa"/>
          </w:tcPr>
          <w:p w:rsidR="00F54930" w:rsidRPr="00F54930" w:rsidRDefault="00F54930" w:rsidP="00F54930">
            <w:pPr>
              <w:rPr>
                <w:rFonts w:cs="Frankruhel" w:hint="cs"/>
                <w:rtl/>
              </w:rPr>
            </w:pPr>
            <w:r>
              <w:rPr>
                <w:rtl/>
              </w:rPr>
              <w:t>ליקויים או  אי התאמות בין מסמכים</w:t>
            </w:r>
          </w:p>
        </w:tc>
        <w:tc>
          <w:tcPr>
            <w:tcW w:w="567" w:type="dxa"/>
          </w:tcPr>
          <w:p w:rsidR="00F54930" w:rsidRPr="00F54930" w:rsidRDefault="00F54930" w:rsidP="00F54930">
            <w:pPr>
              <w:rPr>
                <w:rStyle w:val="Hyperlink"/>
                <w:rFonts w:hint="cs"/>
                <w:rtl/>
              </w:rPr>
            </w:pPr>
            <w:hyperlink w:anchor="Seif31" w:tooltip="ליקויים או  אי התאמות בין מסמכי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32 </w:t>
            </w:r>
          </w:p>
        </w:tc>
        <w:tc>
          <w:tcPr>
            <w:tcW w:w="5669" w:type="dxa"/>
          </w:tcPr>
          <w:p w:rsidR="00F54930" w:rsidRPr="00F54930" w:rsidRDefault="00F54930" w:rsidP="00F54930">
            <w:pPr>
              <w:rPr>
                <w:rFonts w:cs="Frankruhel" w:hint="cs"/>
                <w:rtl/>
              </w:rPr>
            </w:pPr>
            <w:r>
              <w:rPr>
                <w:rtl/>
              </w:rPr>
              <w:t>פרוטוקול</w:t>
            </w:r>
          </w:p>
        </w:tc>
        <w:tc>
          <w:tcPr>
            <w:tcW w:w="567" w:type="dxa"/>
          </w:tcPr>
          <w:p w:rsidR="00F54930" w:rsidRPr="00F54930" w:rsidRDefault="00F54930" w:rsidP="00F54930">
            <w:pPr>
              <w:rPr>
                <w:rStyle w:val="Hyperlink"/>
                <w:rFonts w:hint="cs"/>
                <w:rtl/>
              </w:rPr>
            </w:pPr>
            <w:hyperlink w:anchor="Seif32" w:tooltip="פרוטוקול"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33 </w:t>
            </w:r>
          </w:p>
        </w:tc>
        <w:tc>
          <w:tcPr>
            <w:tcW w:w="5669" w:type="dxa"/>
          </w:tcPr>
          <w:p w:rsidR="00F54930" w:rsidRPr="00F54930" w:rsidRDefault="00F54930" w:rsidP="00F54930">
            <w:pPr>
              <w:rPr>
                <w:rFonts w:cs="Frankruhel" w:hint="cs"/>
                <w:rtl/>
              </w:rPr>
            </w:pPr>
            <w:r>
              <w:rPr>
                <w:rtl/>
              </w:rPr>
              <w:t>צורת ההחלטות</w:t>
            </w:r>
          </w:p>
        </w:tc>
        <w:tc>
          <w:tcPr>
            <w:tcW w:w="567" w:type="dxa"/>
          </w:tcPr>
          <w:p w:rsidR="00F54930" w:rsidRPr="00F54930" w:rsidRDefault="00F54930" w:rsidP="00F54930">
            <w:pPr>
              <w:rPr>
                <w:rStyle w:val="Hyperlink"/>
                <w:rFonts w:hint="cs"/>
                <w:rtl/>
              </w:rPr>
            </w:pPr>
            <w:hyperlink w:anchor="Seif33" w:tooltip="צורת ההחלטות"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5</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36 </w:t>
            </w:r>
          </w:p>
        </w:tc>
        <w:tc>
          <w:tcPr>
            <w:tcW w:w="5669" w:type="dxa"/>
          </w:tcPr>
          <w:p w:rsidR="00F54930" w:rsidRPr="00F54930" w:rsidRDefault="00F54930" w:rsidP="00F54930">
            <w:pPr>
              <w:rPr>
                <w:rFonts w:cs="Frankruhel" w:hint="cs"/>
                <w:rtl/>
              </w:rPr>
            </w:pPr>
            <w:r>
              <w:rPr>
                <w:rtl/>
              </w:rPr>
              <w:t>פעולה על ידי באי כוח</w:t>
            </w:r>
          </w:p>
        </w:tc>
        <w:tc>
          <w:tcPr>
            <w:tcW w:w="567" w:type="dxa"/>
          </w:tcPr>
          <w:p w:rsidR="00F54930" w:rsidRPr="00F54930" w:rsidRDefault="00F54930" w:rsidP="00F54930">
            <w:pPr>
              <w:rPr>
                <w:rStyle w:val="Hyperlink"/>
                <w:rFonts w:hint="cs"/>
                <w:rtl/>
              </w:rPr>
            </w:pPr>
            <w:hyperlink w:anchor="Seif34" w:tooltip="פעולה על ידי באי כוח"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6</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lastRenderedPageBreak/>
              <w:t xml:space="preserve">סעיף 37 </w:t>
            </w:r>
          </w:p>
        </w:tc>
        <w:tc>
          <w:tcPr>
            <w:tcW w:w="5669" w:type="dxa"/>
          </w:tcPr>
          <w:p w:rsidR="00F54930" w:rsidRPr="00F54930" w:rsidRDefault="00F54930" w:rsidP="00F54930">
            <w:pPr>
              <w:rPr>
                <w:rFonts w:cs="Frankruhel" w:hint="cs"/>
                <w:rtl/>
              </w:rPr>
            </w:pPr>
            <w:r>
              <w:rPr>
                <w:rtl/>
              </w:rPr>
              <w:t>סדרי דין כשאין הוראה בחיקוק קיים</w:t>
            </w:r>
          </w:p>
        </w:tc>
        <w:tc>
          <w:tcPr>
            <w:tcW w:w="567" w:type="dxa"/>
          </w:tcPr>
          <w:p w:rsidR="00F54930" w:rsidRPr="00F54930" w:rsidRDefault="00F54930" w:rsidP="00F54930">
            <w:pPr>
              <w:rPr>
                <w:rStyle w:val="Hyperlink"/>
                <w:rFonts w:hint="cs"/>
                <w:rtl/>
              </w:rPr>
            </w:pPr>
            <w:hyperlink w:anchor="Seif35" w:tooltip="סדרי דין כשאין הוראה בחיקוק קיים"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6</w:t>
            </w:r>
            <w:r>
              <w:rPr>
                <w:rFonts w:cs="Frankruhel"/>
                <w:rtl/>
              </w:rPr>
              <w:fldChar w:fldCharType="end"/>
            </w:r>
          </w:p>
        </w:tc>
      </w:tr>
      <w:tr w:rsidR="00F54930" w:rsidRPr="00F54930">
        <w:tblPrEx>
          <w:tblCellMar>
            <w:top w:w="0" w:type="dxa"/>
            <w:bottom w:w="0" w:type="dxa"/>
          </w:tblCellMar>
        </w:tblPrEx>
        <w:tc>
          <w:tcPr>
            <w:tcW w:w="1247" w:type="dxa"/>
          </w:tcPr>
          <w:p w:rsidR="00F54930" w:rsidRPr="00F54930" w:rsidRDefault="00F54930" w:rsidP="00F54930">
            <w:pPr>
              <w:rPr>
                <w:rFonts w:cs="Frankruhel" w:hint="cs"/>
                <w:rtl/>
              </w:rPr>
            </w:pPr>
            <w:r>
              <w:rPr>
                <w:rtl/>
              </w:rPr>
              <w:t xml:space="preserve">סעיף 38 </w:t>
            </w:r>
          </w:p>
        </w:tc>
        <w:tc>
          <w:tcPr>
            <w:tcW w:w="5669" w:type="dxa"/>
          </w:tcPr>
          <w:p w:rsidR="00F54930" w:rsidRPr="00F54930" w:rsidRDefault="00F54930" w:rsidP="00F54930">
            <w:pPr>
              <w:rPr>
                <w:rFonts w:cs="Frankruhel" w:hint="cs"/>
                <w:rtl/>
              </w:rPr>
            </w:pPr>
            <w:r>
              <w:rPr>
                <w:rtl/>
              </w:rPr>
              <w:t>תחילה</w:t>
            </w:r>
          </w:p>
        </w:tc>
        <w:tc>
          <w:tcPr>
            <w:tcW w:w="567" w:type="dxa"/>
          </w:tcPr>
          <w:p w:rsidR="00F54930" w:rsidRPr="00F54930" w:rsidRDefault="00F54930" w:rsidP="00F54930">
            <w:pPr>
              <w:rPr>
                <w:rStyle w:val="Hyperlink"/>
                <w:rFonts w:hint="cs"/>
                <w:rtl/>
              </w:rPr>
            </w:pPr>
            <w:hyperlink w:anchor="Seif36" w:tooltip="תחילה" w:history="1">
              <w:r w:rsidRPr="00F54930">
                <w:rPr>
                  <w:rStyle w:val="Hyperlink"/>
                </w:rPr>
                <w:t>Go</w:t>
              </w:r>
            </w:hyperlink>
          </w:p>
        </w:tc>
        <w:tc>
          <w:tcPr>
            <w:tcW w:w="850" w:type="dxa"/>
          </w:tcPr>
          <w:p w:rsidR="00F54930" w:rsidRPr="00F54930" w:rsidRDefault="00F54930" w:rsidP="00F549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6</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263AC0">
      <w:pPr>
        <w:pStyle w:val="big-header"/>
        <w:ind w:left="0" w:right="1134"/>
        <w:rPr>
          <w:rStyle w:val="default"/>
          <w:rFonts w:hint="cs"/>
          <w:sz w:val="22"/>
          <w:szCs w:val="22"/>
          <w:rtl/>
        </w:rPr>
      </w:pPr>
      <w:r>
        <w:rPr>
          <w:rFonts w:cs="FrankRuehl"/>
          <w:sz w:val="32"/>
          <w:rtl/>
        </w:rPr>
        <w:br w:type="page"/>
      </w:r>
      <w:r w:rsidR="0096256E">
        <w:rPr>
          <w:rFonts w:cs="FrankRuehl" w:hint="cs"/>
          <w:sz w:val="32"/>
          <w:rtl/>
        </w:rPr>
        <w:lastRenderedPageBreak/>
        <w:t xml:space="preserve">תקנות מועצת הצמחים (ייצור ושיווק) (סדרי דין בפני ועדת קנסות), </w:t>
      </w:r>
      <w:r w:rsidR="0096256E">
        <w:rPr>
          <w:rFonts w:cs="FrankRuehl"/>
          <w:sz w:val="32"/>
          <w:rtl/>
        </w:rPr>
        <w:br/>
      </w:r>
      <w:r w:rsidR="0096256E">
        <w:rPr>
          <w:rFonts w:cs="FrankRuehl" w:hint="cs"/>
          <w:sz w:val="32"/>
          <w:rtl/>
        </w:rPr>
        <w:t>תש"ע-2010</w:t>
      </w:r>
      <w:r>
        <w:rPr>
          <w:rStyle w:val="default"/>
          <w:sz w:val="22"/>
          <w:szCs w:val="22"/>
          <w:rtl/>
        </w:rPr>
        <w:footnoteReference w:customMarkFollows="1" w:id="1"/>
        <w:t>*</w:t>
      </w:r>
    </w:p>
    <w:p w:rsidR="006411A2" w:rsidRDefault="008D2195" w:rsidP="0059240C">
      <w:pPr>
        <w:pStyle w:val="P00"/>
        <w:spacing w:before="72"/>
        <w:ind w:left="0" w:right="1134"/>
        <w:rPr>
          <w:rStyle w:val="default"/>
          <w:rFonts w:cs="FrankRuehl" w:hint="cs"/>
          <w:rtl/>
        </w:rPr>
      </w:pPr>
      <w:r>
        <w:rPr>
          <w:rStyle w:val="default"/>
          <w:rFonts w:cs="FrankRuehl" w:hint="cs"/>
          <w:rtl/>
        </w:rPr>
        <w:tab/>
        <w:t xml:space="preserve">בתוקף </w:t>
      </w:r>
      <w:r w:rsidR="007A1EA9">
        <w:rPr>
          <w:rStyle w:val="default"/>
          <w:rFonts w:cs="FrankRuehl" w:hint="cs"/>
          <w:rtl/>
        </w:rPr>
        <w:t xml:space="preserve">סמכותי לפי סעיף </w:t>
      </w:r>
      <w:r w:rsidR="0059240C">
        <w:rPr>
          <w:rStyle w:val="default"/>
          <w:rFonts w:cs="FrankRuehl" w:hint="cs"/>
          <w:rtl/>
        </w:rPr>
        <w:t xml:space="preserve">48(ו) לחוק מועצת הצמחים (ייצור ושיווק), התשל"ג-1973 (להלן </w:t>
      </w:r>
      <w:r w:rsidR="0059240C">
        <w:rPr>
          <w:rStyle w:val="default"/>
          <w:rFonts w:cs="FrankRuehl"/>
          <w:rtl/>
        </w:rPr>
        <w:t>–</w:t>
      </w:r>
      <w:r w:rsidR="0059240C">
        <w:rPr>
          <w:rStyle w:val="default"/>
          <w:rFonts w:cs="FrankRuehl" w:hint="cs"/>
          <w:rtl/>
        </w:rPr>
        <w:t xml:space="preserve"> החוק), ובתוקף שאר הסמכויות הנתונות לי לפי כל דין</w:t>
      </w:r>
      <w:r w:rsidR="00365377">
        <w:rPr>
          <w:rStyle w:val="default"/>
          <w:rFonts w:cs="FrankRuehl" w:hint="cs"/>
          <w:rtl/>
        </w:rPr>
        <w:t>, אני מתקין תקנות אלה</w:t>
      </w:r>
      <w:r>
        <w:rPr>
          <w:rStyle w:val="default"/>
          <w:rFonts w:cs="FrankRuehl" w:hint="cs"/>
          <w:rtl/>
        </w:rPr>
        <w:t>:</w:t>
      </w:r>
    </w:p>
    <w:p w:rsidR="0059240C" w:rsidRPr="0059240C" w:rsidRDefault="0059240C" w:rsidP="0059240C">
      <w:pPr>
        <w:pStyle w:val="medium2-header"/>
        <w:keepLines w:val="0"/>
        <w:spacing w:before="72"/>
        <w:ind w:left="0" w:right="1134"/>
        <w:outlineLvl w:val="0"/>
        <w:rPr>
          <w:rFonts w:cs="FrankRuehl" w:hint="cs"/>
          <w:noProof/>
          <w:rtl/>
        </w:rPr>
      </w:pPr>
      <w:bookmarkStart w:id="0" w:name="med0"/>
      <w:bookmarkEnd w:id="0"/>
      <w:r w:rsidRPr="0059240C">
        <w:rPr>
          <w:rFonts w:cs="FrankRuehl" w:hint="cs"/>
          <w:noProof/>
          <w:rtl/>
        </w:rPr>
        <w:t>פרק א': פרשנות</w:t>
      </w:r>
    </w:p>
    <w:p w:rsidR="00D078B6" w:rsidRDefault="00D078B6" w:rsidP="0059240C">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5.95pt;z-index:251639808" o:allowincell="f" filled="f" stroked="f" strokecolor="lime" strokeweight=".25pt">
            <v:textbox style="mso-next-textbox:#_x0000_s1026" inset="0,0,0,0">
              <w:txbxContent>
                <w:p w:rsidR="007A5885" w:rsidRDefault="0059240C" w:rsidP="002F2344">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9240C">
        <w:rPr>
          <w:rStyle w:val="default"/>
          <w:rFonts w:cs="FrankRuehl" w:hint="cs"/>
          <w:rtl/>
        </w:rPr>
        <w:t xml:space="preserve">בתקנות אלה, "מזכיר" </w:t>
      </w:r>
      <w:r w:rsidR="0059240C">
        <w:rPr>
          <w:rStyle w:val="default"/>
          <w:rFonts w:cs="FrankRuehl"/>
          <w:rtl/>
        </w:rPr>
        <w:t>–</w:t>
      </w:r>
      <w:r w:rsidR="0059240C">
        <w:rPr>
          <w:rStyle w:val="default"/>
          <w:rFonts w:cs="FrankRuehl" w:hint="cs"/>
          <w:rtl/>
        </w:rPr>
        <w:t xml:space="preserve"> אדם שהמועצה מינתה אותו למזכיר ועדת הקנסות.</w:t>
      </w:r>
    </w:p>
    <w:p w:rsidR="0059240C" w:rsidRPr="0059240C" w:rsidRDefault="0059240C" w:rsidP="0059240C">
      <w:pPr>
        <w:pStyle w:val="medium2-header"/>
        <w:keepLines w:val="0"/>
        <w:spacing w:before="72"/>
        <w:ind w:left="0" w:right="1134"/>
        <w:outlineLvl w:val="0"/>
        <w:rPr>
          <w:rFonts w:cs="FrankRuehl" w:hint="cs"/>
          <w:noProof/>
          <w:rtl/>
        </w:rPr>
      </w:pPr>
      <w:bookmarkStart w:id="2" w:name="med1"/>
      <w:bookmarkEnd w:id="2"/>
      <w:r w:rsidRPr="0059240C">
        <w:rPr>
          <w:rFonts w:cs="FrankRuehl" w:hint="cs"/>
          <w:noProof/>
          <w:rtl/>
        </w:rPr>
        <w:t>פרק ב': סדרי דין בפני ועדת קנסות</w:t>
      </w:r>
    </w:p>
    <w:p w:rsidR="0096256E" w:rsidRDefault="0096256E" w:rsidP="00672B61">
      <w:pPr>
        <w:pStyle w:val="P00"/>
        <w:spacing w:before="72"/>
        <w:ind w:left="0" w:right="1134"/>
        <w:rPr>
          <w:rStyle w:val="default"/>
          <w:rFonts w:cs="FrankRuehl" w:hint="cs"/>
          <w:rtl/>
        </w:rPr>
      </w:pPr>
      <w:bookmarkStart w:id="3" w:name="Seif2"/>
      <w:bookmarkEnd w:id="3"/>
      <w:r>
        <w:rPr>
          <w:rFonts w:cs="Miriam"/>
          <w:lang w:val="he-IL"/>
        </w:rPr>
        <w:pict>
          <v:rect id="_x0000_s1335" style="position:absolute;left:0;text-align:left;margin-left:464.35pt;margin-top:7.1pt;width:75.05pt;height:15.95pt;z-index:251640832" o:allowincell="f" filled="f" stroked="f" strokecolor="lime" strokeweight=".25pt">
            <v:textbox style="mso-next-textbox:#_x0000_s1335" inset="0,0,0,0">
              <w:txbxContent>
                <w:p w:rsidR="0096256E" w:rsidRDefault="00672B61" w:rsidP="0096256E">
                  <w:pPr>
                    <w:spacing w:line="160" w:lineRule="exact"/>
                    <w:rPr>
                      <w:rFonts w:cs="Miriam" w:hint="cs"/>
                      <w:noProof/>
                      <w:sz w:val="18"/>
                      <w:szCs w:val="18"/>
                      <w:rtl/>
                    </w:rPr>
                  </w:pPr>
                  <w:r>
                    <w:rPr>
                      <w:rFonts w:cs="Miriam" w:hint="cs"/>
                      <w:sz w:val="18"/>
                      <w:szCs w:val="18"/>
                      <w:rtl/>
                    </w:rPr>
                    <w:t>הגשת כתב אישום</w:t>
                  </w:r>
                </w:p>
              </w:txbxContent>
            </v:textbox>
            <w10:anchorlock/>
          </v:rect>
        </w:pict>
      </w:r>
      <w:r w:rsidR="0059240C">
        <w:rPr>
          <w:rStyle w:val="big-number"/>
          <w:rFonts w:cs="Miriam" w:hint="cs"/>
          <w:rtl/>
        </w:rPr>
        <w:t>2</w:t>
      </w:r>
      <w:r>
        <w:rPr>
          <w:rStyle w:val="big-number"/>
          <w:rFonts w:cs="FrankRuehl"/>
          <w:sz w:val="26"/>
          <w:szCs w:val="26"/>
          <w:rtl/>
        </w:rPr>
        <w:t>.</w:t>
      </w:r>
      <w:r>
        <w:rPr>
          <w:rStyle w:val="big-number"/>
          <w:rFonts w:cs="FrankRuehl"/>
          <w:sz w:val="26"/>
          <w:szCs w:val="26"/>
          <w:rtl/>
        </w:rPr>
        <w:tab/>
      </w:r>
      <w:r w:rsidR="00672B61">
        <w:rPr>
          <w:rStyle w:val="default"/>
          <w:rFonts w:cs="FrankRuehl" w:hint="cs"/>
          <w:rtl/>
        </w:rPr>
        <w:t>(א)</w:t>
      </w:r>
      <w:r w:rsidR="00672B61">
        <w:rPr>
          <w:rStyle w:val="default"/>
          <w:rFonts w:cs="FrankRuehl" w:hint="cs"/>
          <w:rtl/>
        </w:rPr>
        <w:tab/>
        <w:t>כתב אישום כאמור בסעיף 49 לחוק, יוגש למזכיר במספר העתקים העולה בשלושה על מספר הנאשמים.</w:t>
      </w:r>
    </w:p>
    <w:p w:rsidR="00672B61" w:rsidRDefault="00672B61" w:rsidP="00672B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65037">
        <w:rPr>
          <w:rStyle w:val="default"/>
          <w:rFonts w:cs="FrankRuehl" w:hint="cs"/>
          <w:rtl/>
        </w:rPr>
        <w:t>כתב אישום ייחתם ביד התובע.</w:t>
      </w:r>
    </w:p>
    <w:p w:rsidR="0096256E" w:rsidRDefault="0096256E" w:rsidP="00365037">
      <w:pPr>
        <w:pStyle w:val="P00"/>
        <w:spacing w:before="72"/>
        <w:ind w:left="0" w:right="1134"/>
        <w:rPr>
          <w:rStyle w:val="default"/>
          <w:rFonts w:cs="FrankRuehl" w:hint="cs"/>
          <w:rtl/>
        </w:rPr>
      </w:pPr>
      <w:bookmarkStart w:id="4" w:name="Seif3"/>
      <w:bookmarkEnd w:id="4"/>
      <w:r>
        <w:rPr>
          <w:rFonts w:cs="Miriam"/>
          <w:lang w:val="he-IL"/>
        </w:rPr>
        <w:pict>
          <v:rect id="_x0000_s1336" style="position:absolute;left:0;text-align:left;margin-left:464.35pt;margin-top:7.1pt;width:75.05pt;height:15.95pt;z-index:251641856" o:allowincell="f" filled="f" stroked="f" strokecolor="lime" strokeweight=".25pt">
            <v:textbox style="mso-next-textbox:#_x0000_s1336" inset="0,0,0,0">
              <w:txbxContent>
                <w:p w:rsidR="0096256E" w:rsidRDefault="00365037" w:rsidP="0096256E">
                  <w:pPr>
                    <w:spacing w:line="160" w:lineRule="exact"/>
                    <w:rPr>
                      <w:rFonts w:cs="Miriam" w:hint="cs"/>
                      <w:noProof/>
                      <w:sz w:val="18"/>
                      <w:szCs w:val="18"/>
                      <w:rtl/>
                    </w:rPr>
                  </w:pPr>
                  <w:r>
                    <w:rPr>
                      <w:rFonts w:cs="Miriam" w:hint="cs"/>
                      <w:sz w:val="18"/>
                      <w:szCs w:val="18"/>
                      <w:rtl/>
                    </w:rPr>
                    <w:t>פרטי כתב אישום</w:t>
                  </w:r>
                </w:p>
              </w:txbxContent>
            </v:textbox>
            <w10:anchorlock/>
          </v:rect>
        </w:pict>
      </w:r>
      <w:r w:rsidR="00365037">
        <w:rPr>
          <w:rStyle w:val="big-number"/>
          <w:rFonts w:cs="Miriam" w:hint="cs"/>
          <w:rtl/>
        </w:rPr>
        <w:t>3</w:t>
      </w:r>
      <w:r>
        <w:rPr>
          <w:rStyle w:val="big-number"/>
          <w:rFonts w:cs="FrankRuehl"/>
          <w:sz w:val="26"/>
          <w:szCs w:val="26"/>
          <w:rtl/>
        </w:rPr>
        <w:t>.</w:t>
      </w:r>
      <w:r>
        <w:rPr>
          <w:rStyle w:val="big-number"/>
          <w:rFonts w:cs="FrankRuehl"/>
          <w:sz w:val="26"/>
          <w:szCs w:val="26"/>
          <w:rtl/>
        </w:rPr>
        <w:tab/>
      </w:r>
      <w:r w:rsidR="00365037">
        <w:rPr>
          <w:rStyle w:val="default"/>
          <w:rFonts w:cs="FrankRuehl" w:hint="cs"/>
          <w:rtl/>
        </w:rPr>
        <w:t>כתב אישום יכלול פרטים אלה:</w:t>
      </w:r>
    </w:p>
    <w:p w:rsidR="00365037" w:rsidRDefault="00365037" w:rsidP="0036503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של הנאשם, מספר הזהות שלו ומענו;</w:t>
      </w:r>
    </w:p>
    <w:p w:rsidR="00365037" w:rsidRDefault="00365037" w:rsidP="003650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פירוט העובדות המהוות את העבירה בציון המקום והזמן ככל שניתן לבררם;</w:t>
      </w:r>
    </w:p>
    <w:p w:rsidR="00365037" w:rsidRDefault="00365037" w:rsidP="0036503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שמות עדי התביעה.</w:t>
      </w:r>
    </w:p>
    <w:p w:rsidR="0096256E" w:rsidRDefault="0096256E" w:rsidP="00365037">
      <w:pPr>
        <w:pStyle w:val="P00"/>
        <w:spacing w:before="72"/>
        <w:ind w:left="0" w:right="1134"/>
        <w:rPr>
          <w:rStyle w:val="default"/>
          <w:rFonts w:cs="FrankRuehl" w:hint="cs"/>
          <w:rtl/>
        </w:rPr>
      </w:pPr>
      <w:bookmarkStart w:id="5" w:name="Seif4"/>
      <w:bookmarkEnd w:id="5"/>
      <w:r>
        <w:rPr>
          <w:rFonts w:cs="Miriam"/>
          <w:lang w:val="he-IL"/>
        </w:rPr>
        <w:pict>
          <v:rect id="_x0000_s1337" style="position:absolute;left:0;text-align:left;margin-left:464.35pt;margin-top:7.1pt;width:75.05pt;height:15.95pt;z-index:251642880" o:allowincell="f" filled="f" stroked="f" strokecolor="lime" strokeweight=".25pt">
            <v:textbox style="mso-next-textbox:#_x0000_s1337" inset="0,0,0,0">
              <w:txbxContent>
                <w:p w:rsidR="0096256E" w:rsidRDefault="00365037" w:rsidP="0096256E">
                  <w:pPr>
                    <w:spacing w:line="160" w:lineRule="exact"/>
                    <w:rPr>
                      <w:rFonts w:cs="Miriam" w:hint="cs"/>
                      <w:noProof/>
                      <w:sz w:val="18"/>
                      <w:szCs w:val="18"/>
                      <w:rtl/>
                    </w:rPr>
                  </w:pPr>
                  <w:r>
                    <w:rPr>
                      <w:rFonts w:cs="Miriam" w:hint="cs"/>
                      <w:sz w:val="18"/>
                      <w:szCs w:val="18"/>
                      <w:rtl/>
                    </w:rPr>
                    <w:t>צירוף אישומים</w:t>
                  </w:r>
                </w:p>
              </w:txbxContent>
            </v:textbox>
            <w10:anchorlock/>
          </v:rect>
        </w:pict>
      </w:r>
      <w:r w:rsidR="00365037">
        <w:rPr>
          <w:rStyle w:val="big-number"/>
          <w:rFonts w:cs="Miriam" w:hint="cs"/>
          <w:rtl/>
        </w:rPr>
        <w:t>4</w:t>
      </w:r>
      <w:r>
        <w:rPr>
          <w:rStyle w:val="big-number"/>
          <w:rFonts w:cs="FrankRuehl"/>
          <w:sz w:val="26"/>
          <w:szCs w:val="26"/>
          <w:rtl/>
        </w:rPr>
        <w:t>.</w:t>
      </w:r>
      <w:r>
        <w:rPr>
          <w:rStyle w:val="big-number"/>
          <w:rFonts w:cs="FrankRuehl"/>
          <w:sz w:val="26"/>
          <w:szCs w:val="26"/>
          <w:rtl/>
        </w:rPr>
        <w:tab/>
      </w:r>
      <w:r w:rsidR="00365037">
        <w:rPr>
          <w:rStyle w:val="default"/>
          <w:rFonts w:cs="FrankRuehl" w:hint="cs"/>
          <w:rtl/>
        </w:rPr>
        <w:t>מותר לצרף בכתב אישום כמה אישומים או כמה נאשמים.</w:t>
      </w:r>
    </w:p>
    <w:p w:rsidR="0096256E" w:rsidRDefault="0096256E" w:rsidP="00365037">
      <w:pPr>
        <w:pStyle w:val="P00"/>
        <w:spacing w:before="72"/>
        <w:ind w:left="0" w:right="1134"/>
        <w:rPr>
          <w:rStyle w:val="default"/>
          <w:rFonts w:cs="FrankRuehl" w:hint="cs"/>
          <w:rtl/>
        </w:rPr>
      </w:pPr>
      <w:bookmarkStart w:id="6" w:name="Seif5"/>
      <w:bookmarkEnd w:id="6"/>
      <w:r>
        <w:rPr>
          <w:rFonts w:cs="Miriam"/>
          <w:lang w:val="he-IL"/>
        </w:rPr>
        <w:pict>
          <v:rect id="_x0000_s1338" style="position:absolute;left:0;text-align:left;margin-left:464.35pt;margin-top:7.1pt;width:75.05pt;height:15.95pt;z-index:251643904" o:allowincell="f" filled="f" stroked="f" strokecolor="lime" strokeweight=".25pt">
            <v:textbox style="mso-next-textbox:#_x0000_s1338" inset="0,0,0,0">
              <w:txbxContent>
                <w:p w:rsidR="0096256E" w:rsidRDefault="00365037" w:rsidP="0096256E">
                  <w:pPr>
                    <w:spacing w:line="160" w:lineRule="exact"/>
                    <w:rPr>
                      <w:rFonts w:cs="Miriam" w:hint="cs"/>
                      <w:noProof/>
                      <w:sz w:val="18"/>
                      <w:szCs w:val="18"/>
                      <w:rtl/>
                    </w:rPr>
                  </w:pPr>
                  <w:r>
                    <w:rPr>
                      <w:rFonts w:cs="Miriam" w:hint="cs"/>
                      <w:sz w:val="18"/>
                      <w:szCs w:val="18"/>
                      <w:rtl/>
                    </w:rPr>
                    <w:t>הפרדת הדיון</w:t>
                  </w:r>
                </w:p>
              </w:txbxContent>
            </v:textbox>
            <w10:anchorlock/>
          </v:rect>
        </w:pict>
      </w:r>
      <w:r w:rsidR="00365037">
        <w:rPr>
          <w:rStyle w:val="big-number"/>
          <w:rFonts w:cs="Miriam" w:hint="cs"/>
          <w:rtl/>
        </w:rPr>
        <w:t>5</w:t>
      </w:r>
      <w:r>
        <w:rPr>
          <w:rStyle w:val="big-number"/>
          <w:rFonts w:cs="FrankRuehl"/>
          <w:sz w:val="26"/>
          <w:szCs w:val="26"/>
          <w:rtl/>
        </w:rPr>
        <w:t>.</w:t>
      </w:r>
      <w:r>
        <w:rPr>
          <w:rStyle w:val="big-number"/>
          <w:rFonts w:cs="FrankRuehl"/>
          <w:sz w:val="26"/>
          <w:szCs w:val="26"/>
          <w:rtl/>
        </w:rPr>
        <w:tab/>
      </w:r>
      <w:r w:rsidR="00365037">
        <w:rPr>
          <w:rStyle w:val="default"/>
          <w:rFonts w:cs="FrankRuehl" w:hint="cs"/>
          <w:rtl/>
        </w:rPr>
        <w:t>(א)</w:t>
      </w:r>
      <w:r w:rsidR="00365037">
        <w:rPr>
          <w:rStyle w:val="default"/>
          <w:rFonts w:cs="FrankRuehl" w:hint="cs"/>
          <w:rtl/>
        </w:rPr>
        <w:tab/>
        <w:t>נכללו בכתב האישום כמה אישומים או כמה נאשמים, רשאית ועדת הקנסות, בכל שלב משלבי הדיון עד למתן ההחלטה, לצוות על הפרדת הדיון באישום פלוני או על הפרדת הדיון של נאשם פלוני.</w:t>
      </w:r>
    </w:p>
    <w:p w:rsidR="00365037" w:rsidRDefault="00365037" w:rsidP="003650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הופרד הדיון כאמור, יוגש כתב אישום נפרד בשל האישום דיון בו הופרד או נגד נאשם שדינו הופרד.</w:t>
      </w:r>
    </w:p>
    <w:p w:rsidR="0096256E" w:rsidRDefault="0096256E" w:rsidP="00090966">
      <w:pPr>
        <w:pStyle w:val="P00"/>
        <w:spacing w:before="72"/>
        <w:ind w:left="0" w:right="1134"/>
        <w:rPr>
          <w:rStyle w:val="default"/>
          <w:rFonts w:cs="FrankRuehl" w:hint="cs"/>
          <w:rtl/>
        </w:rPr>
      </w:pPr>
      <w:bookmarkStart w:id="7" w:name="Seif6"/>
      <w:bookmarkEnd w:id="7"/>
      <w:r>
        <w:rPr>
          <w:rFonts w:cs="Miriam"/>
          <w:lang w:val="he-IL"/>
        </w:rPr>
        <w:pict>
          <v:rect id="_x0000_s1339" style="position:absolute;left:0;text-align:left;margin-left:464.35pt;margin-top:7.1pt;width:75.05pt;height:15.95pt;z-index:251644928" o:allowincell="f" filled="f" stroked="f" strokecolor="lime" strokeweight=".25pt">
            <v:textbox style="mso-next-textbox:#_x0000_s1339" inset="0,0,0,0">
              <w:txbxContent>
                <w:p w:rsidR="0096256E" w:rsidRDefault="00090966" w:rsidP="0096256E">
                  <w:pPr>
                    <w:spacing w:line="160" w:lineRule="exact"/>
                    <w:rPr>
                      <w:rFonts w:cs="Miriam" w:hint="cs"/>
                      <w:noProof/>
                      <w:sz w:val="18"/>
                      <w:szCs w:val="18"/>
                      <w:rtl/>
                    </w:rPr>
                  </w:pPr>
                  <w:r>
                    <w:rPr>
                      <w:rFonts w:cs="Miriam" w:hint="cs"/>
                      <w:sz w:val="18"/>
                      <w:szCs w:val="18"/>
                      <w:rtl/>
                    </w:rPr>
                    <w:t>חזרה מאישום</w:t>
                  </w:r>
                </w:p>
              </w:txbxContent>
            </v:textbox>
            <w10:anchorlock/>
          </v:rect>
        </w:pict>
      </w:r>
      <w:r w:rsidR="00365037">
        <w:rPr>
          <w:rStyle w:val="big-number"/>
          <w:rFonts w:cs="Miriam" w:hint="cs"/>
          <w:rtl/>
        </w:rPr>
        <w:t>6</w:t>
      </w:r>
      <w:r>
        <w:rPr>
          <w:rStyle w:val="big-number"/>
          <w:rFonts w:cs="FrankRuehl"/>
          <w:sz w:val="26"/>
          <w:szCs w:val="26"/>
          <w:rtl/>
        </w:rPr>
        <w:t>.</w:t>
      </w:r>
      <w:r>
        <w:rPr>
          <w:rStyle w:val="big-number"/>
          <w:rFonts w:cs="FrankRuehl"/>
          <w:sz w:val="26"/>
          <w:szCs w:val="26"/>
          <w:rtl/>
        </w:rPr>
        <w:tab/>
      </w:r>
      <w:r w:rsidR="00090966">
        <w:rPr>
          <w:rStyle w:val="default"/>
          <w:rFonts w:cs="FrankRuehl" w:hint="cs"/>
          <w:rtl/>
        </w:rPr>
        <w:t>התובע רשאי לחזור בו מאישומים שבכתב האישום, כולם או מקצתם, לפני תחילת הדיון, או בכל שלב משלביו.</w:t>
      </w:r>
    </w:p>
    <w:p w:rsidR="0096256E" w:rsidRDefault="0096256E" w:rsidP="00090966">
      <w:pPr>
        <w:pStyle w:val="P00"/>
        <w:spacing w:before="72"/>
        <w:ind w:left="0" w:right="1134"/>
        <w:rPr>
          <w:rStyle w:val="default"/>
          <w:rFonts w:cs="FrankRuehl" w:hint="cs"/>
          <w:rtl/>
        </w:rPr>
      </w:pPr>
      <w:bookmarkStart w:id="8" w:name="Seif7"/>
      <w:bookmarkEnd w:id="8"/>
      <w:r>
        <w:rPr>
          <w:rFonts w:cs="Miriam"/>
          <w:lang w:val="he-IL"/>
        </w:rPr>
        <w:pict>
          <v:rect id="_x0000_s1340" style="position:absolute;left:0;text-align:left;margin-left:464.35pt;margin-top:7.1pt;width:75.05pt;height:15.95pt;z-index:251645952" o:allowincell="f" filled="f" stroked="f" strokecolor="lime" strokeweight=".25pt">
            <v:textbox style="mso-next-textbox:#_x0000_s1340" inset="0,0,0,0">
              <w:txbxContent>
                <w:p w:rsidR="0096256E" w:rsidRDefault="00090966" w:rsidP="0096256E">
                  <w:pPr>
                    <w:spacing w:line="160" w:lineRule="exact"/>
                    <w:rPr>
                      <w:rFonts w:cs="Miriam" w:hint="cs"/>
                      <w:noProof/>
                      <w:sz w:val="18"/>
                      <w:szCs w:val="18"/>
                      <w:rtl/>
                    </w:rPr>
                  </w:pPr>
                  <w:r>
                    <w:rPr>
                      <w:rFonts w:cs="Miriam" w:hint="cs"/>
                      <w:sz w:val="18"/>
                      <w:szCs w:val="18"/>
                      <w:rtl/>
                    </w:rPr>
                    <w:t>תוצאות החזרה</w:t>
                  </w:r>
                </w:p>
              </w:txbxContent>
            </v:textbox>
            <w10:anchorlock/>
          </v:rect>
        </w:pict>
      </w:r>
      <w:r w:rsidR="00090966">
        <w:rPr>
          <w:rStyle w:val="big-number"/>
          <w:rFonts w:cs="Miriam" w:hint="cs"/>
          <w:rtl/>
        </w:rPr>
        <w:t>7</w:t>
      </w:r>
      <w:r>
        <w:rPr>
          <w:rStyle w:val="big-number"/>
          <w:rFonts w:cs="FrankRuehl"/>
          <w:sz w:val="26"/>
          <w:szCs w:val="26"/>
          <w:rtl/>
        </w:rPr>
        <w:t>.</w:t>
      </w:r>
      <w:r>
        <w:rPr>
          <w:rStyle w:val="big-number"/>
          <w:rFonts w:cs="FrankRuehl"/>
          <w:sz w:val="26"/>
          <w:szCs w:val="26"/>
          <w:rtl/>
        </w:rPr>
        <w:tab/>
      </w:r>
      <w:r w:rsidR="00090966">
        <w:rPr>
          <w:rStyle w:val="default"/>
          <w:rFonts w:cs="FrankRuehl" w:hint="cs"/>
          <w:rtl/>
        </w:rPr>
        <w:t>(א)</w:t>
      </w:r>
      <w:r w:rsidR="00090966">
        <w:rPr>
          <w:rStyle w:val="default"/>
          <w:rFonts w:cs="FrankRuehl" w:hint="cs"/>
          <w:rtl/>
        </w:rPr>
        <w:tab/>
        <w:t>חזר בו התובע מאישום לפני תשומת הנאשם לאישום, תבטל ועדת הקנסות את האישום שממנו חזר בו התובע; חזר בו לאחר מכן, תזכה ועדת הקנסות את הנאשם מאותו אישום.</w:t>
      </w:r>
    </w:p>
    <w:p w:rsidR="00090966" w:rsidRDefault="00090966" w:rsidP="000909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חזר בו התובע מאישום כאמור בתקנת משנה (א) לאחר שהתייצב הנאשם בפני ועדת הקנסות, יצווה יושב ראש ועדת הקנסות על המועצה להחזיר לנאשם הוצאות נסיעה ברכב ציבורי, אם הוא בא מחוץ לעיר, וכן שכר בטלה שלא יעלה על השיעורים הנקובים בתקנה 10(1) לתקנות סדר הדין הפלילי, התשל"ד-1974.</w:t>
      </w:r>
    </w:p>
    <w:p w:rsidR="0096256E" w:rsidRDefault="0096256E" w:rsidP="00090966">
      <w:pPr>
        <w:pStyle w:val="P00"/>
        <w:spacing w:before="72"/>
        <w:ind w:left="0" w:right="1134"/>
        <w:rPr>
          <w:rStyle w:val="default"/>
          <w:rFonts w:cs="FrankRuehl" w:hint="cs"/>
          <w:rtl/>
        </w:rPr>
      </w:pPr>
      <w:bookmarkStart w:id="9" w:name="Seif8"/>
      <w:bookmarkEnd w:id="9"/>
      <w:r>
        <w:rPr>
          <w:rFonts w:cs="Miriam"/>
          <w:lang w:val="he-IL"/>
        </w:rPr>
        <w:pict>
          <v:rect id="_x0000_s1341" style="position:absolute;left:0;text-align:left;margin-left:464.35pt;margin-top:7.1pt;width:75.05pt;height:18.7pt;z-index:251646976" o:allowincell="f" filled="f" stroked="f" strokecolor="lime" strokeweight=".25pt">
            <v:textbox style="mso-next-textbox:#_x0000_s1341" inset="0,0,0,0">
              <w:txbxContent>
                <w:p w:rsidR="0096256E" w:rsidRDefault="00090966" w:rsidP="0096256E">
                  <w:pPr>
                    <w:spacing w:line="160" w:lineRule="exact"/>
                    <w:rPr>
                      <w:rFonts w:cs="Miriam" w:hint="cs"/>
                      <w:noProof/>
                      <w:sz w:val="18"/>
                      <w:szCs w:val="18"/>
                      <w:rtl/>
                    </w:rPr>
                  </w:pPr>
                  <w:r>
                    <w:rPr>
                      <w:rFonts w:cs="Miriam" w:hint="cs"/>
                      <w:sz w:val="18"/>
                      <w:szCs w:val="18"/>
                      <w:rtl/>
                    </w:rPr>
                    <w:t>המצאת כתב אישום לנאשם</w:t>
                  </w:r>
                </w:p>
              </w:txbxContent>
            </v:textbox>
            <w10:anchorlock/>
          </v:rect>
        </w:pict>
      </w:r>
      <w:r w:rsidR="00090966">
        <w:rPr>
          <w:rStyle w:val="big-number"/>
          <w:rFonts w:cs="Miriam" w:hint="cs"/>
          <w:rtl/>
        </w:rPr>
        <w:t>8</w:t>
      </w:r>
      <w:r>
        <w:rPr>
          <w:rStyle w:val="big-number"/>
          <w:rFonts w:cs="FrankRuehl"/>
          <w:sz w:val="26"/>
          <w:szCs w:val="26"/>
          <w:rtl/>
        </w:rPr>
        <w:t>.</w:t>
      </w:r>
      <w:r>
        <w:rPr>
          <w:rStyle w:val="big-number"/>
          <w:rFonts w:cs="FrankRuehl"/>
          <w:sz w:val="26"/>
          <w:szCs w:val="26"/>
          <w:rtl/>
        </w:rPr>
        <w:tab/>
      </w:r>
      <w:r w:rsidR="00090966">
        <w:rPr>
          <w:rStyle w:val="default"/>
          <w:rFonts w:cs="FrankRuehl" w:hint="cs"/>
          <w:rtl/>
        </w:rPr>
        <w:t>המזכיר ימציא לנאשם עתק מכתב האישום ומכל הודעה על חזרה מאישום, חתום ביד התובע.</w:t>
      </w:r>
    </w:p>
    <w:p w:rsidR="0096256E" w:rsidRDefault="0096256E" w:rsidP="00090966">
      <w:pPr>
        <w:pStyle w:val="P00"/>
        <w:spacing w:before="72"/>
        <w:ind w:left="0" w:right="1134"/>
        <w:rPr>
          <w:rStyle w:val="default"/>
          <w:rFonts w:cs="FrankRuehl" w:hint="cs"/>
          <w:rtl/>
        </w:rPr>
      </w:pPr>
      <w:bookmarkStart w:id="10" w:name="Seif9"/>
      <w:bookmarkEnd w:id="10"/>
      <w:r>
        <w:rPr>
          <w:rFonts w:cs="Miriam"/>
          <w:lang w:val="he-IL"/>
        </w:rPr>
        <w:pict>
          <v:rect id="_x0000_s1342" style="position:absolute;left:0;text-align:left;margin-left:464.35pt;margin-top:7.1pt;width:75.05pt;height:12.8pt;z-index:251648000" o:allowincell="f" filled="f" stroked="f" strokecolor="lime" strokeweight=".25pt">
            <v:textbox style="mso-next-textbox:#_x0000_s1342" inset="0,0,0,0">
              <w:txbxContent>
                <w:p w:rsidR="0096256E" w:rsidRDefault="00090966" w:rsidP="0096256E">
                  <w:pPr>
                    <w:spacing w:line="160" w:lineRule="exact"/>
                    <w:rPr>
                      <w:rFonts w:cs="Miriam" w:hint="cs"/>
                      <w:noProof/>
                      <w:sz w:val="18"/>
                      <w:szCs w:val="18"/>
                      <w:rtl/>
                    </w:rPr>
                  </w:pPr>
                  <w:r>
                    <w:rPr>
                      <w:rFonts w:cs="Miriam" w:hint="cs"/>
                      <w:sz w:val="18"/>
                      <w:szCs w:val="18"/>
                      <w:rtl/>
                    </w:rPr>
                    <w:t>כפירה</w:t>
                  </w:r>
                </w:p>
              </w:txbxContent>
            </v:textbox>
            <w10:anchorlock/>
          </v:rect>
        </w:pict>
      </w:r>
      <w:r w:rsidR="00090966">
        <w:rPr>
          <w:rStyle w:val="big-number"/>
          <w:rFonts w:cs="Miriam" w:hint="cs"/>
          <w:rtl/>
        </w:rPr>
        <w:t>9</w:t>
      </w:r>
      <w:r>
        <w:rPr>
          <w:rStyle w:val="big-number"/>
          <w:rFonts w:cs="FrankRuehl"/>
          <w:sz w:val="26"/>
          <w:szCs w:val="26"/>
          <w:rtl/>
        </w:rPr>
        <w:t>.</w:t>
      </w:r>
      <w:r>
        <w:rPr>
          <w:rStyle w:val="big-number"/>
          <w:rFonts w:cs="FrankRuehl"/>
          <w:sz w:val="26"/>
          <w:szCs w:val="26"/>
          <w:rtl/>
        </w:rPr>
        <w:tab/>
      </w:r>
      <w:r w:rsidR="00090966">
        <w:rPr>
          <w:rStyle w:val="default"/>
          <w:rFonts w:cs="FrankRuehl" w:hint="cs"/>
          <w:rtl/>
        </w:rPr>
        <w:t>(א)</w:t>
      </w:r>
      <w:r w:rsidR="00090966">
        <w:rPr>
          <w:rStyle w:val="default"/>
          <w:rFonts w:cs="FrankRuehl" w:hint="cs"/>
          <w:rtl/>
        </w:rPr>
        <w:tab/>
        <w:t>הנאשם רשאי, לאחר שקיבל העתק כתב האישום כאמור בתקנה 8, להודיע במכתב רשום לוועדת הקנסות כי אינו מודה בעובדות כמפורט בכתב האישום ומבקש להופיע בפני ועדת הקנסות ולהביא את ראיותיו.</w:t>
      </w:r>
    </w:p>
    <w:p w:rsidR="00090966" w:rsidRDefault="00090966" w:rsidP="000909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קיבלה ועדת הקנסות הודעת הנאשם כאמור בתקנת משנה (א), תודיע לנאשם בכתב על מועד הדיון לשם הבאת ראיותיו וניהול פרשת ההגנה כאמור בתקנה 20.</w:t>
      </w:r>
    </w:p>
    <w:p w:rsidR="0096256E" w:rsidRDefault="0096256E" w:rsidP="00090966">
      <w:pPr>
        <w:pStyle w:val="P00"/>
        <w:spacing w:before="72"/>
        <w:ind w:left="0" w:right="1134"/>
        <w:rPr>
          <w:rStyle w:val="default"/>
          <w:rFonts w:cs="FrankRuehl" w:hint="cs"/>
          <w:rtl/>
        </w:rPr>
      </w:pPr>
      <w:bookmarkStart w:id="11" w:name="Seif10"/>
      <w:bookmarkEnd w:id="11"/>
      <w:r>
        <w:rPr>
          <w:rFonts w:cs="Miriam"/>
          <w:lang w:val="he-IL"/>
        </w:rPr>
        <w:pict>
          <v:rect id="_x0000_s1343" style="position:absolute;left:0;text-align:left;margin-left:464.35pt;margin-top:7.1pt;width:75.05pt;height:15.95pt;z-index:251649024" o:allowincell="f" filled="f" stroked="f" strokecolor="lime" strokeweight=".25pt">
            <v:textbox style="mso-next-textbox:#_x0000_s1343" inset="0,0,0,0">
              <w:txbxContent>
                <w:p w:rsidR="0096256E" w:rsidRDefault="00090966" w:rsidP="0096256E">
                  <w:pPr>
                    <w:spacing w:line="160" w:lineRule="exact"/>
                    <w:rPr>
                      <w:rFonts w:cs="Miriam" w:hint="cs"/>
                      <w:noProof/>
                      <w:sz w:val="18"/>
                      <w:szCs w:val="18"/>
                      <w:rtl/>
                    </w:rPr>
                  </w:pPr>
                  <w:r>
                    <w:rPr>
                      <w:rFonts w:cs="Miriam" w:hint="cs"/>
                      <w:sz w:val="18"/>
                      <w:szCs w:val="18"/>
                      <w:rtl/>
                    </w:rPr>
                    <w:t>קביעת מועד הדיון</w:t>
                  </w:r>
                </w:p>
              </w:txbxContent>
            </v:textbox>
            <w10:anchorlock/>
          </v:rect>
        </w:pict>
      </w:r>
      <w:r>
        <w:rPr>
          <w:rStyle w:val="big-number"/>
          <w:rFonts w:cs="Miriam"/>
          <w:rtl/>
        </w:rPr>
        <w:t>1</w:t>
      </w:r>
      <w:r>
        <w:rPr>
          <w:rStyle w:val="big-number"/>
          <w:rFonts w:cs="Miriam" w:hint="cs"/>
          <w:rtl/>
        </w:rPr>
        <w:t>0</w:t>
      </w:r>
      <w:r>
        <w:rPr>
          <w:rStyle w:val="big-number"/>
          <w:rFonts w:cs="FrankRuehl"/>
          <w:sz w:val="26"/>
          <w:szCs w:val="26"/>
          <w:rtl/>
        </w:rPr>
        <w:t>.</w:t>
      </w:r>
      <w:r>
        <w:rPr>
          <w:rStyle w:val="big-number"/>
          <w:rFonts w:cs="FrankRuehl"/>
          <w:sz w:val="26"/>
          <w:szCs w:val="26"/>
          <w:rtl/>
        </w:rPr>
        <w:tab/>
      </w:r>
      <w:r w:rsidR="00090966">
        <w:rPr>
          <w:rStyle w:val="default"/>
          <w:rFonts w:cs="FrankRuehl" w:hint="cs"/>
          <w:rtl/>
        </w:rPr>
        <w:t>יושב ראש הוועדה, יקבע את מועד תחילת הדיון, לאחר שהמזכיר העביר לוועדה את כתב האישום, ובלבד שמועד זה לא יהיה לפני תום חמישה עשר ימים מהיום שבו הומצא כתב האישום לנאשם; יושב ראש הוועדה יורה להזמין את בעלי הדין בכתב לאותו מועד.</w:t>
      </w:r>
    </w:p>
    <w:p w:rsidR="00090966" w:rsidRDefault="0096256E" w:rsidP="00090966">
      <w:pPr>
        <w:pStyle w:val="P00"/>
        <w:spacing w:before="72"/>
        <w:ind w:left="0" w:right="1134"/>
        <w:rPr>
          <w:rStyle w:val="default"/>
          <w:rFonts w:cs="FrankRuehl" w:hint="cs"/>
          <w:rtl/>
        </w:rPr>
      </w:pPr>
      <w:bookmarkStart w:id="12" w:name="Seif11"/>
      <w:bookmarkEnd w:id="12"/>
      <w:r>
        <w:rPr>
          <w:rFonts w:cs="Miriam"/>
          <w:lang w:val="he-IL"/>
        </w:rPr>
        <w:pict>
          <v:rect id="_x0000_s1344" style="position:absolute;left:0;text-align:left;margin-left:464.35pt;margin-top:7.1pt;width:75.05pt;height:15.95pt;z-index:251650048" o:allowincell="f" filled="f" stroked="f" strokecolor="lime" strokeweight=".25pt">
            <v:textbox style="mso-next-textbox:#_x0000_s1344" inset="0,0,0,0">
              <w:txbxContent>
                <w:p w:rsidR="0096256E" w:rsidRDefault="00090966" w:rsidP="0096256E">
                  <w:pPr>
                    <w:spacing w:line="160" w:lineRule="exact"/>
                    <w:rPr>
                      <w:rFonts w:cs="Miriam" w:hint="cs"/>
                      <w:noProof/>
                      <w:sz w:val="18"/>
                      <w:szCs w:val="18"/>
                      <w:rtl/>
                    </w:rPr>
                  </w:pPr>
                  <w:r>
                    <w:rPr>
                      <w:rFonts w:cs="Miriam" w:hint="cs"/>
                      <w:sz w:val="18"/>
                      <w:szCs w:val="18"/>
                      <w:rtl/>
                    </w:rPr>
                    <w:t>נוכחות הנאשם</w:t>
                  </w:r>
                </w:p>
              </w:txbxContent>
            </v:textbox>
            <w10:anchorlock/>
          </v:rect>
        </w:pict>
      </w:r>
      <w:r>
        <w:rPr>
          <w:rStyle w:val="big-number"/>
          <w:rFonts w:cs="Miriam"/>
          <w:rtl/>
        </w:rPr>
        <w:t>1</w:t>
      </w:r>
      <w:r w:rsidR="00090966">
        <w:rPr>
          <w:rStyle w:val="big-number"/>
          <w:rFonts w:cs="Miriam" w:hint="cs"/>
          <w:rtl/>
        </w:rPr>
        <w:t>1</w:t>
      </w:r>
      <w:r>
        <w:rPr>
          <w:rStyle w:val="big-number"/>
          <w:rFonts w:cs="FrankRuehl"/>
          <w:sz w:val="26"/>
          <w:szCs w:val="26"/>
          <w:rtl/>
        </w:rPr>
        <w:t>.</w:t>
      </w:r>
      <w:r>
        <w:rPr>
          <w:rStyle w:val="big-number"/>
          <w:rFonts w:cs="FrankRuehl"/>
          <w:sz w:val="26"/>
          <w:szCs w:val="26"/>
          <w:rtl/>
        </w:rPr>
        <w:tab/>
      </w:r>
      <w:r w:rsidR="00090966">
        <w:rPr>
          <w:rStyle w:val="default"/>
          <w:rFonts w:cs="FrankRuehl" w:hint="cs"/>
          <w:rtl/>
        </w:rPr>
        <w:t>(א)</w:t>
      </w:r>
      <w:r w:rsidR="00090966">
        <w:rPr>
          <w:rStyle w:val="default"/>
          <w:rFonts w:cs="FrankRuehl" w:hint="cs"/>
          <w:rtl/>
        </w:rPr>
        <w:tab/>
        <w:t>ועדת הקנסות לא תדון נאשם אלא בפניו, ואולם רשאית ועדת הקנסות להרשות לנאשם, לפי בקשתו, שייעדר מהדיון, כולו או חלקו.</w:t>
      </w:r>
    </w:p>
    <w:p w:rsidR="00090966" w:rsidRDefault="00090966" w:rsidP="000909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רשאית ועדת הקנסות לדון נאשם שלא בפניו אם, לאחר שהומצאה לו הזמנה ולא התייצב, הומצאה לו הזמנה שניה בצירוף התראה, שאם לא ייענה גם להזמנה השניה, ידונו בעניין שלא בפניו.</w:t>
      </w:r>
    </w:p>
    <w:p w:rsidR="00151314" w:rsidRDefault="0096256E" w:rsidP="00151314">
      <w:pPr>
        <w:pStyle w:val="P00"/>
        <w:spacing w:before="72"/>
        <w:ind w:left="0" w:right="1134"/>
        <w:rPr>
          <w:rStyle w:val="default"/>
          <w:rFonts w:cs="FrankRuehl" w:hint="cs"/>
          <w:rtl/>
        </w:rPr>
      </w:pPr>
      <w:bookmarkStart w:id="13" w:name="Seif12"/>
      <w:bookmarkEnd w:id="13"/>
      <w:r>
        <w:rPr>
          <w:rFonts w:cs="Miriam"/>
          <w:lang w:val="he-IL"/>
        </w:rPr>
        <w:pict>
          <v:rect id="_x0000_s1345" style="position:absolute;left:0;text-align:left;margin-left:464.35pt;margin-top:7.1pt;width:75.05pt;height:15.95pt;z-index:251651072" o:allowincell="f" filled="f" stroked="f" strokecolor="lime" strokeweight=".25pt">
            <v:textbox style="mso-next-textbox:#_x0000_s1345" inset="0,0,0,0">
              <w:txbxContent>
                <w:p w:rsidR="0096256E" w:rsidRDefault="00151314" w:rsidP="0096256E">
                  <w:pPr>
                    <w:spacing w:line="160" w:lineRule="exact"/>
                    <w:rPr>
                      <w:rFonts w:cs="Miriam" w:hint="cs"/>
                      <w:noProof/>
                      <w:sz w:val="18"/>
                      <w:szCs w:val="18"/>
                      <w:rtl/>
                    </w:rPr>
                  </w:pPr>
                  <w:r>
                    <w:rPr>
                      <w:rFonts w:cs="Miriam" w:hint="cs"/>
                      <w:sz w:val="18"/>
                      <w:szCs w:val="18"/>
                      <w:rtl/>
                    </w:rPr>
                    <w:t>הודיה בכתב</w:t>
                  </w:r>
                </w:p>
              </w:txbxContent>
            </v:textbox>
            <w10:anchorlock/>
          </v:rect>
        </w:pict>
      </w:r>
      <w:r>
        <w:rPr>
          <w:rStyle w:val="big-number"/>
          <w:rFonts w:cs="Miriam"/>
          <w:rtl/>
        </w:rPr>
        <w:t>1</w:t>
      </w:r>
      <w:r w:rsidR="00090966">
        <w:rPr>
          <w:rStyle w:val="big-number"/>
          <w:rFonts w:cs="Miriam" w:hint="cs"/>
          <w:rtl/>
        </w:rPr>
        <w:t>2</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הנאשם רשאי, עד לתחילת הדיון בוועדת הקנסות, להודות, בהודעה בכתב, בעובדות הנטענות בכתב האישום, כולן או מקצתן, וכן לטעון עובדות נוספות; ועדת הקנסות תמציא עותק מכתב ההודעה לתובע.</w:t>
      </w:r>
    </w:p>
    <w:p w:rsidR="0096256E" w:rsidRDefault="0096256E" w:rsidP="00151314">
      <w:pPr>
        <w:pStyle w:val="P00"/>
        <w:spacing w:before="72"/>
        <w:ind w:left="0" w:right="1134"/>
        <w:rPr>
          <w:rStyle w:val="default"/>
          <w:rFonts w:cs="FrankRuehl" w:hint="cs"/>
          <w:rtl/>
        </w:rPr>
      </w:pPr>
      <w:bookmarkStart w:id="14" w:name="Seif13"/>
      <w:bookmarkEnd w:id="14"/>
      <w:r>
        <w:rPr>
          <w:rFonts w:cs="Miriam"/>
          <w:lang w:val="he-IL"/>
        </w:rPr>
        <w:pict>
          <v:rect id="_x0000_s1346" style="position:absolute;left:0;text-align:left;margin-left:464.35pt;margin-top:7.1pt;width:75.05pt;height:29.5pt;z-index:251652096" o:allowincell="f" filled="f" stroked="f" strokecolor="lime" strokeweight=".25pt">
            <v:textbox style="mso-next-textbox:#_x0000_s1346" inset="0,0,0,0">
              <w:txbxContent>
                <w:p w:rsidR="0096256E" w:rsidRDefault="00151314" w:rsidP="0096256E">
                  <w:pPr>
                    <w:spacing w:line="160" w:lineRule="exact"/>
                    <w:rPr>
                      <w:rFonts w:cs="Miriam" w:hint="cs"/>
                      <w:noProof/>
                      <w:sz w:val="18"/>
                      <w:szCs w:val="18"/>
                      <w:rtl/>
                    </w:rPr>
                  </w:pPr>
                  <w:r>
                    <w:rPr>
                      <w:rFonts w:cs="Miriam" w:hint="cs"/>
                      <w:sz w:val="18"/>
                      <w:szCs w:val="18"/>
                      <w:rtl/>
                    </w:rPr>
                    <w:t>הודיה בכתב אינה מונעת טענות מקדמיות</w:t>
                  </w:r>
                </w:p>
              </w:txbxContent>
            </v:textbox>
            <w10:anchorlock/>
          </v:rect>
        </w:pict>
      </w:r>
      <w:r>
        <w:rPr>
          <w:rStyle w:val="big-number"/>
          <w:rFonts w:cs="Miriam"/>
          <w:rtl/>
        </w:rPr>
        <w:t>1</w:t>
      </w:r>
      <w:r w:rsidR="00151314">
        <w:rPr>
          <w:rStyle w:val="big-number"/>
          <w:rFonts w:cs="Miriam" w:hint="cs"/>
          <w:rtl/>
        </w:rPr>
        <w:t>3</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הודיה שבכתב אינה מונעת את הנאשם לטעון טענות מקדמיות או להודות בעובדות או לטעון עובדות נוספות במהלך הדיון בפני ועדת הקנסות.</w:t>
      </w:r>
    </w:p>
    <w:p w:rsidR="0096256E" w:rsidRDefault="0096256E" w:rsidP="00151314">
      <w:pPr>
        <w:pStyle w:val="P00"/>
        <w:spacing w:before="72"/>
        <w:ind w:left="0" w:right="1134"/>
        <w:rPr>
          <w:rStyle w:val="default"/>
          <w:rFonts w:cs="FrankRuehl" w:hint="cs"/>
          <w:rtl/>
        </w:rPr>
      </w:pPr>
      <w:bookmarkStart w:id="15" w:name="Seif14"/>
      <w:bookmarkEnd w:id="15"/>
      <w:r>
        <w:rPr>
          <w:rFonts w:cs="Miriam"/>
          <w:lang w:val="he-IL"/>
        </w:rPr>
        <w:pict>
          <v:rect id="_x0000_s1347" style="position:absolute;left:0;text-align:left;margin-left:464.35pt;margin-top:7.1pt;width:75.05pt;height:15.95pt;z-index:251653120" o:allowincell="f" filled="f" stroked="f" strokecolor="lime" strokeweight=".25pt">
            <v:textbox style="mso-next-textbox:#_x0000_s1347" inset="0,0,0,0">
              <w:txbxContent>
                <w:p w:rsidR="0096256E" w:rsidRDefault="00151314" w:rsidP="0096256E">
                  <w:pPr>
                    <w:spacing w:line="160" w:lineRule="exact"/>
                    <w:rPr>
                      <w:rFonts w:cs="Miriam" w:hint="cs"/>
                      <w:noProof/>
                      <w:sz w:val="18"/>
                      <w:szCs w:val="18"/>
                      <w:rtl/>
                    </w:rPr>
                  </w:pPr>
                  <w:r>
                    <w:rPr>
                      <w:rFonts w:cs="Miriam" w:hint="cs"/>
                      <w:sz w:val="18"/>
                      <w:szCs w:val="18"/>
                      <w:rtl/>
                    </w:rPr>
                    <w:t>העדר תביעה</w:t>
                  </w:r>
                </w:p>
              </w:txbxContent>
            </v:textbox>
            <w10:anchorlock/>
          </v:rect>
        </w:pict>
      </w:r>
      <w:r>
        <w:rPr>
          <w:rStyle w:val="big-number"/>
          <w:rFonts w:cs="Miriam"/>
          <w:rtl/>
        </w:rPr>
        <w:t>1</w:t>
      </w:r>
      <w:r w:rsidR="00151314">
        <w:rPr>
          <w:rStyle w:val="big-number"/>
          <w:rFonts w:cs="Miriam" w:hint="cs"/>
          <w:rtl/>
        </w:rPr>
        <w:t>4</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(א)</w:t>
      </w:r>
      <w:r w:rsidR="00151314">
        <w:rPr>
          <w:rStyle w:val="default"/>
          <w:rFonts w:cs="FrankRuehl" w:hint="cs"/>
          <w:rtl/>
        </w:rPr>
        <w:tab/>
        <w:t>לא תדון ועדת הקנסות באישום בהעדר התובע; הוזמן התובע ולא התייצב, רשאית ועדת הקנסות לדחות את מועד הדיון או לזכות את הנאשם.</w:t>
      </w:r>
    </w:p>
    <w:p w:rsidR="00151314" w:rsidRDefault="00151314" w:rsidP="001513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התייצב הנאשם והחליטה ועדת הקנסות כאמור בתקנת משנה (א), רשאי יושב ראש ועדת הקנסות לצוות על המועצה לשלם לנאשם הוצאות נסיעה ברכב ציבורי, אם הוא בא מחוץ לעיר, וכן שכר בטלה שלא יעלה על השיעורים הנקובים בתקנה 10(1) לתקנות סדר הדין הפלילי, התשל"ד-1974.</w:t>
      </w:r>
    </w:p>
    <w:p w:rsidR="0096256E" w:rsidRDefault="0096256E" w:rsidP="00151314">
      <w:pPr>
        <w:pStyle w:val="P00"/>
        <w:spacing w:before="72"/>
        <w:ind w:left="0" w:right="1134"/>
        <w:rPr>
          <w:rStyle w:val="default"/>
          <w:rFonts w:cs="FrankRuehl" w:hint="cs"/>
          <w:rtl/>
        </w:rPr>
      </w:pPr>
      <w:bookmarkStart w:id="16" w:name="Seif15"/>
      <w:bookmarkEnd w:id="16"/>
      <w:r>
        <w:rPr>
          <w:rFonts w:cs="Miriam"/>
          <w:lang w:val="he-IL"/>
        </w:rPr>
        <w:pict>
          <v:rect id="_x0000_s1348" style="position:absolute;left:0;text-align:left;margin-left:464.35pt;margin-top:7.1pt;width:75.05pt;height:15.95pt;z-index:251654144" o:allowincell="f" filled="f" stroked="f" strokecolor="lime" strokeweight=".25pt">
            <v:textbox style="mso-next-textbox:#_x0000_s1348" inset="0,0,0,0">
              <w:txbxContent>
                <w:p w:rsidR="0096256E" w:rsidRDefault="00151314" w:rsidP="0096256E">
                  <w:pPr>
                    <w:spacing w:line="160" w:lineRule="exact"/>
                    <w:rPr>
                      <w:rFonts w:cs="Miriam" w:hint="cs"/>
                      <w:noProof/>
                      <w:sz w:val="18"/>
                      <w:szCs w:val="18"/>
                      <w:rtl/>
                    </w:rPr>
                  </w:pPr>
                  <w:r>
                    <w:rPr>
                      <w:rFonts w:cs="Miriam" w:hint="cs"/>
                      <w:sz w:val="18"/>
                      <w:szCs w:val="18"/>
                      <w:rtl/>
                    </w:rPr>
                    <w:t>הקראת כתב אישום</w:t>
                  </w:r>
                </w:p>
              </w:txbxContent>
            </v:textbox>
            <w10:anchorlock/>
          </v:rect>
        </w:pict>
      </w:r>
      <w:r>
        <w:rPr>
          <w:rStyle w:val="big-number"/>
          <w:rFonts w:cs="Miriam"/>
          <w:rtl/>
        </w:rPr>
        <w:t>1</w:t>
      </w:r>
      <w:r w:rsidR="00151314">
        <w:rPr>
          <w:rStyle w:val="big-number"/>
          <w:rFonts w:cs="Miriam" w:hint="cs"/>
          <w:rtl/>
        </w:rPr>
        <w:t>5</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בפתיחת הדיון יקרא יושב ראש של ועדת הקנסות את כתב האישום בפני הנאשם ואם ראה צורך בכך אף יסביר לנאשם את העבירות המיוחסות לו בכתב האישום ויבקש אותו להשיב עליהן.</w:t>
      </w:r>
    </w:p>
    <w:p w:rsidR="0096256E" w:rsidRDefault="0096256E" w:rsidP="00151314">
      <w:pPr>
        <w:pStyle w:val="P00"/>
        <w:spacing w:before="72"/>
        <w:ind w:left="0" w:right="1134"/>
        <w:rPr>
          <w:rStyle w:val="default"/>
          <w:rFonts w:cs="FrankRuehl" w:hint="cs"/>
          <w:rtl/>
        </w:rPr>
      </w:pPr>
      <w:bookmarkStart w:id="17" w:name="Seif16"/>
      <w:bookmarkEnd w:id="17"/>
      <w:r>
        <w:rPr>
          <w:rFonts w:cs="Miriam"/>
          <w:lang w:val="he-IL"/>
        </w:rPr>
        <w:pict>
          <v:rect id="_x0000_s1349" style="position:absolute;left:0;text-align:left;margin-left:464.35pt;margin-top:7.1pt;width:75.05pt;height:15.95pt;z-index:251655168" o:allowincell="f" filled="f" stroked="f" strokecolor="lime" strokeweight=".25pt">
            <v:textbox style="mso-next-textbox:#_x0000_s1349" inset="0,0,0,0">
              <w:txbxContent>
                <w:p w:rsidR="0096256E" w:rsidRDefault="00151314" w:rsidP="0096256E">
                  <w:pPr>
                    <w:spacing w:line="160" w:lineRule="exact"/>
                    <w:rPr>
                      <w:rFonts w:cs="Miriam" w:hint="cs"/>
                      <w:noProof/>
                      <w:sz w:val="18"/>
                      <w:szCs w:val="18"/>
                      <w:rtl/>
                    </w:rPr>
                  </w:pPr>
                  <w:r>
                    <w:rPr>
                      <w:rFonts w:cs="Miriam" w:hint="cs"/>
                      <w:sz w:val="18"/>
                      <w:szCs w:val="18"/>
                      <w:rtl/>
                    </w:rPr>
                    <w:t>הגשת התביעה</w:t>
                  </w:r>
                </w:p>
              </w:txbxContent>
            </v:textbox>
            <w10:anchorlock/>
          </v:rect>
        </w:pict>
      </w:r>
      <w:r>
        <w:rPr>
          <w:rStyle w:val="big-number"/>
          <w:rFonts w:cs="Miriam"/>
          <w:rtl/>
        </w:rPr>
        <w:t>1</w:t>
      </w:r>
      <w:r w:rsidR="00151314">
        <w:rPr>
          <w:rStyle w:val="big-number"/>
          <w:rFonts w:cs="Miriam" w:hint="cs"/>
          <w:rtl/>
        </w:rPr>
        <w:t>6</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לא הודעה הנאשם בעובדות המיוחסות לו בכתב האישום, או הודה בחלק מהן</w:t>
      </w:r>
    </w:p>
    <w:p w:rsidR="00151314" w:rsidRDefault="00151314" w:rsidP="00151314">
      <w:pPr>
        <w:pStyle w:val="P00"/>
        <w:spacing w:before="72"/>
        <w:ind w:left="0" w:right="1134"/>
        <w:rPr>
          <w:rStyle w:val="default"/>
          <w:rFonts w:cs="FrankRuehl" w:hint="cs"/>
          <w:rtl/>
        </w:rPr>
      </w:pPr>
      <w:r>
        <w:rPr>
          <w:rStyle w:val="default"/>
          <w:rFonts w:cs="FrankRuehl" w:hint="cs"/>
          <w:rtl/>
        </w:rPr>
        <w:t xml:space="preserve"> יביא התובע בפני ועדת הקנסות את ראיותיו להוכחת העובדות שהנאשם לא הודה בהן, לפי סדר שיורה יושב ראש ועדת הקנסות.</w:t>
      </w:r>
    </w:p>
    <w:p w:rsidR="0096256E" w:rsidRDefault="0096256E" w:rsidP="00151314">
      <w:pPr>
        <w:pStyle w:val="P00"/>
        <w:spacing w:before="72"/>
        <w:ind w:left="0" w:right="1134"/>
        <w:rPr>
          <w:rStyle w:val="default"/>
          <w:rFonts w:cs="FrankRuehl" w:hint="cs"/>
          <w:rtl/>
        </w:rPr>
      </w:pPr>
      <w:bookmarkStart w:id="18" w:name="Seif17"/>
      <w:bookmarkEnd w:id="18"/>
      <w:r>
        <w:rPr>
          <w:rFonts w:cs="Miriam"/>
          <w:lang w:val="he-IL"/>
        </w:rPr>
        <w:pict>
          <v:rect id="_x0000_s1350" style="position:absolute;left:0;text-align:left;margin-left:464.35pt;margin-top:7.1pt;width:75.05pt;height:15.95pt;z-index:251656192" o:allowincell="f" filled="f" stroked="f" strokecolor="lime" strokeweight=".25pt">
            <v:textbox style="mso-next-textbox:#_x0000_s1350" inset="0,0,0,0">
              <w:txbxContent>
                <w:p w:rsidR="0096256E" w:rsidRDefault="00151314" w:rsidP="0096256E">
                  <w:pPr>
                    <w:spacing w:line="160" w:lineRule="exact"/>
                    <w:rPr>
                      <w:rFonts w:cs="Miriam" w:hint="cs"/>
                      <w:noProof/>
                      <w:sz w:val="18"/>
                      <w:szCs w:val="18"/>
                      <w:rtl/>
                    </w:rPr>
                  </w:pPr>
                  <w:r>
                    <w:rPr>
                      <w:rFonts w:cs="Miriam" w:hint="cs"/>
                      <w:sz w:val="18"/>
                      <w:szCs w:val="18"/>
                      <w:rtl/>
                    </w:rPr>
                    <w:t>חזרה מהודאה</w:t>
                  </w:r>
                </w:p>
              </w:txbxContent>
            </v:textbox>
            <w10:anchorlock/>
          </v:rect>
        </w:pict>
      </w:r>
      <w:r>
        <w:rPr>
          <w:rStyle w:val="big-number"/>
          <w:rFonts w:cs="Miriam"/>
          <w:rtl/>
        </w:rPr>
        <w:t>1</w:t>
      </w:r>
      <w:r w:rsidR="00151314">
        <w:rPr>
          <w:rStyle w:val="big-number"/>
          <w:rFonts w:cs="Miriam" w:hint="cs"/>
          <w:rtl/>
        </w:rPr>
        <w:t>7</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ברשות ועדת הקנסות רשאי נאשם לחזור בו מהודאתו, כולה או מקצתה, בכל שלב משלבי הדיון עד למתן החלטה.</w:t>
      </w:r>
    </w:p>
    <w:p w:rsidR="0096256E" w:rsidRDefault="0096256E" w:rsidP="00151314">
      <w:pPr>
        <w:pStyle w:val="P00"/>
        <w:spacing w:before="72"/>
        <w:ind w:left="0" w:right="1134"/>
        <w:rPr>
          <w:rStyle w:val="default"/>
          <w:rFonts w:cs="FrankRuehl" w:hint="cs"/>
          <w:rtl/>
        </w:rPr>
      </w:pPr>
      <w:bookmarkStart w:id="19" w:name="Seif18"/>
      <w:bookmarkEnd w:id="19"/>
      <w:r>
        <w:rPr>
          <w:rFonts w:cs="Miriam"/>
          <w:lang w:val="he-IL"/>
        </w:rPr>
        <w:pict>
          <v:rect id="_x0000_s1351" style="position:absolute;left:0;text-align:left;margin-left:464.35pt;margin-top:7.1pt;width:75.05pt;height:15.95pt;z-index:251657216" o:allowincell="f" filled="f" stroked="f" strokecolor="lime" strokeweight=".25pt">
            <v:textbox style="mso-next-textbox:#_x0000_s1351" inset="0,0,0,0">
              <w:txbxContent>
                <w:p w:rsidR="0096256E" w:rsidRDefault="00151314" w:rsidP="0096256E">
                  <w:pPr>
                    <w:spacing w:line="160" w:lineRule="exact"/>
                    <w:rPr>
                      <w:rFonts w:cs="Miriam" w:hint="cs"/>
                      <w:noProof/>
                      <w:sz w:val="18"/>
                      <w:szCs w:val="18"/>
                      <w:rtl/>
                    </w:rPr>
                  </w:pPr>
                  <w:r>
                    <w:rPr>
                      <w:rFonts w:cs="Miriam" w:hint="cs"/>
                      <w:sz w:val="18"/>
                      <w:szCs w:val="18"/>
                      <w:rtl/>
                    </w:rPr>
                    <w:t>טענת חוסר עילה</w:t>
                  </w:r>
                </w:p>
              </w:txbxContent>
            </v:textbox>
            <w10:anchorlock/>
          </v:rect>
        </w:pict>
      </w:r>
      <w:r>
        <w:rPr>
          <w:rStyle w:val="big-number"/>
          <w:rFonts w:cs="Miriam"/>
          <w:rtl/>
        </w:rPr>
        <w:t>1</w:t>
      </w:r>
      <w:r w:rsidR="00151314">
        <w:rPr>
          <w:rStyle w:val="big-number"/>
          <w:rFonts w:cs="Miriam" w:hint="cs"/>
          <w:rtl/>
        </w:rPr>
        <w:t>8</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עם סיום הבאת ראיות התובע רשאי הנאשם לטעון כי האישום לא הוכח אף לכאורה, והתובע רשאי להשיב על הטענה.</w:t>
      </w:r>
    </w:p>
    <w:p w:rsidR="0096256E" w:rsidRDefault="0096256E" w:rsidP="00151314">
      <w:pPr>
        <w:pStyle w:val="P00"/>
        <w:spacing w:before="72"/>
        <w:ind w:left="0" w:right="1134"/>
        <w:rPr>
          <w:rStyle w:val="default"/>
          <w:rFonts w:cs="FrankRuehl" w:hint="cs"/>
          <w:rtl/>
        </w:rPr>
      </w:pPr>
      <w:bookmarkStart w:id="20" w:name="Seif19"/>
      <w:bookmarkEnd w:id="20"/>
      <w:r>
        <w:rPr>
          <w:rFonts w:cs="Miriam"/>
          <w:lang w:val="he-IL"/>
        </w:rPr>
        <w:pict>
          <v:rect id="_x0000_s1352" style="position:absolute;left:0;text-align:left;margin-left:464.35pt;margin-top:7.1pt;width:75.05pt;height:20.8pt;z-index:251658240" o:allowincell="f" filled="f" stroked="f" strokecolor="lime" strokeweight=".25pt">
            <v:textbox style="mso-next-textbox:#_x0000_s1352" inset="0,0,0,0">
              <w:txbxContent>
                <w:p w:rsidR="0096256E" w:rsidRDefault="00151314" w:rsidP="0096256E">
                  <w:pPr>
                    <w:spacing w:line="160" w:lineRule="exact"/>
                    <w:rPr>
                      <w:rFonts w:cs="Miriam" w:hint="cs"/>
                      <w:noProof/>
                      <w:sz w:val="18"/>
                      <w:szCs w:val="18"/>
                      <w:rtl/>
                    </w:rPr>
                  </w:pPr>
                  <w:r>
                    <w:rPr>
                      <w:rFonts w:cs="Miriam" w:hint="cs"/>
                      <w:sz w:val="18"/>
                      <w:szCs w:val="18"/>
                      <w:rtl/>
                    </w:rPr>
                    <w:t>זיכוי בהעדר הוכחה לכאורה</w:t>
                  </w:r>
                </w:p>
              </w:txbxContent>
            </v:textbox>
            <w10:anchorlock/>
          </v:rect>
        </w:pict>
      </w:r>
      <w:r>
        <w:rPr>
          <w:rStyle w:val="big-number"/>
          <w:rFonts w:cs="Miriam"/>
          <w:rtl/>
        </w:rPr>
        <w:t>1</w:t>
      </w:r>
      <w:r w:rsidR="00151314">
        <w:rPr>
          <w:rStyle w:val="big-number"/>
          <w:rFonts w:cs="Miriam" w:hint="cs"/>
          <w:rtl/>
        </w:rPr>
        <w:t>9</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מצאה ועדת הקנסות כי האישום לא הוכח אף לכאורה, תזכה את הנאשם ורשאית היא לעשות כך אף אם לא נטענה טענה לפי תקנה 18, לאחר שנתנה לתובע הזדמנות להשמיע את דברו בעניין.</w:t>
      </w:r>
    </w:p>
    <w:p w:rsidR="0096256E" w:rsidRDefault="0096256E" w:rsidP="00151314">
      <w:pPr>
        <w:pStyle w:val="P00"/>
        <w:spacing w:before="72"/>
        <w:ind w:left="0" w:right="1134"/>
        <w:rPr>
          <w:rStyle w:val="default"/>
          <w:rFonts w:cs="FrankRuehl" w:hint="cs"/>
          <w:rtl/>
        </w:rPr>
      </w:pPr>
      <w:bookmarkStart w:id="21" w:name="Seif20"/>
      <w:bookmarkEnd w:id="21"/>
      <w:r>
        <w:rPr>
          <w:rFonts w:cs="Miriam"/>
          <w:lang w:val="he-IL"/>
        </w:rPr>
        <w:pict>
          <v:rect id="_x0000_s1353" style="position:absolute;left:0;text-align:left;margin-left:464.35pt;margin-top:7.1pt;width:75.05pt;height:15.95pt;z-index:251659264" o:allowincell="f" filled="f" stroked="f" strokecolor="lime" strokeweight=".25pt">
            <v:textbox style="mso-next-textbox:#_x0000_s1353" inset="0,0,0,0">
              <w:txbxContent>
                <w:p w:rsidR="0096256E" w:rsidRDefault="00151314" w:rsidP="0096256E">
                  <w:pPr>
                    <w:spacing w:line="160" w:lineRule="exact"/>
                    <w:rPr>
                      <w:rFonts w:cs="Miriam" w:hint="cs"/>
                      <w:noProof/>
                      <w:sz w:val="18"/>
                      <w:szCs w:val="18"/>
                      <w:rtl/>
                    </w:rPr>
                  </w:pPr>
                  <w:r>
                    <w:rPr>
                      <w:rFonts w:cs="Miriam" w:hint="cs"/>
                      <w:sz w:val="18"/>
                      <w:szCs w:val="18"/>
                      <w:rtl/>
                    </w:rPr>
                    <w:t>פרשת ההגנה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151314">
        <w:rPr>
          <w:rStyle w:val="default"/>
          <w:rFonts w:cs="FrankRuehl" w:hint="cs"/>
          <w:rtl/>
        </w:rPr>
        <w:t xml:space="preserve">לא זוכה הנאשם לפי תקנה 19 רשאי הוא </w:t>
      </w:r>
      <w:r w:rsidR="00151314">
        <w:rPr>
          <w:rStyle w:val="default"/>
          <w:rFonts w:cs="FrankRuehl"/>
          <w:rtl/>
        </w:rPr>
        <w:t>–</w:t>
      </w:r>
    </w:p>
    <w:p w:rsidR="00151314" w:rsidRDefault="00151314" w:rsidP="0015131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להביא את ראיות ההגנה ולהקדים להן דברי פתיחה;</w:t>
      </w:r>
    </w:p>
    <w:p w:rsidR="00151314" w:rsidRDefault="00151314" w:rsidP="0015131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להעיד כעד הגנה, ואז הוא עשוי להיחקר;</w:t>
      </w:r>
    </w:p>
    <w:p w:rsidR="00151314" w:rsidRDefault="00151314" w:rsidP="0015131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למסור הודעה, ואז לא ייחקר;</w:t>
      </w:r>
    </w:p>
    <w:p w:rsidR="00151314" w:rsidRDefault="00151314" w:rsidP="0015131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להימנע הן מעדות והן ממסירת הודעה.</w:t>
      </w:r>
    </w:p>
    <w:p w:rsidR="0096256E" w:rsidRDefault="0096256E" w:rsidP="00151314">
      <w:pPr>
        <w:pStyle w:val="P00"/>
        <w:spacing w:before="72"/>
        <w:ind w:left="0" w:right="1134"/>
        <w:rPr>
          <w:rStyle w:val="default"/>
          <w:rFonts w:cs="FrankRuehl" w:hint="cs"/>
          <w:rtl/>
        </w:rPr>
      </w:pPr>
      <w:bookmarkStart w:id="22" w:name="Seif21"/>
      <w:bookmarkEnd w:id="22"/>
      <w:r>
        <w:rPr>
          <w:rFonts w:cs="Miriam"/>
          <w:lang w:val="he-IL"/>
        </w:rPr>
        <w:pict>
          <v:rect id="_x0000_s1354" style="position:absolute;left:0;text-align:left;margin-left:464.35pt;margin-top:7.1pt;width:75.05pt;height:15.95pt;z-index:251660288" o:allowincell="f" filled="f" stroked="f" strokecolor="lime" strokeweight=".25pt">
            <v:textbox style="mso-next-textbox:#_x0000_s1354" inset="0,0,0,0">
              <w:txbxContent>
                <w:p w:rsidR="0096256E" w:rsidRDefault="00151314" w:rsidP="0096256E">
                  <w:pPr>
                    <w:spacing w:line="160" w:lineRule="exact"/>
                    <w:rPr>
                      <w:rFonts w:cs="Miriam" w:hint="cs"/>
                      <w:noProof/>
                      <w:sz w:val="18"/>
                      <w:szCs w:val="18"/>
                      <w:rtl/>
                    </w:rPr>
                  </w:pPr>
                  <w:r>
                    <w:rPr>
                      <w:rFonts w:cs="Miriam" w:hint="cs"/>
                      <w:sz w:val="18"/>
                      <w:szCs w:val="18"/>
                      <w:rtl/>
                    </w:rPr>
                    <w:t>סיכומים</w:t>
                  </w:r>
                </w:p>
              </w:txbxContent>
            </v:textbox>
            <w10:anchorlock/>
          </v:rect>
        </w:pict>
      </w:r>
      <w:r>
        <w:rPr>
          <w:rStyle w:val="big-number"/>
          <w:rFonts w:cs="Miriam" w:hint="cs"/>
          <w:rtl/>
        </w:rPr>
        <w:t>2</w:t>
      </w:r>
      <w:r w:rsidR="00151314">
        <w:rPr>
          <w:rStyle w:val="big-number"/>
          <w:rFonts w:cs="Miriam" w:hint="cs"/>
          <w:rtl/>
        </w:rPr>
        <w:t>1</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בתום הבאת הראיות, או, אם לא הובאו ראיות, עקב הודאת הנאשם בעובדות או מטעם אחר, רשאים התובע ואחריו הנאשם, להשמיע את סיכומיהם לעניין האשמה.</w:t>
      </w:r>
    </w:p>
    <w:p w:rsidR="0096256E" w:rsidRDefault="0096256E" w:rsidP="00151314">
      <w:pPr>
        <w:pStyle w:val="P00"/>
        <w:spacing w:before="72"/>
        <w:ind w:left="0" w:right="1134"/>
        <w:rPr>
          <w:rStyle w:val="default"/>
          <w:rFonts w:cs="FrankRuehl" w:hint="cs"/>
          <w:rtl/>
        </w:rPr>
      </w:pPr>
      <w:bookmarkStart w:id="23" w:name="Seif22"/>
      <w:bookmarkEnd w:id="23"/>
      <w:r>
        <w:rPr>
          <w:rFonts w:cs="Miriam"/>
          <w:lang w:val="he-IL"/>
        </w:rPr>
        <w:pict>
          <v:rect id="_x0000_s1355" style="position:absolute;left:0;text-align:left;margin-left:464.35pt;margin-top:7.1pt;width:75.05pt;height:15.95pt;z-index:251661312" o:allowincell="f" filled="f" stroked="f" strokecolor="lime" strokeweight=".25pt">
            <v:textbox style="mso-next-textbox:#_x0000_s1355" inset="0,0,0,0">
              <w:txbxContent>
                <w:p w:rsidR="0096256E" w:rsidRDefault="00151314" w:rsidP="0096256E">
                  <w:pPr>
                    <w:spacing w:line="160" w:lineRule="exact"/>
                    <w:rPr>
                      <w:rFonts w:cs="Miriam" w:hint="cs"/>
                      <w:noProof/>
                      <w:sz w:val="18"/>
                      <w:szCs w:val="18"/>
                      <w:rtl/>
                    </w:rPr>
                  </w:pPr>
                  <w:r>
                    <w:rPr>
                      <w:rFonts w:cs="Miriam" w:hint="cs"/>
                      <w:sz w:val="18"/>
                      <w:szCs w:val="18"/>
                      <w:rtl/>
                    </w:rPr>
                    <w:t>הכרעת דין</w:t>
                  </w:r>
                </w:p>
              </w:txbxContent>
            </v:textbox>
            <w10:anchorlock/>
          </v:rect>
        </w:pict>
      </w:r>
      <w:r>
        <w:rPr>
          <w:rStyle w:val="big-number"/>
          <w:rFonts w:cs="Miriam" w:hint="cs"/>
          <w:rtl/>
        </w:rPr>
        <w:t>2</w:t>
      </w:r>
      <w:r w:rsidR="00151314">
        <w:rPr>
          <w:rStyle w:val="big-number"/>
          <w:rFonts w:cs="Miriam" w:hint="cs"/>
          <w:rtl/>
        </w:rPr>
        <w:t>2</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בתום בירור האשמה תכריע ועדת הקנסות את דינו של הנאשם לזיכוי או לחיוב; הכרעת הדין תהיה בכתב ותנומק.</w:t>
      </w:r>
    </w:p>
    <w:p w:rsidR="0096256E" w:rsidRDefault="0096256E" w:rsidP="00151314">
      <w:pPr>
        <w:pStyle w:val="P00"/>
        <w:spacing w:before="72"/>
        <w:ind w:left="0" w:right="1134"/>
        <w:rPr>
          <w:rStyle w:val="default"/>
          <w:rFonts w:cs="FrankRuehl" w:hint="cs"/>
          <w:rtl/>
        </w:rPr>
      </w:pPr>
      <w:bookmarkStart w:id="24" w:name="Seif23"/>
      <w:bookmarkEnd w:id="24"/>
      <w:r>
        <w:rPr>
          <w:rFonts w:cs="Miriam"/>
          <w:lang w:val="he-IL"/>
        </w:rPr>
        <w:pict>
          <v:rect id="_x0000_s1356" style="position:absolute;left:0;text-align:left;margin-left:464.35pt;margin-top:7.1pt;width:75.05pt;height:15.95pt;z-index:251662336" o:allowincell="f" filled="f" stroked="f" strokecolor="lime" strokeweight=".25pt">
            <v:textbox style="mso-next-textbox:#_x0000_s1356" inset="0,0,0,0">
              <w:txbxContent>
                <w:p w:rsidR="0096256E" w:rsidRDefault="00151314" w:rsidP="0096256E">
                  <w:pPr>
                    <w:spacing w:line="160" w:lineRule="exact"/>
                    <w:rPr>
                      <w:rFonts w:cs="Miriam" w:hint="cs"/>
                      <w:noProof/>
                      <w:sz w:val="18"/>
                      <w:szCs w:val="18"/>
                      <w:rtl/>
                    </w:rPr>
                  </w:pPr>
                  <w:r>
                    <w:rPr>
                      <w:rFonts w:cs="Miriam" w:hint="cs"/>
                      <w:sz w:val="18"/>
                      <w:szCs w:val="18"/>
                      <w:rtl/>
                    </w:rPr>
                    <w:t>חיוב בעבירה על פי העובדות שהוכחו</w:t>
                  </w:r>
                </w:p>
              </w:txbxContent>
            </v:textbox>
            <w10:anchorlock/>
          </v:rect>
        </w:pict>
      </w:r>
      <w:r>
        <w:rPr>
          <w:rStyle w:val="big-number"/>
          <w:rFonts w:cs="Miriam" w:hint="cs"/>
          <w:rtl/>
        </w:rPr>
        <w:t>2</w:t>
      </w:r>
      <w:r w:rsidR="00151314">
        <w:rPr>
          <w:rStyle w:val="big-number"/>
          <w:rFonts w:cs="Miriam" w:hint="cs"/>
          <w:rtl/>
        </w:rPr>
        <w:t>3</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ועדת הקנסות רשאית לחייב נאשם בדין בשל כל אחת מן העבירות שנתגלו מתוך העובדות שהוכחו בפניה, אך לא תטיל עליו אלא עונש אחד בשל אותו מעשה.</w:t>
      </w:r>
    </w:p>
    <w:p w:rsidR="0096256E" w:rsidRDefault="0096256E" w:rsidP="00151314">
      <w:pPr>
        <w:pStyle w:val="P00"/>
        <w:spacing w:before="72"/>
        <w:ind w:left="0" w:right="1134"/>
        <w:rPr>
          <w:rStyle w:val="default"/>
          <w:rFonts w:cs="FrankRuehl" w:hint="cs"/>
          <w:rtl/>
        </w:rPr>
      </w:pPr>
      <w:bookmarkStart w:id="25" w:name="Seif24"/>
      <w:bookmarkEnd w:id="25"/>
      <w:r>
        <w:rPr>
          <w:rFonts w:cs="Miriam"/>
          <w:lang w:val="he-IL"/>
        </w:rPr>
        <w:pict>
          <v:rect id="_x0000_s1357" style="position:absolute;left:0;text-align:left;margin-left:464.35pt;margin-top:7.1pt;width:75.05pt;height:15.95pt;z-index:251663360" o:allowincell="f" filled="f" stroked="f" strokecolor="lime" strokeweight=".25pt">
            <v:textbox style="mso-next-textbox:#_x0000_s1357" inset="0,0,0,0">
              <w:txbxContent>
                <w:p w:rsidR="0096256E" w:rsidRDefault="00151314" w:rsidP="0096256E">
                  <w:pPr>
                    <w:spacing w:line="160" w:lineRule="exact"/>
                    <w:rPr>
                      <w:rFonts w:cs="Miriam" w:hint="cs"/>
                      <w:noProof/>
                      <w:sz w:val="18"/>
                      <w:szCs w:val="18"/>
                      <w:rtl/>
                    </w:rPr>
                  </w:pPr>
                  <w:r>
                    <w:rPr>
                      <w:rFonts w:cs="Miriam" w:hint="cs"/>
                      <w:sz w:val="18"/>
                      <w:szCs w:val="18"/>
                      <w:rtl/>
                    </w:rPr>
                    <w:t>טענות וראיות לעניין שיעור הקנס</w:t>
                  </w:r>
                </w:p>
              </w:txbxContent>
            </v:textbox>
            <w10:anchorlock/>
          </v:rect>
        </w:pict>
      </w:r>
      <w:r>
        <w:rPr>
          <w:rStyle w:val="big-number"/>
          <w:rFonts w:cs="Miriam" w:hint="cs"/>
          <w:rtl/>
        </w:rPr>
        <w:t>2</w:t>
      </w:r>
      <w:r w:rsidR="00151314">
        <w:rPr>
          <w:rStyle w:val="big-number"/>
          <w:rFonts w:cs="Miriam" w:hint="cs"/>
          <w:rtl/>
        </w:rPr>
        <w:t>4</w:t>
      </w:r>
      <w:r>
        <w:rPr>
          <w:rStyle w:val="big-number"/>
          <w:rFonts w:cs="FrankRuehl"/>
          <w:sz w:val="26"/>
          <w:szCs w:val="26"/>
          <w:rtl/>
        </w:rPr>
        <w:t>.</w:t>
      </w:r>
      <w:r>
        <w:rPr>
          <w:rStyle w:val="big-number"/>
          <w:rFonts w:cs="FrankRuehl"/>
          <w:sz w:val="26"/>
          <w:szCs w:val="26"/>
          <w:rtl/>
        </w:rPr>
        <w:tab/>
      </w:r>
      <w:r w:rsidR="00151314">
        <w:rPr>
          <w:rStyle w:val="default"/>
          <w:rFonts w:cs="FrankRuehl" w:hint="cs"/>
          <w:rtl/>
        </w:rPr>
        <w:t>חייבה ועדת הקנסות את הנאשם בדין, רשאים התובע ואחריו הנאשם, לטעון את טענותיהם לעניין שיעור הקנס שיש להטיל על הנאשם; ועדת הקנסות רשאית להרשות לצדדים להביא ראיות לעניין זה.</w:t>
      </w:r>
    </w:p>
    <w:p w:rsidR="0096256E" w:rsidRDefault="0096256E" w:rsidP="00151314">
      <w:pPr>
        <w:pStyle w:val="P00"/>
        <w:spacing w:before="72"/>
        <w:ind w:left="0" w:right="1134"/>
        <w:rPr>
          <w:rStyle w:val="default"/>
          <w:rFonts w:cs="FrankRuehl" w:hint="cs"/>
          <w:rtl/>
        </w:rPr>
      </w:pPr>
      <w:bookmarkStart w:id="26" w:name="Seif25"/>
      <w:bookmarkEnd w:id="26"/>
      <w:r>
        <w:rPr>
          <w:rFonts w:cs="Miriam"/>
          <w:lang w:val="he-IL"/>
        </w:rPr>
        <w:pict>
          <v:rect id="_x0000_s1358" style="position:absolute;left:0;text-align:left;margin-left:464.35pt;margin-top:7.1pt;width:75.05pt;height:15.95pt;z-index:251664384" o:allowincell="f" filled="f" stroked="f" strokecolor="lime" strokeweight=".25pt">
            <v:textbox style="mso-next-textbox:#_x0000_s1358" inset="0,0,0,0">
              <w:txbxContent>
                <w:p w:rsidR="0096256E" w:rsidRDefault="00151314" w:rsidP="0096256E">
                  <w:pPr>
                    <w:spacing w:line="160" w:lineRule="exact"/>
                    <w:rPr>
                      <w:rFonts w:cs="Miriam" w:hint="cs"/>
                      <w:noProof/>
                      <w:sz w:val="18"/>
                      <w:szCs w:val="18"/>
                      <w:rtl/>
                    </w:rPr>
                  </w:pPr>
                  <w:r>
                    <w:rPr>
                      <w:rFonts w:cs="Miriam" w:hint="cs"/>
                      <w:sz w:val="18"/>
                      <w:szCs w:val="18"/>
                      <w:rtl/>
                    </w:rPr>
                    <w:t>גזר דין</w:t>
                  </w:r>
                </w:p>
              </w:txbxContent>
            </v:textbox>
            <w10:anchorlock/>
          </v:rect>
        </w:pict>
      </w:r>
      <w:r>
        <w:rPr>
          <w:rStyle w:val="big-number"/>
          <w:rFonts w:cs="Miriam" w:hint="cs"/>
          <w:rtl/>
        </w:rPr>
        <w:t>2</w:t>
      </w:r>
      <w:r w:rsidR="00151314">
        <w:rPr>
          <w:rStyle w:val="big-number"/>
          <w:rFonts w:cs="Miriam" w:hint="cs"/>
          <w:rtl/>
        </w:rPr>
        <w:t>5</w:t>
      </w:r>
      <w:r>
        <w:rPr>
          <w:rStyle w:val="big-number"/>
          <w:rFonts w:cs="FrankRuehl"/>
          <w:sz w:val="26"/>
          <w:szCs w:val="26"/>
          <w:rtl/>
        </w:rPr>
        <w:t>.</w:t>
      </w:r>
      <w:r>
        <w:rPr>
          <w:rStyle w:val="big-number"/>
          <w:rFonts w:cs="FrankRuehl"/>
          <w:sz w:val="26"/>
          <w:szCs w:val="26"/>
          <w:rtl/>
        </w:rPr>
        <w:tab/>
      </w:r>
      <w:r w:rsidR="00151314">
        <w:rPr>
          <w:rStyle w:val="default"/>
          <w:rFonts w:cs="FrankRuehl" w:hint="cs"/>
          <w:rtl/>
        </w:rPr>
        <w:t xml:space="preserve">לאחר שמיעת הטענות והראיות, אם היו כאלה, </w:t>
      </w:r>
      <w:r w:rsidR="00644ADC">
        <w:rPr>
          <w:rStyle w:val="default"/>
          <w:rFonts w:cs="FrankRuehl" w:hint="cs"/>
          <w:rtl/>
        </w:rPr>
        <w:t>תיתן ועדת הקנסות את גזר דינה ותקבע בו את הקנס המוטל על הנאשם.</w:t>
      </w:r>
    </w:p>
    <w:p w:rsidR="00644ADC" w:rsidRPr="00644ADC" w:rsidRDefault="00644ADC" w:rsidP="00644ADC">
      <w:pPr>
        <w:pStyle w:val="medium2-header"/>
        <w:keepLines w:val="0"/>
        <w:spacing w:before="72"/>
        <w:ind w:left="0" w:right="1134"/>
        <w:outlineLvl w:val="0"/>
        <w:rPr>
          <w:rFonts w:cs="FrankRuehl" w:hint="cs"/>
          <w:noProof/>
          <w:rtl/>
        </w:rPr>
      </w:pPr>
      <w:bookmarkStart w:id="27" w:name="med2"/>
      <w:bookmarkEnd w:id="27"/>
      <w:r w:rsidRPr="00644ADC">
        <w:rPr>
          <w:rFonts w:cs="FrankRuehl" w:hint="cs"/>
          <w:noProof/>
          <w:rtl/>
        </w:rPr>
        <w:t>פרק ג': הוראות שונות</w:t>
      </w:r>
    </w:p>
    <w:p w:rsidR="0096256E" w:rsidRDefault="0096256E" w:rsidP="00644ADC">
      <w:pPr>
        <w:pStyle w:val="P00"/>
        <w:spacing w:before="72"/>
        <w:ind w:left="0" w:right="1134"/>
        <w:rPr>
          <w:rStyle w:val="default"/>
          <w:rFonts w:cs="FrankRuehl" w:hint="cs"/>
          <w:rtl/>
        </w:rPr>
      </w:pPr>
      <w:bookmarkStart w:id="28" w:name="Seif26"/>
      <w:bookmarkEnd w:id="28"/>
      <w:r>
        <w:rPr>
          <w:rFonts w:cs="Miriam"/>
          <w:lang w:val="he-IL"/>
        </w:rPr>
        <w:pict>
          <v:rect id="_x0000_s1359" style="position:absolute;left:0;text-align:left;margin-left:464.35pt;margin-top:7.1pt;width:75.05pt;height:15.95pt;z-index:251665408" o:allowincell="f" filled="f" stroked="f" strokecolor="lime" strokeweight=".25pt">
            <v:textbox style="mso-next-textbox:#_x0000_s1359" inset="0,0,0,0">
              <w:txbxContent>
                <w:p w:rsidR="0096256E" w:rsidRDefault="00644ADC" w:rsidP="0096256E">
                  <w:pPr>
                    <w:spacing w:line="160" w:lineRule="exact"/>
                    <w:rPr>
                      <w:rFonts w:cs="Miriam" w:hint="cs"/>
                      <w:noProof/>
                      <w:sz w:val="18"/>
                      <w:szCs w:val="18"/>
                      <w:rtl/>
                    </w:rPr>
                  </w:pPr>
                  <w:r>
                    <w:rPr>
                      <w:rFonts w:cs="Miriam" w:hint="cs"/>
                      <w:sz w:val="18"/>
                      <w:szCs w:val="18"/>
                      <w:rtl/>
                    </w:rPr>
                    <w:t>החלטות ברוב דעות</w:t>
                  </w:r>
                </w:p>
              </w:txbxContent>
            </v:textbox>
            <w10:anchorlock/>
          </v:rect>
        </w:pict>
      </w:r>
      <w:r>
        <w:rPr>
          <w:rStyle w:val="big-number"/>
          <w:rFonts w:cs="Miriam" w:hint="cs"/>
          <w:rtl/>
        </w:rPr>
        <w:t>2</w:t>
      </w:r>
      <w:r w:rsidR="00644ADC">
        <w:rPr>
          <w:rStyle w:val="big-number"/>
          <w:rFonts w:cs="Miriam" w:hint="cs"/>
          <w:rtl/>
        </w:rPr>
        <w:t>6</w:t>
      </w:r>
      <w:r>
        <w:rPr>
          <w:rStyle w:val="big-number"/>
          <w:rFonts w:cs="FrankRuehl"/>
          <w:sz w:val="26"/>
          <w:szCs w:val="26"/>
          <w:rtl/>
        </w:rPr>
        <w:t>.</w:t>
      </w:r>
      <w:r>
        <w:rPr>
          <w:rStyle w:val="big-number"/>
          <w:rFonts w:cs="FrankRuehl"/>
          <w:sz w:val="26"/>
          <w:szCs w:val="26"/>
          <w:rtl/>
        </w:rPr>
        <w:tab/>
      </w:r>
      <w:r w:rsidR="00644ADC">
        <w:rPr>
          <w:rStyle w:val="default"/>
          <w:rFonts w:cs="FrankRuehl" w:hint="cs"/>
          <w:rtl/>
        </w:rPr>
        <w:t>נחלקו דעות חברי ועדת הקנסות, תכריע דעת הרוב; אין רוב לדעה אחת תכריע הדעה אשר היא, לדעת יושב ראש הוועדה, מקילה עם הנאשם; ואולם אם לא היה רוב דעות לגבי שיעור הקנס, רואים חבר הוועדה שהציע את שיעור הקנס הגבוה ביותר כאילו הצטרף לדעתו של חבר הוועדה שהציע את ההצעה הקרובה ביותר להצעתו.</w:t>
      </w:r>
    </w:p>
    <w:p w:rsidR="0096256E" w:rsidRDefault="0096256E" w:rsidP="00BC09D6">
      <w:pPr>
        <w:pStyle w:val="P00"/>
        <w:spacing w:before="72"/>
        <w:ind w:left="0" w:right="1134"/>
        <w:rPr>
          <w:rStyle w:val="default"/>
          <w:rFonts w:cs="FrankRuehl" w:hint="cs"/>
          <w:rtl/>
        </w:rPr>
      </w:pPr>
      <w:bookmarkStart w:id="29" w:name="Seif27"/>
      <w:bookmarkEnd w:id="29"/>
      <w:r>
        <w:rPr>
          <w:rFonts w:cs="Miriam"/>
          <w:lang w:val="he-IL"/>
        </w:rPr>
        <w:pict>
          <v:rect id="_x0000_s1360" style="position:absolute;left:0;text-align:left;margin-left:464.35pt;margin-top:7.1pt;width:75.05pt;height:15.95pt;z-index:251666432" o:allowincell="f" filled="f" stroked="f" strokecolor="lime" strokeweight=".25pt">
            <v:textbox style="mso-next-textbox:#_x0000_s1360" inset="0,0,0,0">
              <w:txbxContent>
                <w:p w:rsidR="0096256E" w:rsidRDefault="00BC09D6" w:rsidP="0096256E">
                  <w:pPr>
                    <w:spacing w:line="160" w:lineRule="exact"/>
                    <w:rPr>
                      <w:rFonts w:cs="Miriam" w:hint="cs"/>
                      <w:noProof/>
                      <w:sz w:val="18"/>
                      <w:szCs w:val="18"/>
                      <w:rtl/>
                    </w:rPr>
                  </w:pPr>
                  <w:r>
                    <w:rPr>
                      <w:rFonts w:cs="Miriam" w:hint="cs"/>
                      <w:sz w:val="18"/>
                      <w:szCs w:val="18"/>
                      <w:rtl/>
                    </w:rPr>
                    <w:t>דעת מיעוט</w:t>
                  </w:r>
                </w:p>
              </w:txbxContent>
            </v:textbox>
            <w10:anchorlock/>
          </v:rect>
        </w:pict>
      </w:r>
      <w:r>
        <w:rPr>
          <w:rStyle w:val="big-number"/>
          <w:rFonts w:cs="Miriam" w:hint="cs"/>
          <w:rtl/>
        </w:rPr>
        <w:t>2</w:t>
      </w:r>
      <w:r w:rsidR="00644ADC">
        <w:rPr>
          <w:rStyle w:val="big-number"/>
          <w:rFonts w:cs="Miriam" w:hint="cs"/>
          <w:rtl/>
        </w:rPr>
        <w:t>7</w:t>
      </w:r>
      <w:r>
        <w:rPr>
          <w:rStyle w:val="big-number"/>
          <w:rFonts w:cs="FrankRuehl"/>
          <w:sz w:val="26"/>
          <w:szCs w:val="26"/>
          <w:rtl/>
        </w:rPr>
        <w:t>.</w:t>
      </w:r>
      <w:r>
        <w:rPr>
          <w:rStyle w:val="big-number"/>
          <w:rFonts w:cs="FrankRuehl"/>
          <w:sz w:val="26"/>
          <w:szCs w:val="26"/>
          <w:rtl/>
        </w:rPr>
        <w:tab/>
      </w:r>
      <w:r w:rsidR="00BC09D6">
        <w:rPr>
          <w:rStyle w:val="default"/>
          <w:rFonts w:cs="FrankRuehl" w:hint="cs"/>
          <w:rtl/>
        </w:rPr>
        <w:t>כל חברי הוועדה יחתמו על החלטתה שתינתן בכתב; ואולם רשאי בעל דעת מיעוט להוסיף בהחלטה את דעתו החולקת ונימוקיו.</w:t>
      </w:r>
    </w:p>
    <w:p w:rsidR="0096256E" w:rsidRDefault="0096256E" w:rsidP="00BC09D6">
      <w:pPr>
        <w:pStyle w:val="P00"/>
        <w:spacing w:before="72"/>
        <w:ind w:left="0" w:right="1134"/>
        <w:rPr>
          <w:rStyle w:val="default"/>
          <w:rFonts w:cs="FrankRuehl" w:hint="cs"/>
          <w:rtl/>
        </w:rPr>
      </w:pPr>
      <w:bookmarkStart w:id="30" w:name="Seif28"/>
      <w:bookmarkEnd w:id="30"/>
      <w:r>
        <w:rPr>
          <w:rFonts w:cs="Miriam"/>
          <w:lang w:val="he-IL"/>
        </w:rPr>
        <w:pict>
          <v:rect id="_x0000_s1361" style="position:absolute;left:0;text-align:left;margin-left:464.35pt;margin-top:7.1pt;width:75.05pt;height:15.95pt;z-index:251667456" o:allowincell="f" filled="f" stroked="f" strokecolor="lime" strokeweight=".25pt">
            <v:textbox style="mso-next-textbox:#_x0000_s1361" inset="0,0,0,0">
              <w:txbxContent>
                <w:p w:rsidR="0096256E" w:rsidRDefault="00BC09D6" w:rsidP="0096256E">
                  <w:pPr>
                    <w:spacing w:line="160" w:lineRule="exact"/>
                    <w:rPr>
                      <w:rFonts w:cs="Miriam" w:hint="cs"/>
                      <w:noProof/>
                      <w:sz w:val="18"/>
                      <w:szCs w:val="18"/>
                      <w:rtl/>
                    </w:rPr>
                  </w:pPr>
                  <w:r>
                    <w:rPr>
                      <w:rFonts w:cs="Miriam" w:hint="cs"/>
                      <w:sz w:val="18"/>
                      <w:szCs w:val="18"/>
                      <w:rtl/>
                    </w:rPr>
                    <w:t>שינוי בהרכב הוועדה</w:t>
                  </w:r>
                </w:p>
              </w:txbxContent>
            </v:textbox>
            <w10:anchorlock/>
          </v:rect>
        </w:pict>
      </w:r>
      <w:r>
        <w:rPr>
          <w:rStyle w:val="big-number"/>
          <w:rFonts w:cs="Miriam" w:hint="cs"/>
          <w:rtl/>
        </w:rPr>
        <w:t>2</w:t>
      </w:r>
      <w:r w:rsidR="00BC09D6">
        <w:rPr>
          <w:rStyle w:val="big-number"/>
          <w:rFonts w:cs="Miriam" w:hint="cs"/>
          <w:rtl/>
        </w:rPr>
        <w:t>8</w:t>
      </w:r>
      <w:r>
        <w:rPr>
          <w:rStyle w:val="big-number"/>
          <w:rFonts w:cs="FrankRuehl"/>
          <w:sz w:val="26"/>
          <w:szCs w:val="26"/>
          <w:rtl/>
        </w:rPr>
        <w:t>.</w:t>
      </w:r>
      <w:r>
        <w:rPr>
          <w:rStyle w:val="big-number"/>
          <w:rFonts w:cs="FrankRuehl"/>
          <w:sz w:val="26"/>
          <w:szCs w:val="26"/>
          <w:rtl/>
        </w:rPr>
        <w:tab/>
      </w:r>
      <w:r w:rsidR="00BC09D6">
        <w:rPr>
          <w:rStyle w:val="default"/>
          <w:rFonts w:cs="FrankRuehl" w:hint="cs"/>
          <w:rtl/>
        </w:rPr>
        <w:t>נבצר מאחד מחברי ועדת הקנסות לסיים את הדיון, ייקבע חבר אחר במקומו והוועדה בהרכבה החדש תמשיך בדיון מהשלב שאליו הגיעה לפני שינוי ההרכב.</w:t>
      </w:r>
    </w:p>
    <w:p w:rsidR="0096256E" w:rsidRDefault="0096256E" w:rsidP="001F7259">
      <w:pPr>
        <w:pStyle w:val="P00"/>
        <w:spacing w:before="72"/>
        <w:ind w:left="0" w:right="1134"/>
        <w:rPr>
          <w:rStyle w:val="default"/>
          <w:rFonts w:cs="FrankRuehl" w:hint="cs"/>
          <w:rtl/>
        </w:rPr>
      </w:pPr>
      <w:bookmarkStart w:id="31" w:name="Seif29"/>
      <w:bookmarkEnd w:id="31"/>
      <w:r>
        <w:rPr>
          <w:rFonts w:cs="Miriam"/>
          <w:lang w:val="he-IL"/>
        </w:rPr>
        <w:pict>
          <v:rect id="_x0000_s1362" style="position:absolute;left:0;text-align:left;margin-left:464.35pt;margin-top:7.1pt;width:75.05pt;height:15.95pt;z-index:251668480" o:allowincell="f" filled="f" stroked="f" strokecolor="lime" strokeweight=".25pt">
            <v:textbox style="mso-next-textbox:#_x0000_s1362" inset="0,0,0,0">
              <w:txbxContent>
                <w:p w:rsidR="0096256E" w:rsidRDefault="001F7259" w:rsidP="0096256E">
                  <w:pPr>
                    <w:spacing w:line="160" w:lineRule="exact"/>
                    <w:rPr>
                      <w:rFonts w:cs="Miriam" w:hint="cs"/>
                      <w:noProof/>
                      <w:sz w:val="18"/>
                      <w:szCs w:val="18"/>
                      <w:rtl/>
                    </w:rPr>
                  </w:pPr>
                  <w:r>
                    <w:rPr>
                      <w:rFonts w:cs="Miriam" w:hint="cs"/>
                      <w:sz w:val="18"/>
                      <w:szCs w:val="18"/>
                      <w:rtl/>
                    </w:rPr>
                    <w:t>המצאת מסמכים</w:t>
                  </w:r>
                </w:p>
              </w:txbxContent>
            </v:textbox>
            <w10:anchorlock/>
          </v:rect>
        </w:pict>
      </w:r>
      <w:r>
        <w:rPr>
          <w:rStyle w:val="big-number"/>
          <w:rFonts w:cs="Miriam" w:hint="cs"/>
          <w:rtl/>
        </w:rPr>
        <w:t>2</w:t>
      </w:r>
      <w:r w:rsidR="00BC09D6">
        <w:rPr>
          <w:rStyle w:val="big-number"/>
          <w:rFonts w:cs="Miriam" w:hint="cs"/>
          <w:rtl/>
        </w:rPr>
        <w:t>9</w:t>
      </w:r>
      <w:r>
        <w:rPr>
          <w:rStyle w:val="big-number"/>
          <w:rFonts w:cs="FrankRuehl"/>
          <w:sz w:val="26"/>
          <w:szCs w:val="26"/>
          <w:rtl/>
        </w:rPr>
        <w:t>.</w:t>
      </w:r>
      <w:r>
        <w:rPr>
          <w:rStyle w:val="big-number"/>
          <w:rFonts w:cs="FrankRuehl"/>
          <w:sz w:val="26"/>
          <w:szCs w:val="26"/>
          <w:rtl/>
        </w:rPr>
        <w:tab/>
      </w:r>
      <w:r w:rsidR="001F7259">
        <w:rPr>
          <w:rStyle w:val="default"/>
          <w:rFonts w:cs="FrankRuehl" w:hint="cs"/>
          <w:rtl/>
        </w:rPr>
        <w:t>(א)</w:t>
      </w:r>
      <w:r w:rsidR="001F7259">
        <w:rPr>
          <w:rStyle w:val="default"/>
          <w:rFonts w:cs="FrankRuehl" w:hint="cs"/>
          <w:rtl/>
        </w:rPr>
        <w:tab/>
        <w:t>כל מסמך שיש להמציא לאדם לפי תקנות אלה, המצאתו תהיה במסירה לידיו או במשלוח מכתב בדואר רשום לפי מען מגוריו או עסקיו העיקרי של הנמען, עם אישור מסירה.</w:t>
      </w:r>
    </w:p>
    <w:p w:rsidR="001F7259" w:rsidRDefault="001F7259" w:rsidP="001F72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קבלת המכתב בחתימת הנמען על טופס הדואר או אישור הדוור שהוא הציג את המכתב לנמען והלה סירב לקבלו או לאשר את הקבלה, ייחשב ראיה שהמסמך הומצא כדין בתאריך המסומן באישור.</w:t>
      </w:r>
    </w:p>
    <w:p w:rsidR="0096256E" w:rsidRDefault="0096256E" w:rsidP="001F7259">
      <w:pPr>
        <w:pStyle w:val="P00"/>
        <w:spacing w:before="72"/>
        <w:ind w:left="0" w:right="1134"/>
        <w:rPr>
          <w:rStyle w:val="default"/>
          <w:rFonts w:cs="FrankRuehl" w:hint="cs"/>
          <w:rtl/>
        </w:rPr>
      </w:pPr>
      <w:bookmarkStart w:id="32" w:name="Seif30"/>
      <w:bookmarkEnd w:id="32"/>
      <w:r>
        <w:rPr>
          <w:rFonts w:cs="Miriam"/>
          <w:lang w:val="he-IL"/>
        </w:rPr>
        <w:pict>
          <v:rect id="_x0000_s1363" style="position:absolute;left:0;text-align:left;margin-left:464.35pt;margin-top:7.1pt;width:75.05pt;height:15.95pt;z-index:251669504" o:allowincell="f" filled="f" stroked="f" strokecolor="lime" strokeweight=".25pt">
            <v:textbox style="mso-next-textbox:#_x0000_s1363" inset="0,0,0,0">
              <w:txbxContent>
                <w:p w:rsidR="0096256E" w:rsidRDefault="001F7259" w:rsidP="0096256E">
                  <w:pPr>
                    <w:spacing w:line="160" w:lineRule="exact"/>
                    <w:rPr>
                      <w:rFonts w:cs="Miriam" w:hint="cs"/>
                      <w:noProof/>
                      <w:sz w:val="18"/>
                      <w:szCs w:val="18"/>
                      <w:rtl/>
                    </w:rPr>
                  </w:pPr>
                  <w:r>
                    <w:rPr>
                      <w:rFonts w:cs="Miriam" w:hint="cs"/>
                      <w:sz w:val="18"/>
                      <w:szCs w:val="18"/>
                      <w:rtl/>
                    </w:rPr>
                    <w:t>דחיית הדיון והזמנה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1F7259">
        <w:rPr>
          <w:rStyle w:val="default"/>
          <w:rFonts w:cs="FrankRuehl" w:hint="cs"/>
          <w:rtl/>
        </w:rPr>
        <w:t>(א)</w:t>
      </w:r>
      <w:r w:rsidR="001F7259">
        <w:rPr>
          <w:rStyle w:val="default"/>
          <w:rFonts w:cs="FrankRuehl" w:hint="cs"/>
          <w:rtl/>
        </w:rPr>
        <w:tab/>
        <w:t>ועדת הקנסות רשאית לדחות את הדיון או המשך הדיון למועד אחר, אם הדחייה דרושה, לדעתה, למען הצדק.</w:t>
      </w:r>
    </w:p>
    <w:p w:rsidR="001F7259" w:rsidRDefault="001F7259" w:rsidP="001F72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הוועדה יודיע בכתב לכל בעל דין על כל מועד שנקבע לדיון אם לא הודיע על כך בעל פה בשעת דיון ולא רשם את ההודעה בפרוטוקול.</w:t>
      </w:r>
    </w:p>
    <w:p w:rsidR="001F7259" w:rsidRDefault="001F7259" w:rsidP="001F72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הזמנה לדיון תומצא לבעל הדין שבעה ימים לפחות לפני מועד הדיון זולת אם הסכימו בעלי הדין לזמן קצר מזה.</w:t>
      </w:r>
    </w:p>
    <w:p w:rsidR="0096256E" w:rsidRDefault="0096256E" w:rsidP="001F7259">
      <w:pPr>
        <w:pStyle w:val="P00"/>
        <w:spacing w:before="72"/>
        <w:ind w:left="0" w:right="1134"/>
        <w:rPr>
          <w:rStyle w:val="default"/>
          <w:rFonts w:cs="FrankRuehl" w:hint="cs"/>
          <w:rtl/>
        </w:rPr>
      </w:pPr>
      <w:bookmarkStart w:id="33" w:name="Seif31"/>
      <w:bookmarkEnd w:id="33"/>
      <w:r>
        <w:rPr>
          <w:rFonts w:cs="Miriam"/>
          <w:lang w:val="he-IL"/>
        </w:rPr>
        <w:pict>
          <v:rect id="_x0000_s1364" style="position:absolute;left:0;text-align:left;margin-left:464.35pt;margin-top:7.1pt;width:75.05pt;height:24.65pt;z-index:251670528" o:allowincell="f" filled="f" stroked="f" strokecolor="lime" strokeweight=".25pt">
            <v:textbox style="mso-next-textbox:#_x0000_s1364" inset="0,0,0,0">
              <w:txbxContent>
                <w:p w:rsidR="0096256E" w:rsidRDefault="001F7259" w:rsidP="0096256E">
                  <w:pPr>
                    <w:spacing w:line="160" w:lineRule="exact"/>
                    <w:rPr>
                      <w:rFonts w:cs="Miriam" w:hint="cs"/>
                      <w:noProof/>
                      <w:sz w:val="18"/>
                      <w:szCs w:val="18"/>
                      <w:rtl/>
                    </w:rPr>
                  </w:pPr>
                  <w:r>
                    <w:rPr>
                      <w:rFonts w:cs="Miriam" w:hint="cs"/>
                      <w:sz w:val="18"/>
                      <w:szCs w:val="18"/>
                      <w:rtl/>
                    </w:rPr>
                    <w:t xml:space="preserve">ליקויים או </w:t>
                  </w:r>
                  <w:r>
                    <w:rPr>
                      <w:rFonts w:cs="Miriam"/>
                      <w:sz w:val="18"/>
                      <w:szCs w:val="18"/>
                      <w:rtl/>
                    </w:rPr>
                    <w:br/>
                  </w:r>
                  <w:r>
                    <w:rPr>
                      <w:rFonts w:cs="Miriam" w:hint="cs"/>
                      <w:sz w:val="18"/>
                      <w:szCs w:val="18"/>
                      <w:rtl/>
                    </w:rPr>
                    <w:t>אי-התאמות בין מסמכים</w:t>
                  </w:r>
                </w:p>
              </w:txbxContent>
            </v:textbox>
            <w10:anchorlock/>
          </v:rect>
        </w:pict>
      </w:r>
      <w:r>
        <w:rPr>
          <w:rStyle w:val="big-number"/>
          <w:rFonts w:cs="Miriam" w:hint="cs"/>
          <w:rtl/>
        </w:rPr>
        <w:t>3</w:t>
      </w:r>
      <w:r w:rsidR="001F7259">
        <w:rPr>
          <w:rStyle w:val="big-number"/>
          <w:rFonts w:cs="Miriam" w:hint="cs"/>
          <w:rtl/>
        </w:rPr>
        <w:t>1</w:t>
      </w:r>
      <w:r>
        <w:rPr>
          <w:rStyle w:val="big-number"/>
          <w:rFonts w:cs="FrankRuehl"/>
          <w:sz w:val="26"/>
          <w:szCs w:val="26"/>
          <w:rtl/>
        </w:rPr>
        <w:t>.</w:t>
      </w:r>
      <w:r>
        <w:rPr>
          <w:rStyle w:val="big-number"/>
          <w:rFonts w:cs="FrankRuehl"/>
          <w:sz w:val="26"/>
          <w:szCs w:val="26"/>
          <w:rtl/>
        </w:rPr>
        <w:tab/>
      </w:r>
      <w:r w:rsidR="001F7259">
        <w:rPr>
          <w:rStyle w:val="default"/>
          <w:rFonts w:cs="FrankRuehl" w:hint="cs"/>
          <w:rtl/>
        </w:rPr>
        <w:t>ליקוי באחד המסמכים המשפטיים או אי-התאמה בין מסמך למסמך, אין בהם כדי לפגוע בתוקפם של ההליכים על פיהם; ואולם אם נראה לוועדת הקנסות כי יש בדבר חשש לעיוות דינו של הנאשם, תדחה את הדיון למועד אחר או תורה הוראה אחרת כדי להסיר את החשש.</w:t>
      </w:r>
    </w:p>
    <w:p w:rsidR="0096256E" w:rsidRDefault="0096256E" w:rsidP="001F7259">
      <w:pPr>
        <w:pStyle w:val="P00"/>
        <w:spacing w:before="72"/>
        <w:ind w:left="0" w:right="1134"/>
        <w:rPr>
          <w:rStyle w:val="default"/>
          <w:rFonts w:cs="FrankRuehl" w:hint="cs"/>
          <w:rtl/>
        </w:rPr>
      </w:pPr>
      <w:bookmarkStart w:id="34" w:name="Seif32"/>
      <w:bookmarkEnd w:id="34"/>
      <w:r>
        <w:rPr>
          <w:rFonts w:cs="Miriam"/>
          <w:lang w:val="he-IL"/>
        </w:rPr>
        <w:pict>
          <v:rect id="_x0000_s1365" style="position:absolute;left:0;text-align:left;margin-left:464.35pt;margin-top:7.1pt;width:75.05pt;height:15.95pt;z-index:251671552" o:allowincell="f" filled="f" stroked="f" strokecolor="lime" strokeweight=".25pt">
            <v:textbox style="mso-next-textbox:#_x0000_s1365" inset="0,0,0,0">
              <w:txbxContent>
                <w:p w:rsidR="0096256E" w:rsidRDefault="001F7259" w:rsidP="0096256E">
                  <w:pPr>
                    <w:spacing w:line="160" w:lineRule="exact"/>
                    <w:rPr>
                      <w:rFonts w:cs="Miriam" w:hint="cs"/>
                      <w:noProof/>
                      <w:sz w:val="18"/>
                      <w:szCs w:val="18"/>
                      <w:rtl/>
                    </w:rPr>
                  </w:pPr>
                  <w:r>
                    <w:rPr>
                      <w:rFonts w:cs="Miriam" w:hint="cs"/>
                      <w:sz w:val="18"/>
                      <w:szCs w:val="18"/>
                      <w:rtl/>
                    </w:rPr>
                    <w:t>פרוטוקול</w:t>
                  </w:r>
                </w:p>
              </w:txbxContent>
            </v:textbox>
            <w10:anchorlock/>
          </v:rect>
        </w:pict>
      </w:r>
      <w:r>
        <w:rPr>
          <w:rStyle w:val="big-number"/>
          <w:rFonts w:cs="Miriam" w:hint="cs"/>
          <w:rtl/>
        </w:rPr>
        <w:t>3</w:t>
      </w:r>
      <w:r w:rsidR="001F7259">
        <w:rPr>
          <w:rStyle w:val="big-number"/>
          <w:rFonts w:cs="Miriam" w:hint="cs"/>
          <w:rtl/>
        </w:rPr>
        <w:t>2</w:t>
      </w:r>
      <w:r>
        <w:rPr>
          <w:rStyle w:val="big-number"/>
          <w:rFonts w:cs="FrankRuehl"/>
          <w:sz w:val="26"/>
          <w:szCs w:val="26"/>
          <w:rtl/>
        </w:rPr>
        <w:t>.</w:t>
      </w:r>
      <w:r>
        <w:rPr>
          <w:rStyle w:val="big-number"/>
          <w:rFonts w:cs="FrankRuehl"/>
          <w:sz w:val="26"/>
          <w:szCs w:val="26"/>
          <w:rtl/>
        </w:rPr>
        <w:tab/>
      </w:r>
      <w:r w:rsidR="001F7259">
        <w:rPr>
          <w:rStyle w:val="default"/>
          <w:rFonts w:cs="FrankRuehl" w:hint="cs"/>
          <w:rtl/>
        </w:rPr>
        <w:t>(א)</w:t>
      </w:r>
      <w:r w:rsidR="001F7259">
        <w:rPr>
          <w:rStyle w:val="default"/>
          <w:rFonts w:cs="FrankRuehl" w:hint="cs"/>
          <w:rtl/>
        </w:rPr>
        <w:tab/>
        <w:t>פרוטוקול של מהלך הדיון בפני ועדת הקנסות ינוהל בידי יושב ראש הוועדה או על פי הוראותיו; הפרוטוקול ייחתם ביד היושב ראש ויכלול פרטים אלה:</w:t>
      </w:r>
    </w:p>
    <w:p w:rsidR="001F7259" w:rsidRDefault="001F7259" w:rsidP="000E4B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E4B71">
        <w:rPr>
          <w:rStyle w:val="default"/>
          <w:rFonts w:cs="FrankRuehl" w:hint="cs"/>
          <w:rtl/>
        </w:rPr>
        <w:t>מספר התיק;</w:t>
      </w:r>
    </w:p>
    <w:p w:rsidR="000E4B71" w:rsidRDefault="000E4B71" w:rsidP="000E4B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מקום ותאריך הישיבה;</w:t>
      </w:r>
    </w:p>
    <w:p w:rsidR="000E4B71" w:rsidRDefault="000E4B71" w:rsidP="000E4B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שמות חברי ועדת הקנסות, ואם הפרוטוקול מתנהל על פי הוראות היושב ראש בידי אחר </w:t>
      </w:r>
      <w:r>
        <w:rPr>
          <w:rStyle w:val="default"/>
          <w:rFonts w:cs="FrankRuehl"/>
          <w:rtl/>
        </w:rPr>
        <w:t>–</w:t>
      </w:r>
      <w:r>
        <w:rPr>
          <w:rStyle w:val="default"/>
          <w:rFonts w:cs="FrankRuehl" w:hint="cs"/>
          <w:rtl/>
        </w:rPr>
        <w:t xml:space="preserve"> גם שמו של רושם הפרוטוקול;</w:t>
      </w:r>
    </w:p>
    <w:p w:rsidR="000E4B71" w:rsidRDefault="000E4B71" w:rsidP="000E4B7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שמות בעלי הדין;</w:t>
      </w:r>
    </w:p>
    <w:p w:rsidR="000E4B71" w:rsidRDefault="000E4B71" w:rsidP="000E4B7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שמות המתייצבים;</w:t>
      </w:r>
    </w:p>
    <w:p w:rsidR="000E4B71" w:rsidRDefault="000E4B71" w:rsidP="000E4B7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שמותיהם של בעלי הדין או באי כוחם שהוזמנו ולא התייצבו;</w:t>
      </w:r>
    </w:p>
    <w:p w:rsidR="000E4B71" w:rsidRDefault="000E4B71" w:rsidP="000E4B7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בקשות, טענות, הוראות והודעות אחרות החשובות לעניין;</w:t>
      </w:r>
    </w:p>
    <w:p w:rsidR="000E4B71" w:rsidRDefault="000E4B71" w:rsidP="000E4B7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שמות העדים שנחקרו ותוכן עדותם או תמציתה;</w:t>
      </w:r>
    </w:p>
    <w:p w:rsidR="000E4B71" w:rsidRDefault="000E4B71" w:rsidP="000E4B7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ראיות אחרות שנגבו;</w:t>
      </w:r>
    </w:p>
    <w:p w:rsidR="000E4B71" w:rsidRDefault="000E4B71" w:rsidP="000E4B7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החלטות ביניים;</w:t>
      </w:r>
    </w:p>
    <w:p w:rsidR="000E4B71" w:rsidRDefault="000E4B71" w:rsidP="000E4B7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המועד להמשך הדיון וציון בעלי הדין או נציגיהם שהיו נוכחים בשעת קביעת המועד.</w:t>
      </w:r>
    </w:p>
    <w:p w:rsidR="000E4B71" w:rsidRDefault="000E4B71" w:rsidP="001F72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כתב האישום, מסמכים שהוגשו ונתקבלו על ידי ועדת הקנסות וכל תעודה הנוגעת לאותו דיון יצורפו לפרוטוקול ויהוו חלק ממנו.</w:t>
      </w:r>
    </w:p>
    <w:p w:rsidR="0096256E" w:rsidRDefault="0096256E" w:rsidP="000E4B71">
      <w:pPr>
        <w:pStyle w:val="P00"/>
        <w:spacing w:before="72"/>
        <w:ind w:left="0" w:right="1134"/>
        <w:rPr>
          <w:rStyle w:val="default"/>
          <w:rFonts w:cs="FrankRuehl" w:hint="cs"/>
          <w:rtl/>
        </w:rPr>
      </w:pPr>
      <w:bookmarkStart w:id="35" w:name="Seif33"/>
      <w:bookmarkEnd w:id="35"/>
      <w:r>
        <w:rPr>
          <w:rFonts w:cs="Miriam"/>
          <w:lang w:val="he-IL"/>
        </w:rPr>
        <w:pict>
          <v:rect id="_x0000_s1366" style="position:absolute;left:0;text-align:left;margin-left:464.35pt;margin-top:7.1pt;width:75.05pt;height:15.95pt;z-index:251672576" o:allowincell="f" filled="f" stroked="f" strokecolor="lime" strokeweight=".25pt">
            <v:textbox style="mso-next-textbox:#_x0000_s1366" inset="0,0,0,0">
              <w:txbxContent>
                <w:p w:rsidR="0096256E" w:rsidRDefault="000E4B71" w:rsidP="0096256E">
                  <w:pPr>
                    <w:spacing w:line="160" w:lineRule="exact"/>
                    <w:rPr>
                      <w:rFonts w:cs="Miriam" w:hint="cs"/>
                      <w:noProof/>
                      <w:sz w:val="18"/>
                      <w:szCs w:val="18"/>
                      <w:rtl/>
                    </w:rPr>
                  </w:pPr>
                  <w:r>
                    <w:rPr>
                      <w:rFonts w:cs="Miriam" w:hint="cs"/>
                      <w:sz w:val="18"/>
                      <w:szCs w:val="18"/>
                      <w:rtl/>
                    </w:rPr>
                    <w:t>צורת ההחלטות</w:t>
                  </w:r>
                </w:p>
              </w:txbxContent>
            </v:textbox>
            <w10:anchorlock/>
          </v:rect>
        </w:pict>
      </w:r>
      <w:r>
        <w:rPr>
          <w:rStyle w:val="big-number"/>
          <w:rFonts w:cs="Miriam" w:hint="cs"/>
          <w:rtl/>
        </w:rPr>
        <w:t>3</w:t>
      </w:r>
      <w:r w:rsidR="000E4B71">
        <w:rPr>
          <w:rStyle w:val="big-number"/>
          <w:rFonts w:cs="Miriam" w:hint="cs"/>
          <w:rtl/>
        </w:rPr>
        <w:t>3</w:t>
      </w:r>
      <w:r>
        <w:rPr>
          <w:rStyle w:val="big-number"/>
          <w:rFonts w:cs="FrankRuehl"/>
          <w:sz w:val="26"/>
          <w:szCs w:val="26"/>
          <w:rtl/>
        </w:rPr>
        <w:t>.</w:t>
      </w:r>
      <w:r>
        <w:rPr>
          <w:rStyle w:val="big-number"/>
          <w:rFonts w:cs="FrankRuehl"/>
          <w:sz w:val="26"/>
          <w:szCs w:val="26"/>
          <w:rtl/>
        </w:rPr>
        <w:tab/>
      </w:r>
      <w:r w:rsidR="000E4B71">
        <w:rPr>
          <w:rStyle w:val="default"/>
          <w:rFonts w:cs="FrankRuehl" w:hint="cs"/>
          <w:rtl/>
        </w:rPr>
        <w:t>(א)</w:t>
      </w:r>
      <w:r w:rsidR="000E4B71">
        <w:rPr>
          <w:rStyle w:val="default"/>
          <w:rFonts w:cs="FrankRuehl" w:hint="cs"/>
          <w:rtl/>
        </w:rPr>
        <w:tab/>
        <w:t>החלטת ועדת הקנסות בגמר הדיון תיחתם בידי כל חברי הוועדה והיא תכלול פרטים אלה:</w:t>
      </w:r>
    </w:p>
    <w:p w:rsidR="000E4B71" w:rsidRDefault="000E4B71" w:rsidP="000E4B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התיק;</w:t>
      </w:r>
    </w:p>
    <w:p w:rsidR="000E4B71" w:rsidRDefault="000E4B71" w:rsidP="000E4B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מען הוועדה;</w:t>
      </w:r>
    </w:p>
    <w:p w:rsidR="000E4B71" w:rsidRDefault="000E4B71" w:rsidP="000E4B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שמות חברי הוועדה;</w:t>
      </w:r>
    </w:p>
    <w:p w:rsidR="000E4B71" w:rsidRDefault="000E4B71" w:rsidP="000E4B7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שמות בעלי הדין ושמות באי כוחם ומענם;</w:t>
      </w:r>
    </w:p>
    <w:p w:rsidR="000E4B71" w:rsidRDefault="000E4B71" w:rsidP="000E4B7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העובדות שהעלו התביעה וההגנה;</w:t>
      </w:r>
    </w:p>
    <w:p w:rsidR="000E4B71" w:rsidRDefault="000E4B71" w:rsidP="000E4B7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הכרעת הדין ונימוקיה;</w:t>
      </w:r>
    </w:p>
    <w:p w:rsidR="000E4B71" w:rsidRDefault="000E4B71" w:rsidP="000E4B7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גזר הדין;</w:t>
      </w:r>
    </w:p>
    <w:p w:rsidR="000E4B71" w:rsidRDefault="000E4B71" w:rsidP="000E4B7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תאריך החלטה.</w:t>
      </w:r>
    </w:p>
    <w:p w:rsidR="000E4B71" w:rsidRDefault="000E4B71" w:rsidP="000E4B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 ההחלטה לפי תקנה זו יימסר לבעלי הדין סמוך ככל האפשר לאחר נתינתה.</w:t>
      </w:r>
    </w:p>
    <w:p w:rsidR="0096256E" w:rsidRDefault="0096256E" w:rsidP="000E4B71">
      <w:pPr>
        <w:pStyle w:val="P00"/>
        <w:spacing w:before="72"/>
        <w:ind w:left="0" w:right="1134"/>
        <w:rPr>
          <w:rStyle w:val="default"/>
          <w:rFonts w:cs="FrankRuehl" w:hint="cs"/>
          <w:rtl/>
        </w:rPr>
      </w:pPr>
      <w:bookmarkStart w:id="36" w:name="Seif34"/>
      <w:bookmarkEnd w:id="36"/>
      <w:r>
        <w:rPr>
          <w:rFonts w:cs="Miriam"/>
          <w:lang w:val="he-IL"/>
        </w:rPr>
        <w:pict>
          <v:rect id="_x0000_s1367" style="position:absolute;left:0;text-align:left;margin-left:464.35pt;margin-top:7.1pt;width:75.05pt;height:15.95pt;z-index:251673600" o:allowincell="f" filled="f" stroked="f" strokecolor="lime" strokeweight=".25pt">
            <v:textbox style="mso-next-textbox:#_x0000_s1367" inset="0,0,0,0">
              <w:txbxContent>
                <w:p w:rsidR="0096256E" w:rsidRDefault="000E4B71" w:rsidP="0096256E">
                  <w:pPr>
                    <w:spacing w:line="160" w:lineRule="exact"/>
                    <w:rPr>
                      <w:rFonts w:cs="Miriam" w:hint="cs"/>
                      <w:noProof/>
                      <w:sz w:val="18"/>
                      <w:szCs w:val="18"/>
                      <w:rtl/>
                    </w:rPr>
                  </w:pPr>
                  <w:r>
                    <w:rPr>
                      <w:rFonts w:cs="Miriam" w:hint="cs"/>
                      <w:sz w:val="18"/>
                      <w:szCs w:val="18"/>
                      <w:rtl/>
                    </w:rPr>
                    <w:t>פעולה על ידי באי כוח</w:t>
                  </w:r>
                </w:p>
              </w:txbxContent>
            </v:textbox>
            <w10:anchorlock/>
          </v:rect>
        </w:pict>
      </w:r>
      <w:r>
        <w:rPr>
          <w:rStyle w:val="big-number"/>
          <w:rFonts w:cs="Miriam" w:hint="cs"/>
          <w:rtl/>
        </w:rPr>
        <w:t>3</w:t>
      </w:r>
      <w:r w:rsidR="000E4B71">
        <w:rPr>
          <w:rStyle w:val="big-number"/>
          <w:rFonts w:cs="Miriam" w:hint="cs"/>
          <w:rtl/>
        </w:rPr>
        <w:t>6</w:t>
      </w:r>
      <w:r>
        <w:rPr>
          <w:rStyle w:val="big-number"/>
          <w:rFonts w:cs="FrankRuehl"/>
          <w:sz w:val="26"/>
          <w:szCs w:val="26"/>
          <w:rtl/>
        </w:rPr>
        <w:t>.</w:t>
      </w:r>
      <w:r>
        <w:rPr>
          <w:rStyle w:val="big-number"/>
          <w:rFonts w:cs="FrankRuehl"/>
          <w:sz w:val="26"/>
          <w:szCs w:val="26"/>
          <w:rtl/>
        </w:rPr>
        <w:tab/>
      </w:r>
      <w:r w:rsidR="000E4B71">
        <w:rPr>
          <w:rStyle w:val="default"/>
          <w:rFonts w:cs="FrankRuehl" w:hint="cs"/>
          <w:rtl/>
        </w:rPr>
        <w:t>כל פעולה של הנאשם או המועצה לפי תקנות אלה רשאים לעשותה גם באי כוחם במקומם, זולת אם נאמר אחרת בתקנות אלה.</w:t>
      </w:r>
    </w:p>
    <w:p w:rsidR="0096256E" w:rsidRDefault="0096256E" w:rsidP="000E4B71">
      <w:pPr>
        <w:pStyle w:val="P00"/>
        <w:spacing w:before="72"/>
        <w:ind w:left="0" w:right="1134"/>
        <w:rPr>
          <w:rStyle w:val="default"/>
          <w:rFonts w:cs="FrankRuehl" w:hint="cs"/>
          <w:rtl/>
        </w:rPr>
      </w:pPr>
      <w:bookmarkStart w:id="37" w:name="Seif35"/>
      <w:bookmarkEnd w:id="37"/>
      <w:r>
        <w:rPr>
          <w:rFonts w:cs="Miriam"/>
          <w:lang w:val="he-IL"/>
        </w:rPr>
        <w:pict>
          <v:rect id="_x0000_s1368" style="position:absolute;left:0;text-align:left;margin-left:464.35pt;margin-top:7.1pt;width:75.05pt;height:22.65pt;z-index:251674624" o:allowincell="f" filled="f" stroked="f" strokecolor="lime" strokeweight=".25pt">
            <v:textbox style="mso-next-textbox:#_x0000_s1368" inset="0,0,0,0">
              <w:txbxContent>
                <w:p w:rsidR="0096256E" w:rsidRDefault="000E4B71" w:rsidP="0096256E">
                  <w:pPr>
                    <w:spacing w:line="160" w:lineRule="exact"/>
                    <w:rPr>
                      <w:rFonts w:cs="Miriam" w:hint="cs"/>
                      <w:noProof/>
                      <w:sz w:val="18"/>
                      <w:szCs w:val="18"/>
                      <w:rtl/>
                    </w:rPr>
                  </w:pPr>
                  <w:r>
                    <w:rPr>
                      <w:rFonts w:cs="Miriam" w:hint="cs"/>
                      <w:sz w:val="18"/>
                      <w:szCs w:val="18"/>
                      <w:rtl/>
                    </w:rPr>
                    <w:t>סדרי דין כשאין הוראה בחיקוק קיים</w:t>
                  </w:r>
                </w:p>
              </w:txbxContent>
            </v:textbox>
            <w10:anchorlock/>
          </v:rect>
        </w:pict>
      </w:r>
      <w:r>
        <w:rPr>
          <w:rStyle w:val="big-number"/>
          <w:rFonts w:cs="Miriam" w:hint="cs"/>
          <w:rtl/>
        </w:rPr>
        <w:t>3</w:t>
      </w:r>
      <w:r w:rsidR="000E4B71">
        <w:rPr>
          <w:rStyle w:val="big-number"/>
          <w:rFonts w:cs="Miriam" w:hint="cs"/>
          <w:rtl/>
        </w:rPr>
        <w:t>7</w:t>
      </w:r>
      <w:r>
        <w:rPr>
          <w:rStyle w:val="big-number"/>
          <w:rFonts w:cs="FrankRuehl"/>
          <w:sz w:val="26"/>
          <w:szCs w:val="26"/>
          <w:rtl/>
        </w:rPr>
        <w:t>.</w:t>
      </w:r>
      <w:r>
        <w:rPr>
          <w:rStyle w:val="big-number"/>
          <w:rFonts w:cs="FrankRuehl"/>
          <w:sz w:val="26"/>
          <w:szCs w:val="26"/>
          <w:rtl/>
        </w:rPr>
        <w:tab/>
      </w:r>
      <w:r w:rsidR="000E4B71">
        <w:rPr>
          <w:rStyle w:val="default"/>
          <w:rFonts w:cs="FrankRuehl" w:hint="cs"/>
          <w:rtl/>
        </w:rPr>
        <w:t>בכל עניין של סדרי דין שאין עליה הוראה בחוק, בתקנות אלה או בחיקוק אחר, תנהג ועדת הקנסות בדרך הנראית לה טובה ביותר לעשיית צדק.</w:t>
      </w:r>
    </w:p>
    <w:p w:rsidR="0096256E" w:rsidRDefault="0096256E" w:rsidP="000E4B71">
      <w:pPr>
        <w:pStyle w:val="P00"/>
        <w:spacing w:before="72"/>
        <w:ind w:left="0" w:right="1134"/>
        <w:rPr>
          <w:rStyle w:val="default"/>
          <w:rFonts w:cs="FrankRuehl" w:hint="cs"/>
          <w:rtl/>
        </w:rPr>
      </w:pPr>
      <w:bookmarkStart w:id="38" w:name="Seif36"/>
      <w:bookmarkEnd w:id="38"/>
      <w:r>
        <w:rPr>
          <w:rFonts w:cs="Miriam"/>
          <w:lang w:val="he-IL"/>
        </w:rPr>
        <w:pict>
          <v:rect id="_x0000_s1369" style="position:absolute;left:0;text-align:left;margin-left:464.35pt;margin-top:7.1pt;width:75.05pt;height:15.95pt;z-index:251675648" o:allowincell="f" filled="f" stroked="f" strokecolor="lime" strokeweight=".25pt">
            <v:textbox style="mso-next-textbox:#_x0000_s1369" inset="0,0,0,0">
              <w:txbxContent>
                <w:p w:rsidR="0096256E" w:rsidRDefault="000E4B71" w:rsidP="0096256E">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0E4B71">
        <w:rPr>
          <w:rStyle w:val="big-number"/>
          <w:rFonts w:cs="Miriam" w:hint="cs"/>
          <w:rtl/>
        </w:rPr>
        <w:t>8</w:t>
      </w:r>
      <w:r>
        <w:rPr>
          <w:rStyle w:val="big-number"/>
          <w:rFonts w:cs="FrankRuehl"/>
          <w:sz w:val="26"/>
          <w:szCs w:val="26"/>
          <w:rtl/>
        </w:rPr>
        <w:t>.</w:t>
      </w:r>
      <w:r>
        <w:rPr>
          <w:rStyle w:val="big-number"/>
          <w:rFonts w:cs="FrankRuehl"/>
          <w:sz w:val="26"/>
          <w:szCs w:val="26"/>
          <w:rtl/>
        </w:rPr>
        <w:tab/>
      </w:r>
      <w:r w:rsidR="000E4B71">
        <w:rPr>
          <w:rStyle w:val="default"/>
          <w:rFonts w:cs="FrankRuehl" w:hint="cs"/>
          <w:rtl/>
        </w:rPr>
        <w:t>תחילתן של תקנות אלה 30 ימים מיום פרסומן.</w:t>
      </w:r>
    </w:p>
    <w:p w:rsidR="00FA49BF" w:rsidRDefault="00FA49BF">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FA0F95" w:rsidRPr="001B185E" w:rsidRDefault="000E4B71" w:rsidP="000E4B7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כ"ד</w:t>
      </w:r>
      <w:r w:rsidR="00365377">
        <w:rPr>
          <w:rFonts w:cs="FrankRuehl" w:hint="cs"/>
          <w:rtl/>
        </w:rPr>
        <w:t xml:space="preserve"> באדר</w:t>
      </w:r>
      <w:r w:rsidR="00605968">
        <w:rPr>
          <w:rFonts w:cs="FrankRuehl" w:hint="cs"/>
          <w:rtl/>
        </w:rPr>
        <w:t xml:space="preserve"> התש"ע (</w:t>
      </w:r>
      <w:r>
        <w:rPr>
          <w:rFonts w:cs="FrankRuehl" w:hint="cs"/>
          <w:rtl/>
        </w:rPr>
        <w:t>10</w:t>
      </w:r>
      <w:r w:rsidR="00365377">
        <w:rPr>
          <w:rFonts w:cs="FrankRuehl" w:hint="cs"/>
          <w:rtl/>
        </w:rPr>
        <w:t xml:space="preserve"> במרס</w:t>
      </w:r>
      <w:r w:rsidR="00605968">
        <w:rPr>
          <w:rFonts w:cs="FrankRuehl" w:hint="cs"/>
          <w:rtl/>
        </w:rPr>
        <w:t xml:space="preserve"> 2010</w:t>
      </w:r>
      <w:r w:rsidR="007A3435">
        <w:rPr>
          <w:rFonts w:cs="FrankRuehl" w:hint="cs"/>
          <w:rtl/>
        </w:rPr>
        <w:t>)</w:t>
      </w:r>
      <w:r w:rsidR="00FA0F95" w:rsidRPr="001B185E">
        <w:rPr>
          <w:rFonts w:cs="FrankRuehl" w:hint="cs"/>
          <w:rtl/>
        </w:rPr>
        <w:tab/>
      </w:r>
      <w:r>
        <w:rPr>
          <w:rFonts w:cs="FrankRuehl" w:hint="cs"/>
          <w:rtl/>
        </w:rPr>
        <w:t>יעקב נאמן</w:t>
      </w:r>
    </w:p>
    <w:p w:rsidR="00FA0F95" w:rsidRDefault="00FA0F95" w:rsidP="000E4B71">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0E4B71">
        <w:rPr>
          <w:rFonts w:cs="FrankRuehl" w:hint="cs"/>
          <w:sz w:val="22"/>
          <w:szCs w:val="22"/>
          <w:rtl/>
        </w:rPr>
        <w:t>שר המשפטים</w:t>
      </w:r>
    </w:p>
    <w:p w:rsidR="0096256E" w:rsidRDefault="0096256E">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116AF7" w:rsidRDefault="00116AF7">
      <w:pPr>
        <w:pStyle w:val="sig-0"/>
        <w:ind w:left="0" w:right="1134"/>
        <w:rPr>
          <w:rFonts w:cs="FrankRuehl"/>
          <w:sz w:val="26"/>
          <w:rtl/>
        </w:rPr>
      </w:pPr>
    </w:p>
    <w:p w:rsidR="00116AF7" w:rsidRDefault="00116AF7">
      <w:pPr>
        <w:pStyle w:val="sig-0"/>
        <w:ind w:left="0" w:right="1134"/>
        <w:rPr>
          <w:rFonts w:cs="FrankRuehl"/>
          <w:sz w:val="26"/>
          <w:rtl/>
        </w:rPr>
      </w:pPr>
    </w:p>
    <w:p w:rsidR="00116AF7" w:rsidRDefault="00116AF7" w:rsidP="00116AF7">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F54930" w:rsidRDefault="00F54930" w:rsidP="00116AF7">
      <w:pPr>
        <w:pStyle w:val="sig-0"/>
        <w:ind w:left="0" w:right="1134"/>
        <w:jc w:val="center"/>
        <w:rPr>
          <w:rFonts w:cs="David"/>
          <w:color w:val="0000FF"/>
          <w:sz w:val="26"/>
          <w:szCs w:val="24"/>
          <w:u w:val="single"/>
          <w:rtl/>
        </w:rPr>
      </w:pPr>
    </w:p>
    <w:p w:rsidR="00F54930" w:rsidRDefault="00F54930" w:rsidP="00116AF7">
      <w:pPr>
        <w:pStyle w:val="sig-0"/>
        <w:ind w:left="0" w:right="1134"/>
        <w:jc w:val="center"/>
        <w:rPr>
          <w:rFonts w:cs="David"/>
          <w:color w:val="0000FF"/>
          <w:sz w:val="26"/>
          <w:szCs w:val="24"/>
          <w:u w:val="single"/>
          <w:rtl/>
        </w:rPr>
      </w:pPr>
    </w:p>
    <w:p w:rsidR="00F54930" w:rsidRDefault="00F54930" w:rsidP="00F54930">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rsidR="00D078B6" w:rsidRPr="00F54930" w:rsidRDefault="00D078B6" w:rsidP="00F54930">
      <w:pPr>
        <w:pStyle w:val="sig-0"/>
        <w:ind w:left="0" w:right="1134"/>
        <w:jc w:val="center"/>
        <w:rPr>
          <w:rFonts w:cs="David"/>
          <w:color w:val="0000FF"/>
          <w:sz w:val="26"/>
          <w:szCs w:val="24"/>
          <w:u w:val="single"/>
          <w:rtl/>
        </w:rPr>
      </w:pPr>
    </w:p>
    <w:sectPr w:rsidR="00D078B6" w:rsidRPr="00F54930">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27FD" w:rsidRDefault="000A27FD">
      <w:r>
        <w:separator/>
      </w:r>
    </w:p>
  </w:endnote>
  <w:endnote w:type="continuationSeparator" w:id="0">
    <w:p w:rsidR="000A27FD" w:rsidRDefault="000A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4930">
      <w:rPr>
        <w:rFonts w:cs="TopType Jerushalmi"/>
        <w:noProof/>
        <w:color w:val="000000"/>
        <w:sz w:val="14"/>
        <w:szCs w:val="14"/>
      </w:rPr>
      <w:t>Z:\00000000000000000000000=2014------------------------\05-May\2014-05-28\LawsForHofit\03\500_304.doc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885" w:rsidRDefault="007A588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54930">
      <w:rPr>
        <w:rFonts w:hAnsi="FrankRuehl" w:cs="FrankRuehl"/>
        <w:noProof/>
        <w:sz w:val="24"/>
        <w:szCs w:val="24"/>
        <w:rtl/>
      </w:rPr>
      <w:t>6</w:t>
    </w:r>
    <w:r>
      <w:rPr>
        <w:rFonts w:hAnsi="FrankRuehl" w:cs="FrankRuehl"/>
        <w:sz w:val="24"/>
        <w:szCs w:val="24"/>
        <w:rtl/>
      </w:rPr>
      <w:fldChar w:fldCharType="end"/>
    </w:r>
  </w:p>
  <w:p w:rsidR="007A5885" w:rsidRDefault="007A588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A5885" w:rsidRDefault="007A588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54930">
      <w:rPr>
        <w:rFonts w:cs="TopType Jerushalmi"/>
        <w:noProof/>
        <w:color w:val="000000"/>
        <w:sz w:val="14"/>
        <w:szCs w:val="14"/>
      </w:rPr>
      <w:t>Z:\00000000000000000000000=2014------------------------\05-May\2014-05-28\LawsForHofit\03\500_304.doc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27FD" w:rsidRDefault="000A27FD">
      <w:r>
        <w:separator/>
      </w:r>
    </w:p>
  </w:footnote>
  <w:footnote w:type="continuationSeparator" w:id="0">
    <w:p w:rsidR="000A27FD" w:rsidRDefault="000A27FD">
      <w:r>
        <w:continuationSeparator/>
      </w:r>
    </w:p>
  </w:footnote>
  <w:footnote w:id="1">
    <w:p w:rsidR="005B65EB" w:rsidRDefault="007A5885" w:rsidP="005B6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7A1EA9">
        <w:rPr>
          <w:rFonts w:cs="FrankRuehl" w:hint="cs"/>
          <w:rtl/>
        </w:rPr>
        <w:t xml:space="preserve"> פורסמו</w:t>
      </w:r>
      <w:r>
        <w:rPr>
          <w:rFonts w:cs="FrankRuehl" w:hint="cs"/>
          <w:rtl/>
        </w:rPr>
        <w:t xml:space="preserve"> </w:t>
      </w:r>
      <w:hyperlink r:id="rId1" w:history="1">
        <w:r w:rsidR="008D2195" w:rsidRPr="005B65EB">
          <w:rPr>
            <w:rStyle w:val="Hyperlink"/>
            <w:rFonts w:cs="FrankRuehl" w:hint="cs"/>
            <w:rtl/>
          </w:rPr>
          <w:t>ק"ת</w:t>
        </w:r>
        <w:r w:rsidRPr="005B65EB">
          <w:rPr>
            <w:rStyle w:val="Hyperlink"/>
            <w:rFonts w:cs="FrankRuehl" w:hint="cs"/>
            <w:rtl/>
          </w:rPr>
          <w:t xml:space="preserve"> תש"ע מס' </w:t>
        </w:r>
        <w:r w:rsidR="007A1EA9" w:rsidRPr="005B65EB">
          <w:rPr>
            <w:rStyle w:val="Hyperlink"/>
            <w:rFonts w:cs="FrankRuehl" w:hint="cs"/>
            <w:rtl/>
          </w:rPr>
          <w:t>688</w:t>
        </w:r>
        <w:r w:rsidR="0096256E" w:rsidRPr="005B65EB">
          <w:rPr>
            <w:rStyle w:val="Hyperlink"/>
            <w:rFonts w:cs="FrankRuehl" w:hint="cs"/>
            <w:rtl/>
          </w:rPr>
          <w:t>4</w:t>
        </w:r>
      </w:hyperlink>
      <w:r>
        <w:rPr>
          <w:rFonts w:cs="FrankRuehl" w:hint="cs"/>
          <w:rtl/>
        </w:rPr>
        <w:t xml:space="preserve"> מיום </w:t>
      </w:r>
      <w:r w:rsidR="0096256E">
        <w:rPr>
          <w:rFonts w:cs="FrankRuehl" w:hint="cs"/>
          <w:rtl/>
        </w:rPr>
        <w:t>12.4</w:t>
      </w:r>
      <w:r>
        <w:rPr>
          <w:rFonts w:cs="FrankRuehl" w:hint="cs"/>
          <w:rtl/>
        </w:rPr>
        <w:t xml:space="preserve">.2010 עמ' </w:t>
      </w:r>
      <w:r w:rsidR="0096256E">
        <w:rPr>
          <w:rFonts w:cs="FrankRuehl" w:hint="cs"/>
          <w:rtl/>
        </w:rPr>
        <w:t>998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885" w:rsidRDefault="007A588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5885" w:rsidRDefault="007A1EA9" w:rsidP="0096256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96256E">
      <w:rPr>
        <w:rFonts w:hAnsi="FrankRuehl" w:cs="FrankRuehl" w:hint="cs"/>
        <w:color w:val="000000"/>
        <w:sz w:val="28"/>
        <w:szCs w:val="28"/>
        <w:rtl/>
      </w:rPr>
      <w:t>מועצת הצמחים (ייצור ושיווק) (סדרי דין בפני ועדת קנסות</w:t>
    </w:r>
    <w:r w:rsidR="00564525">
      <w:rPr>
        <w:rFonts w:hAnsi="FrankRuehl" w:cs="FrankRuehl" w:hint="cs"/>
        <w:color w:val="000000"/>
        <w:sz w:val="28"/>
        <w:szCs w:val="28"/>
        <w:rtl/>
      </w:rPr>
      <w:t>)</w:t>
    </w:r>
    <w:r w:rsidR="007A5885">
      <w:rPr>
        <w:rFonts w:hAnsi="FrankRuehl" w:cs="FrankRuehl" w:hint="cs"/>
        <w:color w:val="000000"/>
        <w:sz w:val="28"/>
        <w:szCs w:val="28"/>
        <w:rtl/>
      </w:rPr>
      <w:t>, תש"ע-2010</w:t>
    </w:r>
  </w:p>
  <w:p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A5885" w:rsidRDefault="007A588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7482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15D0A"/>
    <w:rsid w:val="0001709D"/>
    <w:rsid w:val="00017430"/>
    <w:rsid w:val="0004753B"/>
    <w:rsid w:val="0006308F"/>
    <w:rsid w:val="00067E14"/>
    <w:rsid w:val="00086ADC"/>
    <w:rsid w:val="00090966"/>
    <w:rsid w:val="00091C02"/>
    <w:rsid w:val="000A27FD"/>
    <w:rsid w:val="000A46CA"/>
    <w:rsid w:val="000B35BC"/>
    <w:rsid w:val="000B4D7F"/>
    <w:rsid w:val="000C7553"/>
    <w:rsid w:val="000D5D2E"/>
    <w:rsid w:val="000E4A75"/>
    <w:rsid w:val="000E4B71"/>
    <w:rsid w:val="000E6A68"/>
    <w:rsid w:val="000F1022"/>
    <w:rsid w:val="000F608F"/>
    <w:rsid w:val="0011633A"/>
    <w:rsid w:val="00116AF7"/>
    <w:rsid w:val="0012012E"/>
    <w:rsid w:val="00123701"/>
    <w:rsid w:val="00126E84"/>
    <w:rsid w:val="0013086C"/>
    <w:rsid w:val="0014555D"/>
    <w:rsid w:val="00151314"/>
    <w:rsid w:val="001656C1"/>
    <w:rsid w:val="001670C1"/>
    <w:rsid w:val="00172D22"/>
    <w:rsid w:val="00183086"/>
    <w:rsid w:val="00187D2C"/>
    <w:rsid w:val="00194A90"/>
    <w:rsid w:val="00195009"/>
    <w:rsid w:val="001A0191"/>
    <w:rsid w:val="001A2280"/>
    <w:rsid w:val="001B185E"/>
    <w:rsid w:val="001F7259"/>
    <w:rsid w:val="00245AB7"/>
    <w:rsid w:val="0024698C"/>
    <w:rsid w:val="00263AC0"/>
    <w:rsid w:val="00274F4B"/>
    <w:rsid w:val="0029668C"/>
    <w:rsid w:val="002D49B4"/>
    <w:rsid w:val="002E72D0"/>
    <w:rsid w:val="002E7915"/>
    <w:rsid w:val="002F0F63"/>
    <w:rsid w:val="002F2344"/>
    <w:rsid w:val="003033D8"/>
    <w:rsid w:val="00306897"/>
    <w:rsid w:val="00330591"/>
    <w:rsid w:val="00335782"/>
    <w:rsid w:val="00355575"/>
    <w:rsid w:val="00365037"/>
    <w:rsid w:val="00365377"/>
    <w:rsid w:val="0039533D"/>
    <w:rsid w:val="003C0065"/>
    <w:rsid w:val="003D3207"/>
    <w:rsid w:val="00405724"/>
    <w:rsid w:val="00405C48"/>
    <w:rsid w:val="00411F72"/>
    <w:rsid w:val="00414DD2"/>
    <w:rsid w:val="0041549C"/>
    <w:rsid w:val="00430502"/>
    <w:rsid w:val="00433362"/>
    <w:rsid w:val="004515D8"/>
    <w:rsid w:val="00453AE6"/>
    <w:rsid w:val="004643DF"/>
    <w:rsid w:val="004719B8"/>
    <w:rsid w:val="00482C12"/>
    <w:rsid w:val="00483473"/>
    <w:rsid w:val="004A1C6D"/>
    <w:rsid w:val="004B182E"/>
    <w:rsid w:val="00504FC6"/>
    <w:rsid w:val="00526FE4"/>
    <w:rsid w:val="00536049"/>
    <w:rsid w:val="0054777C"/>
    <w:rsid w:val="00564525"/>
    <w:rsid w:val="00573797"/>
    <w:rsid w:val="00591188"/>
    <w:rsid w:val="0059240C"/>
    <w:rsid w:val="005B65EB"/>
    <w:rsid w:val="005B7DC1"/>
    <w:rsid w:val="005C4B85"/>
    <w:rsid w:val="005E68F9"/>
    <w:rsid w:val="005F35DF"/>
    <w:rsid w:val="006035BA"/>
    <w:rsid w:val="00605968"/>
    <w:rsid w:val="006111BF"/>
    <w:rsid w:val="006179D1"/>
    <w:rsid w:val="006411A2"/>
    <w:rsid w:val="00642EE2"/>
    <w:rsid w:val="00644325"/>
    <w:rsid w:val="00644ADC"/>
    <w:rsid w:val="00666CAD"/>
    <w:rsid w:val="00672B61"/>
    <w:rsid w:val="00683E2F"/>
    <w:rsid w:val="006C51AF"/>
    <w:rsid w:val="006D18A1"/>
    <w:rsid w:val="006E1D7B"/>
    <w:rsid w:val="007101DB"/>
    <w:rsid w:val="0071272E"/>
    <w:rsid w:val="007561A0"/>
    <w:rsid w:val="00760401"/>
    <w:rsid w:val="00797948"/>
    <w:rsid w:val="007A1EA9"/>
    <w:rsid w:val="007A3435"/>
    <w:rsid w:val="007A5885"/>
    <w:rsid w:val="007B3E87"/>
    <w:rsid w:val="007C14C9"/>
    <w:rsid w:val="007D6492"/>
    <w:rsid w:val="007D706A"/>
    <w:rsid w:val="007E665F"/>
    <w:rsid w:val="007F7EBA"/>
    <w:rsid w:val="00814B63"/>
    <w:rsid w:val="00820EEB"/>
    <w:rsid w:val="008462F4"/>
    <w:rsid w:val="00860895"/>
    <w:rsid w:val="00861E17"/>
    <w:rsid w:val="00866905"/>
    <w:rsid w:val="008C54C0"/>
    <w:rsid w:val="008D0F32"/>
    <w:rsid w:val="008D2001"/>
    <w:rsid w:val="008D2195"/>
    <w:rsid w:val="008E4FF7"/>
    <w:rsid w:val="008E793A"/>
    <w:rsid w:val="008F1B18"/>
    <w:rsid w:val="008F69D2"/>
    <w:rsid w:val="00907F4F"/>
    <w:rsid w:val="00910942"/>
    <w:rsid w:val="009122D7"/>
    <w:rsid w:val="0093080E"/>
    <w:rsid w:val="00936AD0"/>
    <w:rsid w:val="0094088E"/>
    <w:rsid w:val="0096256E"/>
    <w:rsid w:val="00981E02"/>
    <w:rsid w:val="009865E2"/>
    <w:rsid w:val="009D4948"/>
    <w:rsid w:val="009E52FE"/>
    <w:rsid w:val="00A0199B"/>
    <w:rsid w:val="00A07169"/>
    <w:rsid w:val="00A4286F"/>
    <w:rsid w:val="00A6011E"/>
    <w:rsid w:val="00A616B9"/>
    <w:rsid w:val="00A652C4"/>
    <w:rsid w:val="00A749A5"/>
    <w:rsid w:val="00A836C4"/>
    <w:rsid w:val="00A911CB"/>
    <w:rsid w:val="00A91FA7"/>
    <w:rsid w:val="00AA415B"/>
    <w:rsid w:val="00AD7099"/>
    <w:rsid w:val="00AE16AE"/>
    <w:rsid w:val="00B01519"/>
    <w:rsid w:val="00B138CE"/>
    <w:rsid w:val="00B13B5B"/>
    <w:rsid w:val="00B14719"/>
    <w:rsid w:val="00B155E6"/>
    <w:rsid w:val="00B1659F"/>
    <w:rsid w:val="00B17DE6"/>
    <w:rsid w:val="00B54DEC"/>
    <w:rsid w:val="00B61915"/>
    <w:rsid w:val="00B7664A"/>
    <w:rsid w:val="00B870DA"/>
    <w:rsid w:val="00BB761B"/>
    <w:rsid w:val="00BC09D6"/>
    <w:rsid w:val="00BE7617"/>
    <w:rsid w:val="00BE7C33"/>
    <w:rsid w:val="00BF7B1A"/>
    <w:rsid w:val="00C057F1"/>
    <w:rsid w:val="00C14731"/>
    <w:rsid w:val="00C1490A"/>
    <w:rsid w:val="00C36B0F"/>
    <w:rsid w:val="00C73725"/>
    <w:rsid w:val="00C83D57"/>
    <w:rsid w:val="00CA76D4"/>
    <w:rsid w:val="00CD1E6D"/>
    <w:rsid w:val="00CD333B"/>
    <w:rsid w:val="00CD683A"/>
    <w:rsid w:val="00D078B6"/>
    <w:rsid w:val="00D26B9A"/>
    <w:rsid w:val="00D40A5B"/>
    <w:rsid w:val="00D432A0"/>
    <w:rsid w:val="00D43C79"/>
    <w:rsid w:val="00D54050"/>
    <w:rsid w:val="00D6143E"/>
    <w:rsid w:val="00D73E59"/>
    <w:rsid w:val="00DA366B"/>
    <w:rsid w:val="00DA5D61"/>
    <w:rsid w:val="00DC3D1F"/>
    <w:rsid w:val="00DE47F7"/>
    <w:rsid w:val="00DE56ED"/>
    <w:rsid w:val="00E11341"/>
    <w:rsid w:val="00E144CE"/>
    <w:rsid w:val="00E341CA"/>
    <w:rsid w:val="00E42F7C"/>
    <w:rsid w:val="00E508C9"/>
    <w:rsid w:val="00E516EE"/>
    <w:rsid w:val="00E55DA2"/>
    <w:rsid w:val="00E65ADA"/>
    <w:rsid w:val="00E72BC1"/>
    <w:rsid w:val="00E87870"/>
    <w:rsid w:val="00EA1843"/>
    <w:rsid w:val="00EA7A93"/>
    <w:rsid w:val="00EC0F51"/>
    <w:rsid w:val="00ED0A4A"/>
    <w:rsid w:val="00EE2B5A"/>
    <w:rsid w:val="00EE648F"/>
    <w:rsid w:val="00EE7942"/>
    <w:rsid w:val="00EF4FAC"/>
    <w:rsid w:val="00F36C13"/>
    <w:rsid w:val="00F40E35"/>
    <w:rsid w:val="00F474BB"/>
    <w:rsid w:val="00F54930"/>
    <w:rsid w:val="00FA0F95"/>
    <w:rsid w:val="00FA49BF"/>
    <w:rsid w:val="00FB27D0"/>
    <w:rsid w:val="00FB4052"/>
    <w:rsid w:val="00FB690E"/>
    <w:rsid w:val="00FE1765"/>
    <w:rsid w:val="00FF0BD2"/>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CE4D013-6774-4532-9575-34110717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11822</CharactersWithSpaces>
  <SharedDoc>false</SharedDoc>
  <HLinks>
    <vt:vector size="252" baseType="variant">
      <vt:variant>
        <vt:i4>393283</vt:i4>
      </vt:variant>
      <vt:variant>
        <vt:i4>237</vt:i4>
      </vt:variant>
      <vt:variant>
        <vt:i4>0</vt:i4>
      </vt:variant>
      <vt:variant>
        <vt:i4>5</vt:i4>
      </vt:variant>
      <vt:variant>
        <vt:lpwstr>http://www.nevo.co.il/advertisements/nevo-100.doc</vt:lpwstr>
      </vt:variant>
      <vt:variant>
        <vt:lpwstr/>
      </vt:variant>
      <vt:variant>
        <vt:i4>393283</vt:i4>
      </vt:variant>
      <vt:variant>
        <vt:i4>234</vt:i4>
      </vt:variant>
      <vt:variant>
        <vt:i4>0</vt:i4>
      </vt:variant>
      <vt:variant>
        <vt:i4>5</vt:i4>
      </vt:variant>
      <vt:variant>
        <vt:lpwstr>http://www.nevo.co.il/advertisements/nevo-100.doc</vt:lpwstr>
      </vt:variant>
      <vt:variant>
        <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5701641</vt:i4>
      </vt:variant>
      <vt:variant>
        <vt:i4>162</vt:i4>
      </vt:variant>
      <vt:variant>
        <vt:i4>0</vt:i4>
      </vt:variant>
      <vt:variant>
        <vt:i4>5</vt:i4>
      </vt:variant>
      <vt:variant>
        <vt:lpwstr/>
      </vt:variant>
      <vt:variant>
        <vt:lpwstr>med2</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7798788</vt:i4>
      </vt:variant>
      <vt:variant>
        <vt:i4>0</vt:i4>
      </vt:variant>
      <vt:variant>
        <vt:i4>0</vt:i4>
      </vt:variant>
      <vt:variant>
        <vt:i4>5</vt:i4>
      </vt:variant>
      <vt:variant>
        <vt:lpwstr>http://www.nevo.co.il/Law_word/law06/tak-6884.pdf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מועצת הצמחים (ייצור ושיווק) (סדרי דין בפני ועדת קנסות), תש"ע-2010</vt:lpwstr>
  </property>
  <property fmtid="{D5CDD505-2E9C-101B-9397-08002B2CF9AE}" pid="4" name="LAWNUMBER">
    <vt:lpwstr>0304</vt:lpwstr>
  </property>
  <property fmtid="{D5CDD505-2E9C-101B-9397-08002B2CF9AE}" pid="5" name="TYPE">
    <vt:lpwstr>01</vt:lpwstr>
  </property>
  <property fmtid="{D5CDD505-2E9C-101B-9397-08002B2CF9AE}" pid="6" name="CHNAME">
    <vt:lpwstr>חקלאות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הרוקחים [נוסח חדש]</vt:lpwstr>
  </property>
  <property fmtid="{D5CDD505-2E9C-101B-9397-08002B2CF9AE}" pid="22" name="MEKOR_SAIF1">
    <vt:lpwstr>55זXגX</vt:lpwstr>
  </property>
  <property fmtid="{D5CDD505-2E9C-101B-9397-08002B2CF9AE}" pid="23" name="MEKORSAMCHUT">
    <vt:lpwstr/>
  </property>
  <property fmtid="{D5CDD505-2E9C-101B-9397-08002B2CF9AE}" pid="24" name="LINKK1">
    <vt:lpwstr>http://www.nevo.co.il/Law_word/law06/tak-6884.pdf;‎רשומות - תקנות כלליות#פורסמו ק"ת תש"ע ‏מס' 6884 #מיום 12.4.2010 עמ' 998‏</vt:lpwstr>
  </property>
  <property fmtid="{D5CDD505-2E9C-101B-9397-08002B2CF9AE}" pid="25" name="NOSE11">
    <vt:lpwstr>חקלאות טבע וסביבה</vt:lpwstr>
  </property>
  <property fmtid="{D5CDD505-2E9C-101B-9397-08002B2CF9AE}" pid="26" name="NOSE21">
    <vt:lpwstr>חקלאות</vt:lpwstr>
  </property>
  <property fmtid="{D5CDD505-2E9C-101B-9397-08002B2CF9AE}" pid="27" name="NOSE31">
    <vt:lpwstr>מועצת הצמחים</vt:lpwstr>
  </property>
  <property fmtid="{D5CDD505-2E9C-101B-9397-08002B2CF9AE}" pid="28" name="NOSE41">
    <vt:lpwstr>סדר דין</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