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5DC" w:rsidRDefault="005155DC" w:rsidP="00E9417C">
      <w:pPr>
        <w:pStyle w:val="big-header"/>
        <w:ind w:left="0" w:right="1134"/>
        <w:rPr>
          <w:rFonts w:cs="FrankRuehl"/>
          <w:sz w:val="32"/>
        </w:rPr>
      </w:pPr>
      <w:r>
        <w:rPr>
          <w:rFonts w:cs="FrankRuehl"/>
          <w:sz w:val="32"/>
          <w:rtl/>
        </w:rPr>
        <w:t>תקנות מילווה המדינה (סדרות מסוג "גבע"), תשמ"ט</w:t>
      </w:r>
      <w:r w:rsidR="00E9417C">
        <w:rPr>
          <w:rFonts w:cs="FrankRuehl" w:hint="cs"/>
          <w:sz w:val="32"/>
          <w:rtl/>
        </w:rPr>
        <w:t>-</w:t>
      </w:r>
      <w:r>
        <w:rPr>
          <w:rFonts w:cs="FrankRuehl"/>
          <w:sz w:val="32"/>
          <w:rtl/>
        </w:rPr>
        <w:t>1989</w:t>
      </w:r>
    </w:p>
    <w:p w:rsidR="00A722FD" w:rsidRPr="00A722FD" w:rsidRDefault="00A722FD" w:rsidP="00A722FD">
      <w:pPr>
        <w:spacing w:line="320" w:lineRule="auto"/>
        <w:jc w:val="left"/>
        <w:rPr>
          <w:rFonts w:cs="FrankRuehl"/>
          <w:szCs w:val="26"/>
          <w:rtl/>
        </w:rPr>
      </w:pPr>
    </w:p>
    <w:p w:rsidR="00CA787C" w:rsidRDefault="00CA787C" w:rsidP="00CA787C">
      <w:pPr>
        <w:spacing w:line="320" w:lineRule="auto"/>
        <w:jc w:val="left"/>
        <w:rPr>
          <w:rFonts w:hint="cs"/>
          <w:rtl/>
        </w:rPr>
      </w:pPr>
    </w:p>
    <w:p w:rsidR="00A722FD" w:rsidRPr="00CA787C" w:rsidRDefault="00CA787C" w:rsidP="00CA787C">
      <w:pPr>
        <w:spacing w:line="320" w:lineRule="auto"/>
        <w:jc w:val="left"/>
        <w:rPr>
          <w:rFonts w:cs="Miriam"/>
          <w:szCs w:val="22"/>
          <w:rtl/>
        </w:rPr>
      </w:pPr>
      <w:r w:rsidRPr="00CA787C">
        <w:rPr>
          <w:rFonts w:cs="Miriam"/>
          <w:szCs w:val="22"/>
          <w:rtl/>
        </w:rPr>
        <w:t>משפט פרטי וכלכלה</w:t>
      </w:r>
      <w:r w:rsidRPr="00CA787C">
        <w:rPr>
          <w:rFonts w:cs="FrankRuehl"/>
          <w:szCs w:val="26"/>
          <w:rtl/>
        </w:rPr>
        <w:t xml:space="preserve"> – כספים – מילווים – מילווה חסכון</w:t>
      </w:r>
    </w:p>
    <w:p w:rsidR="005155DC" w:rsidRDefault="005155D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0" w:tooltip="הגדרות" w:history="1">
              <w:r>
                <w:rPr>
                  <w:rStyle w:val="Hyperlink"/>
                </w:rPr>
                <w:t>Go</w:t>
              </w:r>
            </w:hyperlink>
          </w:p>
        </w:tc>
        <w:tc>
          <w:tcPr>
            <w:tcW w:w="5669" w:type="dxa"/>
          </w:tcPr>
          <w:p w:rsidR="005155DC" w:rsidRDefault="005155DC">
            <w:pPr>
              <w:spacing w:line="240" w:lineRule="auto"/>
              <w:rPr>
                <w:sz w:val="24"/>
                <w:rtl/>
              </w:rPr>
            </w:pPr>
            <w:r>
              <w:rPr>
                <w:sz w:val="24"/>
                <w:rtl/>
              </w:rPr>
              <w:t>הגדרות</w:t>
            </w:r>
          </w:p>
        </w:tc>
        <w:tc>
          <w:tcPr>
            <w:tcW w:w="1247" w:type="dxa"/>
          </w:tcPr>
          <w:p w:rsidR="005155DC" w:rsidRDefault="005155DC">
            <w:pPr>
              <w:spacing w:line="240" w:lineRule="auto"/>
              <w:rPr>
                <w:sz w:val="24"/>
              </w:rPr>
            </w:pPr>
            <w:r>
              <w:rPr>
                <w:sz w:val="24"/>
                <w:rtl/>
              </w:rPr>
              <w:t xml:space="preserve">סעיף 1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1" w:tooltip="איגרות חוב מסוג גבע" w:history="1">
              <w:r>
                <w:rPr>
                  <w:rStyle w:val="Hyperlink"/>
                </w:rPr>
                <w:t>Go</w:t>
              </w:r>
            </w:hyperlink>
          </w:p>
        </w:tc>
        <w:tc>
          <w:tcPr>
            <w:tcW w:w="5669" w:type="dxa"/>
          </w:tcPr>
          <w:p w:rsidR="005155DC" w:rsidRDefault="005155DC">
            <w:pPr>
              <w:spacing w:line="240" w:lineRule="auto"/>
              <w:rPr>
                <w:sz w:val="24"/>
                <w:rtl/>
              </w:rPr>
            </w:pPr>
            <w:r>
              <w:rPr>
                <w:sz w:val="24"/>
                <w:rtl/>
              </w:rPr>
              <w:t>איגרות חוב מסוג גבע</w:t>
            </w:r>
          </w:p>
        </w:tc>
        <w:tc>
          <w:tcPr>
            <w:tcW w:w="1247" w:type="dxa"/>
          </w:tcPr>
          <w:p w:rsidR="005155DC" w:rsidRDefault="005155DC">
            <w:pPr>
              <w:spacing w:line="240" w:lineRule="auto"/>
              <w:rPr>
                <w:sz w:val="24"/>
              </w:rPr>
            </w:pPr>
            <w:r>
              <w:rPr>
                <w:sz w:val="24"/>
                <w:rtl/>
              </w:rPr>
              <w:t xml:space="preserve">סעיף 2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2" w:tooltip="איגרות חוב על שם" w:history="1">
              <w:r>
                <w:rPr>
                  <w:rStyle w:val="Hyperlink"/>
                </w:rPr>
                <w:t>Go</w:t>
              </w:r>
            </w:hyperlink>
          </w:p>
        </w:tc>
        <w:tc>
          <w:tcPr>
            <w:tcW w:w="5669" w:type="dxa"/>
          </w:tcPr>
          <w:p w:rsidR="005155DC" w:rsidRDefault="005155DC">
            <w:pPr>
              <w:spacing w:line="240" w:lineRule="auto"/>
              <w:rPr>
                <w:sz w:val="24"/>
                <w:rtl/>
              </w:rPr>
            </w:pPr>
            <w:r>
              <w:rPr>
                <w:sz w:val="24"/>
                <w:rtl/>
              </w:rPr>
              <w:t>איגרות חוב על שם</w:t>
            </w:r>
          </w:p>
        </w:tc>
        <w:tc>
          <w:tcPr>
            <w:tcW w:w="1247" w:type="dxa"/>
          </w:tcPr>
          <w:p w:rsidR="005155DC" w:rsidRDefault="005155DC">
            <w:pPr>
              <w:spacing w:line="240" w:lineRule="auto"/>
              <w:rPr>
                <w:sz w:val="24"/>
              </w:rPr>
            </w:pPr>
            <w:r>
              <w:rPr>
                <w:sz w:val="24"/>
                <w:rtl/>
              </w:rPr>
              <w:t xml:space="preserve">סעיף 3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3" w:tooltip="השווי הנקוב" w:history="1">
              <w:r>
                <w:rPr>
                  <w:rStyle w:val="Hyperlink"/>
                </w:rPr>
                <w:t>Go</w:t>
              </w:r>
            </w:hyperlink>
          </w:p>
        </w:tc>
        <w:tc>
          <w:tcPr>
            <w:tcW w:w="5669" w:type="dxa"/>
          </w:tcPr>
          <w:p w:rsidR="005155DC" w:rsidRDefault="005155DC">
            <w:pPr>
              <w:spacing w:line="240" w:lineRule="auto"/>
              <w:rPr>
                <w:sz w:val="24"/>
                <w:rtl/>
              </w:rPr>
            </w:pPr>
            <w:r>
              <w:rPr>
                <w:sz w:val="24"/>
                <w:rtl/>
              </w:rPr>
              <w:t>השווי הנקוב</w:t>
            </w:r>
          </w:p>
        </w:tc>
        <w:tc>
          <w:tcPr>
            <w:tcW w:w="1247" w:type="dxa"/>
          </w:tcPr>
          <w:p w:rsidR="005155DC" w:rsidRDefault="005155DC">
            <w:pPr>
              <w:spacing w:line="240" w:lineRule="auto"/>
              <w:rPr>
                <w:sz w:val="24"/>
              </w:rPr>
            </w:pPr>
            <w:r>
              <w:rPr>
                <w:sz w:val="24"/>
                <w:rtl/>
              </w:rPr>
              <w:t xml:space="preserve">סעיף 4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4" w:tooltip="שיעור הנכיון, שיעור הקולבון והמחיר" w:history="1">
              <w:r>
                <w:rPr>
                  <w:rStyle w:val="Hyperlink"/>
                </w:rPr>
                <w:t>Go</w:t>
              </w:r>
            </w:hyperlink>
          </w:p>
        </w:tc>
        <w:tc>
          <w:tcPr>
            <w:tcW w:w="5669" w:type="dxa"/>
          </w:tcPr>
          <w:p w:rsidR="005155DC" w:rsidRDefault="005155DC">
            <w:pPr>
              <w:spacing w:line="240" w:lineRule="auto"/>
              <w:rPr>
                <w:sz w:val="24"/>
                <w:rtl/>
              </w:rPr>
            </w:pPr>
            <w:r>
              <w:rPr>
                <w:sz w:val="24"/>
                <w:rtl/>
              </w:rPr>
              <w:t>שיעור הנכיון, שיעור הקולבון והמחיר</w:t>
            </w:r>
          </w:p>
        </w:tc>
        <w:tc>
          <w:tcPr>
            <w:tcW w:w="1247" w:type="dxa"/>
          </w:tcPr>
          <w:p w:rsidR="005155DC" w:rsidRDefault="005155DC">
            <w:pPr>
              <w:spacing w:line="240" w:lineRule="auto"/>
              <w:rPr>
                <w:sz w:val="24"/>
              </w:rPr>
            </w:pPr>
            <w:r>
              <w:rPr>
                <w:sz w:val="24"/>
                <w:rtl/>
              </w:rPr>
              <w:t xml:space="preserve">סעיף 5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9417C">
              <w:rPr>
                <w:noProof/>
                <w:sz w:val="24"/>
                <w:rtl/>
              </w:rPr>
              <w:t>2</w:t>
            </w:r>
            <w:r>
              <w:rPr>
                <w:sz w:val="24"/>
                <w:rtl/>
              </w:rPr>
              <w:fldChar w:fldCharType="end"/>
            </w:r>
          </w:p>
        </w:tc>
        <w:tc>
          <w:tcPr>
            <w:tcW w:w="567" w:type="dxa"/>
          </w:tcPr>
          <w:p w:rsidR="005155DC" w:rsidRDefault="005155DC">
            <w:pPr>
              <w:spacing w:line="240" w:lineRule="auto"/>
              <w:rPr>
                <w:sz w:val="24"/>
              </w:rPr>
            </w:pPr>
            <w:hyperlink w:anchor="Seif5" w:tooltip="נוסח איגרות החוב" w:history="1">
              <w:r>
                <w:rPr>
                  <w:rStyle w:val="Hyperlink"/>
                </w:rPr>
                <w:t>Go</w:t>
              </w:r>
            </w:hyperlink>
          </w:p>
        </w:tc>
        <w:tc>
          <w:tcPr>
            <w:tcW w:w="5669" w:type="dxa"/>
          </w:tcPr>
          <w:p w:rsidR="005155DC" w:rsidRDefault="005155DC">
            <w:pPr>
              <w:spacing w:line="240" w:lineRule="auto"/>
              <w:rPr>
                <w:sz w:val="24"/>
                <w:rtl/>
              </w:rPr>
            </w:pPr>
            <w:r>
              <w:rPr>
                <w:sz w:val="24"/>
                <w:rtl/>
              </w:rPr>
              <w:t>נוסח איגרות החוב</w:t>
            </w:r>
          </w:p>
        </w:tc>
        <w:tc>
          <w:tcPr>
            <w:tcW w:w="1247" w:type="dxa"/>
          </w:tcPr>
          <w:p w:rsidR="005155DC" w:rsidRDefault="005155DC">
            <w:pPr>
              <w:spacing w:line="240" w:lineRule="auto"/>
              <w:rPr>
                <w:sz w:val="24"/>
              </w:rPr>
            </w:pPr>
            <w:r>
              <w:rPr>
                <w:sz w:val="24"/>
                <w:rtl/>
              </w:rPr>
              <w:t xml:space="preserve">סעיף 6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6" w:tooltip="הריבית הנקובה" w:history="1">
              <w:r>
                <w:rPr>
                  <w:rStyle w:val="Hyperlink"/>
                </w:rPr>
                <w:t>Go</w:t>
              </w:r>
            </w:hyperlink>
          </w:p>
        </w:tc>
        <w:tc>
          <w:tcPr>
            <w:tcW w:w="5669" w:type="dxa"/>
          </w:tcPr>
          <w:p w:rsidR="005155DC" w:rsidRDefault="005155DC">
            <w:pPr>
              <w:spacing w:line="240" w:lineRule="auto"/>
              <w:rPr>
                <w:sz w:val="24"/>
                <w:rtl/>
              </w:rPr>
            </w:pPr>
            <w:r>
              <w:rPr>
                <w:sz w:val="24"/>
                <w:rtl/>
              </w:rPr>
              <w:t>הריבית הנקובה</w:t>
            </w:r>
          </w:p>
        </w:tc>
        <w:tc>
          <w:tcPr>
            <w:tcW w:w="1247" w:type="dxa"/>
          </w:tcPr>
          <w:p w:rsidR="005155DC" w:rsidRDefault="005155DC">
            <w:pPr>
              <w:spacing w:line="240" w:lineRule="auto"/>
              <w:rPr>
                <w:sz w:val="24"/>
              </w:rPr>
            </w:pPr>
            <w:r>
              <w:rPr>
                <w:sz w:val="24"/>
                <w:rtl/>
              </w:rPr>
              <w:t xml:space="preserve">סעיף 7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7" w:tooltip="הריבית הצמודה" w:history="1">
              <w:r>
                <w:rPr>
                  <w:rStyle w:val="Hyperlink"/>
                </w:rPr>
                <w:t>Go</w:t>
              </w:r>
            </w:hyperlink>
          </w:p>
        </w:tc>
        <w:tc>
          <w:tcPr>
            <w:tcW w:w="5669" w:type="dxa"/>
          </w:tcPr>
          <w:p w:rsidR="005155DC" w:rsidRDefault="005155DC">
            <w:pPr>
              <w:spacing w:line="240" w:lineRule="auto"/>
              <w:rPr>
                <w:sz w:val="24"/>
                <w:rtl/>
              </w:rPr>
            </w:pPr>
            <w:r>
              <w:rPr>
                <w:sz w:val="24"/>
                <w:rtl/>
              </w:rPr>
              <w:t>הריבית הצמודה</w:t>
            </w:r>
          </w:p>
        </w:tc>
        <w:tc>
          <w:tcPr>
            <w:tcW w:w="1247" w:type="dxa"/>
          </w:tcPr>
          <w:p w:rsidR="005155DC" w:rsidRDefault="005155DC">
            <w:pPr>
              <w:spacing w:line="240" w:lineRule="auto"/>
              <w:rPr>
                <w:sz w:val="24"/>
              </w:rPr>
            </w:pPr>
            <w:r>
              <w:rPr>
                <w:sz w:val="24"/>
                <w:rtl/>
              </w:rPr>
              <w:t xml:space="preserve">סעיף 8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8" w:tooltip="תנאי ההצמדה" w:history="1">
              <w:r>
                <w:rPr>
                  <w:rStyle w:val="Hyperlink"/>
                </w:rPr>
                <w:t>Go</w:t>
              </w:r>
            </w:hyperlink>
          </w:p>
        </w:tc>
        <w:tc>
          <w:tcPr>
            <w:tcW w:w="5669" w:type="dxa"/>
          </w:tcPr>
          <w:p w:rsidR="005155DC" w:rsidRDefault="005155DC">
            <w:pPr>
              <w:spacing w:line="240" w:lineRule="auto"/>
              <w:rPr>
                <w:sz w:val="24"/>
                <w:rtl/>
              </w:rPr>
            </w:pPr>
            <w:r>
              <w:rPr>
                <w:sz w:val="24"/>
                <w:rtl/>
              </w:rPr>
              <w:t>תנאי ההצמדה</w:t>
            </w:r>
          </w:p>
        </w:tc>
        <w:tc>
          <w:tcPr>
            <w:tcW w:w="1247" w:type="dxa"/>
          </w:tcPr>
          <w:p w:rsidR="005155DC" w:rsidRDefault="005155DC">
            <w:pPr>
              <w:spacing w:line="240" w:lineRule="auto"/>
              <w:rPr>
                <w:sz w:val="24"/>
              </w:rPr>
            </w:pPr>
            <w:r>
              <w:rPr>
                <w:sz w:val="24"/>
                <w:rtl/>
              </w:rPr>
              <w:t xml:space="preserve">סעיף 9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9" w:tooltip="דרכי תשלום הריבית הצמודה" w:history="1">
              <w:r>
                <w:rPr>
                  <w:rStyle w:val="Hyperlink"/>
                </w:rPr>
                <w:t>Go</w:t>
              </w:r>
            </w:hyperlink>
          </w:p>
        </w:tc>
        <w:tc>
          <w:tcPr>
            <w:tcW w:w="5669" w:type="dxa"/>
          </w:tcPr>
          <w:p w:rsidR="005155DC" w:rsidRDefault="005155DC">
            <w:pPr>
              <w:spacing w:line="240" w:lineRule="auto"/>
              <w:rPr>
                <w:sz w:val="24"/>
                <w:rtl/>
              </w:rPr>
            </w:pPr>
            <w:r>
              <w:rPr>
                <w:sz w:val="24"/>
                <w:rtl/>
              </w:rPr>
              <w:t>דרכי תשלום הריבית הצמודה</w:t>
            </w:r>
          </w:p>
        </w:tc>
        <w:tc>
          <w:tcPr>
            <w:tcW w:w="1247" w:type="dxa"/>
          </w:tcPr>
          <w:p w:rsidR="005155DC" w:rsidRDefault="005155DC">
            <w:pPr>
              <w:spacing w:line="240" w:lineRule="auto"/>
              <w:rPr>
                <w:sz w:val="24"/>
              </w:rPr>
            </w:pPr>
            <w:r>
              <w:rPr>
                <w:sz w:val="24"/>
                <w:rtl/>
              </w:rPr>
              <w:t xml:space="preserve">סעיף 10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10" w:tooltip="פדיון" w:history="1">
              <w:r>
                <w:rPr>
                  <w:rStyle w:val="Hyperlink"/>
                </w:rPr>
                <w:t>Go</w:t>
              </w:r>
            </w:hyperlink>
          </w:p>
        </w:tc>
        <w:tc>
          <w:tcPr>
            <w:tcW w:w="5669" w:type="dxa"/>
          </w:tcPr>
          <w:p w:rsidR="005155DC" w:rsidRDefault="005155DC">
            <w:pPr>
              <w:spacing w:line="240" w:lineRule="auto"/>
              <w:rPr>
                <w:sz w:val="24"/>
                <w:rtl/>
              </w:rPr>
            </w:pPr>
            <w:r>
              <w:rPr>
                <w:sz w:val="24"/>
                <w:rtl/>
              </w:rPr>
              <w:t>פדיון</w:t>
            </w:r>
          </w:p>
        </w:tc>
        <w:tc>
          <w:tcPr>
            <w:tcW w:w="1247" w:type="dxa"/>
          </w:tcPr>
          <w:p w:rsidR="005155DC" w:rsidRDefault="005155DC">
            <w:pPr>
              <w:spacing w:line="240" w:lineRule="auto"/>
              <w:rPr>
                <w:sz w:val="24"/>
              </w:rPr>
            </w:pPr>
            <w:r>
              <w:rPr>
                <w:sz w:val="24"/>
                <w:rtl/>
              </w:rPr>
              <w:t xml:space="preserve">סעיף 11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11" w:tooltip="דרכי פדיון" w:history="1">
              <w:r>
                <w:rPr>
                  <w:rStyle w:val="Hyperlink"/>
                </w:rPr>
                <w:t>Go</w:t>
              </w:r>
            </w:hyperlink>
          </w:p>
        </w:tc>
        <w:tc>
          <w:tcPr>
            <w:tcW w:w="5669" w:type="dxa"/>
          </w:tcPr>
          <w:p w:rsidR="005155DC" w:rsidRDefault="005155DC">
            <w:pPr>
              <w:spacing w:line="240" w:lineRule="auto"/>
              <w:rPr>
                <w:sz w:val="24"/>
                <w:rtl/>
              </w:rPr>
            </w:pPr>
            <w:r>
              <w:rPr>
                <w:sz w:val="24"/>
                <w:rtl/>
              </w:rPr>
              <w:t>דרכי פדיון</w:t>
            </w:r>
          </w:p>
        </w:tc>
        <w:tc>
          <w:tcPr>
            <w:tcW w:w="1247" w:type="dxa"/>
          </w:tcPr>
          <w:p w:rsidR="005155DC" w:rsidRDefault="005155DC">
            <w:pPr>
              <w:spacing w:line="240" w:lineRule="auto"/>
              <w:rPr>
                <w:sz w:val="24"/>
              </w:rPr>
            </w:pPr>
            <w:r>
              <w:rPr>
                <w:sz w:val="24"/>
                <w:rtl/>
              </w:rPr>
              <w:t xml:space="preserve">סעיף 12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E9417C">
              <w:rPr>
                <w:noProof/>
                <w:sz w:val="24"/>
                <w:rtl/>
              </w:rPr>
              <w:t>3</w:t>
            </w:r>
            <w:r>
              <w:rPr>
                <w:sz w:val="24"/>
                <w:rtl/>
              </w:rPr>
              <w:fldChar w:fldCharType="end"/>
            </w:r>
          </w:p>
        </w:tc>
        <w:tc>
          <w:tcPr>
            <w:tcW w:w="567" w:type="dxa"/>
          </w:tcPr>
          <w:p w:rsidR="005155DC" w:rsidRDefault="005155DC">
            <w:pPr>
              <w:spacing w:line="240" w:lineRule="auto"/>
              <w:rPr>
                <w:sz w:val="24"/>
              </w:rPr>
            </w:pPr>
            <w:hyperlink w:anchor="Seif12" w:tooltip="פטור ממס הכנסה" w:history="1">
              <w:r>
                <w:rPr>
                  <w:rStyle w:val="Hyperlink"/>
                </w:rPr>
                <w:t>Go</w:t>
              </w:r>
            </w:hyperlink>
          </w:p>
        </w:tc>
        <w:tc>
          <w:tcPr>
            <w:tcW w:w="5669" w:type="dxa"/>
          </w:tcPr>
          <w:p w:rsidR="005155DC" w:rsidRDefault="005155DC">
            <w:pPr>
              <w:spacing w:line="240" w:lineRule="auto"/>
              <w:rPr>
                <w:sz w:val="24"/>
                <w:rtl/>
              </w:rPr>
            </w:pPr>
            <w:r>
              <w:rPr>
                <w:sz w:val="24"/>
                <w:rtl/>
              </w:rPr>
              <w:t>פטור ממס הכנסה</w:t>
            </w:r>
          </w:p>
        </w:tc>
        <w:tc>
          <w:tcPr>
            <w:tcW w:w="1247" w:type="dxa"/>
          </w:tcPr>
          <w:p w:rsidR="005155DC" w:rsidRDefault="005155DC">
            <w:pPr>
              <w:spacing w:line="240" w:lineRule="auto"/>
              <w:rPr>
                <w:sz w:val="24"/>
              </w:rPr>
            </w:pPr>
            <w:r>
              <w:rPr>
                <w:sz w:val="24"/>
                <w:rtl/>
              </w:rPr>
              <w:t xml:space="preserve">סעיף 13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Seif13" w:tooltip="סגירת הפנקס" w:history="1">
              <w:r>
                <w:rPr>
                  <w:rStyle w:val="Hyperlink"/>
                </w:rPr>
                <w:t>Go</w:t>
              </w:r>
            </w:hyperlink>
          </w:p>
        </w:tc>
        <w:tc>
          <w:tcPr>
            <w:tcW w:w="5669" w:type="dxa"/>
          </w:tcPr>
          <w:p w:rsidR="005155DC" w:rsidRDefault="005155DC">
            <w:pPr>
              <w:spacing w:line="240" w:lineRule="auto"/>
              <w:rPr>
                <w:sz w:val="24"/>
                <w:rtl/>
              </w:rPr>
            </w:pPr>
            <w:r>
              <w:rPr>
                <w:sz w:val="24"/>
                <w:rtl/>
              </w:rPr>
              <w:t>סגירת הפנקס</w:t>
            </w:r>
          </w:p>
        </w:tc>
        <w:tc>
          <w:tcPr>
            <w:tcW w:w="1247" w:type="dxa"/>
          </w:tcPr>
          <w:p w:rsidR="005155DC" w:rsidRDefault="005155DC">
            <w:pPr>
              <w:spacing w:line="240" w:lineRule="auto"/>
              <w:rPr>
                <w:sz w:val="24"/>
              </w:rPr>
            </w:pPr>
            <w:r>
              <w:rPr>
                <w:sz w:val="24"/>
                <w:rtl/>
              </w:rPr>
              <w:t xml:space="preserve">סעיף 14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Seif14" w:tooltip="מכירת איגרות החוב" w:history="1">
              <w:r>
                <w:rPr>
                  <w:rStyle w:val="Hyperlink"/>
                </w:rPr>
                <w:t>Go</w:t>
              </w:r>
            </w:hyperlink>
          </w:p>
        </w:tc>
        <w:tc>
          <w:tcPr>
            <w:tcW w:w="5669" w:type="dxa"/>
          </w:tcPr>
          <w:p w:rsidR="005155DC" w:rsidRDefault="005155DC">
            <w:pPr>
              <w:spacing w:line="240" w:lineRule="auto"/>
              <w:rPr>
                <w:sz w:val="24"/>
                <w:rtl/>
              </w:rPr>
            </w:pPr>
            <w:r>
              <w:rPr>
                <w:sz w:val="24"/>
                <w:rtl/>
              </w:rPr>
              <w:t>מכירת איגרות החוב</w:t>
            </w:r>
          </w:p>
        </w:tc>
        <w:tc>
          <w:tcPr>
            <w:tcW w:w="1247" w:type="dxa"/>
          </w:tcPr>
          <w:p w:rsidR="005155DC" w:rsidRDefault="005155DC">
            <w:pPr>
              <w:spacing w:line="240" w:lineRule="auto"/>
              <w:rPr>
                <w:sz w:val="24"/>
              </w:rPr>
            </w:pPr>
            <w:r>
              <w:rPr>
                <w:sz w:val="24"/>
                <w:rtl/>
              </w:rPr>
              <w:t xml:space="preserve">סעיף 15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Seif15" w:tooltip="עמלה" w:history="1">
              <w:r>
                <w:rPr>
                  <w:rStyle w:val="Hyperlink"/>
                </w:rPr>
                <w:t>Go</w:t>
              </w:r>
            </w:hyperlink>
          </w:p>
        </w:tc>
        <w:tc>
          <w:tcPr>
            <w:tcW w:w="5669" w:type="dxa"/>
          </w:tcPr>
          <w:p w:rsidR="005155DC" w:rsidRDefault="005155DC">
            <w:pPr>
              <w:spacing w:line="240" w:lineRule="auto"/>
              <w:rPr>
                <w:sz w:val="24"/>
                <w:rtl/>
              </w:rPr>
            </w:pPr>
            <w:r>
              <w:rPr>
                <w:sz w:val="24"/>
                <w:rtl/>
              </w:rPr>
              <w:t>עמלה</w:t>
            </w:r>
          </w:p>
        </w:tc>
        <w:tc>
          <w:tcPr>
            <w:tcW w:w="1247" w:type="dxa"/>
          </w:tcPr>
          <w:p w:rsidR="005155DC" w:rsidRDefault="005155DC">
            <w:pPr>
              <w:spacing w:line="240" w:lineRule="auto"/>
              <w:rPr>
                <w:sz w:val="24"/>
              </w:rPr>
            </w:pPr>
            <w:r>
              <w:rPr>
                <w:sz w:val="24"/>
                <w:rtl/>
              </w:rPr>
              <w:t xml:space="preserve">סעיף 16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Seif16" w:tooltip="תחולה" w:history="1">
              <w:r>
                <w:rPr>
                  <w:rStyle w:val="Hyperlink"/>
                </w:rPr>
                <w:t>Go</w:t>
              </w:r>
            </w:hyperlink>
          </w:p>
        </w:tc>
        <w:tc>
          <w:tcPr>
            <w:tcW w:w="5669" w:type="dxa"/>
          </w:tcPr>
          <w:p w:rsidR="005155DC" w:rsidRDefault="005155DC">
            <w:pPr>
              <w:spacing w:line="240" w:lineRule="auto"/>
              <w:rPr>
                <w:sz w:val="24"/>
                <w:rtl/>
              </w:rPr>
            </w:pPr>
            <w:r>
              <w:rPr>
                <w:sz w:val="24"/>
                <w:rtl/>
              </w:rPr>
              <w:t>תחולה</w:t>
            </w:r>
          </w:p>
        </w:tc>
        <w:tc>
          <w:tcPr>
            <w:tcW w:w="1247" w:type="dxa"/>
          </w:tcPr>
          <w:p w:rsidR="005155DC" w:rsidRDefault="005155DC">
            <w:pPr>
              <w:spacing w:line="240" w:lineRule="auto"/>
              <w:rPr>
                <w:sz w:val="24"/>
              </w:rPr>
            </w:pPr>
            <w:r>
              <w:rPr>
                <w:sz w:val="24"/>
                <w:rtl/>
              </w:rPr>
              <w:t xml:space="preserve">סעיף 17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Seif17" w:tooltip="תחילה" w:history="1">
              <w:r>
                <w:rPr>
                  <w:rStyle w:val="Hyperlink"/>
                </w:rPr>
                <w:t>Go</w:t>
              </w:r>
            </w:hyperlink>
          </w:p>
        </w:tc>
        <w:tc>
          <w:tcPr>
            <w:tcW w:w="5669" w:type="dxa"/>
          </w:tcPr>
          <w:p w:rsidR="005155DC" w:rsidRDefault="005155DC">
            <w:pPr>
              <w:spacing w:line="240" w:lineRule="auto"/>
              <w:rPr>
                <w:sz w:val="24"/>
                <w:rtl/>
              </w:rPr>
            </w:pPr>
            <w:r>
              <w:rPr>
                <w:sz w:val="24"/>
                <w:rtl/>
              </w:rPr>
              <w:t>תחילה</w:t>
            </w:r>
          </w:p>
        </w:tc>
        <w:tc>
          <w:tcPr>
            <w:tcW w:w="1247" w:type="dxa"/>
          </w:tcPr>
          <w:p w:rsidR="005155DC" w:rsidRDefault="005155DC">
            <w:pPr>
              <w:spacing w:line="240" w:lineRule="auto"/>
              <w:rPr>
                <w:sz w:val="24"/>
              </w:rPr>
            </w:pPr>
            <w:r>
              <w:rPr>
                <w:sz w:val="24"/>
                <w:rtl/>
              </w:rPr>
              <w:t xml:space="preserve">סעיף 18 </w:t>
            </w:r>
          </w:p>
        </w:tc>
      </w:tr>
      <w:tr w:rsidR="005155DC">
        <w:tblPrEx>
          <w:tblCellMar>
            <w:top w:w="0" w:type="dxa"/>
            <w:bottom w:w="0" w:type="dxa"/>
          </w:tblCellMar>
        </w:tblPrEx>
        <w:tc>
          <w:tcPr>
            <w:tcW w:w="850" w:type="dxa"/>
          </w:tcPr>
          <w:p w:rsidR="005155DC" w:rsidRDefault="005155DC">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E9417C">
              <w:rPr>
                <w:noProof/>
                <w:sz w:val="24"/>
                <w:rtl/>
              </w:rPr>
              <w:t>4</w:t>
            </w:r>
            <w:r>
              <w:rPr>
                <w:sz w:val="24"/>
                <w:rtl/>
              </w:rPr>
              <w:fldChar w:fldCharType="end"/>
            </w:r>
          </w:p>
        </w:tc>
        <w:tc>
          <w:tcPr>
            <w:tcW w:w="567" w:type="dxa"/>
          </w:tcPr>
          <w:p w:rsidR="005155DC" w:rsidRDefault="005155DC">
            <w:pPr>
              <w:spacing w:line="240" w:lineRule="auto"/>
              <w:rPr>
                <w:sz w:val="24"/>
              </w:rPr>
            </w:pPr>
            <w:hyperlink w:anchor="med0" w:tooltip="תוספת" w:history="1">
              <w:r>
                <w:rPr>
                  <w:rStyle w:val="Hyperlink"/>
                </w:rPr>
                <w:t>Go</w:t>
              </w:r>
            </w:hyperlink>
          </w:p>
        </w:tc>
        <w:tc>
          <w:tcPr>
            <w:tcW w:w="5669" w:type="dxa"/>
          </w:tcPr>
          <w:p w:rsidR="005155DC" w:rsidRDefault="005155DC">
            <w:pPr>
              <w:spacing w:line="240" w:lineRule="auto"/>
              <w:rPr>
                <w:sz w:val="24"/>
              </w:rPr>
            </w:pPr>
            <w:r>
              <w:rPr>
                <w:sz w:val="24"/>
                <w:rtl/>
              </w:rPr>
              <w:t>תוספת</w:t>
            </w:r>
          </w:p>
        </w:tc>
        <w:tc>
          <w:tcPr>
            <w:tcW w:w="1247" w:type="dxa"/>
          </w:tcPr>
          <w:p w:rsidR="005155DC" w:rsidRDefault="005155DC">
            <w:pPr>
              <w:spacing w:line="240" w:lineRule="auto"/>
              <w:rPr>
                <w:sz w:val="24"/>
              </w:rPr>
            </w:pPr>
          </w:p>
        </w:tc>
      </w:tr>
    </w:tbl>
    <w:p w:rsidR="005155DC" w:rsidRDefault="005155DC">
      <w:pPr>
        <w:pStyle w:val="big-header"/>
        <w:ind w:left="0" w:right="1134"/>
        <w:rPr>
          <w:rFonts w:cs="FrankRuehl"/>
          <w:sz w:val="32"/>
          <w:rtl/>
        </w:rPr>
      </w:pPr>
    </w:p>
    <w:p w:rsidR="005155DC" w:rsidRDefault="005155DC" w:rsidP="00A722F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מילווה המדינה (סדרות מסוג "גבע"), תשמ"ט</w:t>
      </w:r>
      <w:r w:rsidR="00E9417C">
        <w:rPr>
          <w:rFonts w:cs="FrankRuehl" w:hint="cs"/>
          <w:sz w:val="32"/>
          <w:rtl/>
        </w:rPr>
        <w:t>-</w:t>
      </w:r>
      <w:r>
        <w:rPr>
          <w:rFonts w:cs="FrankRuehl"/>
          <w:sz w:val="32"/>
          <w:rtl/>
        </w:rPr>
        <w:t>1989</w:t>
      </w:r>
      <w:r w:rsidR="00E9417C">
        <w:rPr>
          <w:rStyle w:val="a6"/>
          <w:rFonts w:cs="FrankRuehl"/>
          <w:sz w:val="32"/>
          <w:rtl/>
        </w:rPr>
        <w:footnoteReference w:customMarkFollows="1" w:id="1"/>
        <w:t>*</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11, 12 ו-15 לחוק מילווה המדינה, תשל"ט</w:t>
      </w:r>
      <w:r w:rsidR="003E7CD7">
        <w:rPr>
          <w:rStyle w:val="default"/>
          <w:rFonts w:cs="FrankRuehl" w:hint="cs"/>
          <w:rtl/>
        </w:rPr>
        <w:t>-</w:t>
      </w:r>
      <w:r>
        <w:rPr>
          <w:rStyle w:val="default"/>
          <w:rFonts w:cs="FrankRuehl"/>
          <w:rtl/>
        </w:rPr>
        <w:t>1979 (</w:t>
      </w:r>
      <w:r>
        <w:rPr>
          <w:rStyle w:val="default"/>
          <w:rFonts w:cs="FrankRuehl" w:hint="cs"/>
          <w:rtl/>
        </w:rPr>
        <w:t xml:space="preserve">להלן </w:t>
      </w:r>
      <w:r w:rsidR="003E7CD7">
        <w:rPr>
          <w:rStyle w:val="default"/>
          <w:rFonts w:cs="FrankRuehl" w:hint="cs"/>
          <w:rtl/>
        </w:rPr>
        <w:t>-</w:t>
      </w:r>
      <w:r>
        <w:rPr>
          <w:rStyle w:val="default"/>
          <w:rFonts w:cs="FrankRuehl"/>
          <w:rtl/>
        </w:rPr>
        <w:t xml:space="preserve"> </w:t>
      </w:r>
      <w:r>
        <w:rPr>
          <w:rStyle w:val="default"/>
          <w:rFonts w:cs="FrankRuehl" w:hint="cs"/>
          <w:rtl/>
        </w:rPr>
        <w:t xml:space="preserve">החוק), ולפי סעיף 15 לפקודת מס הכנסה (להלן </w:t>
      </w:r>
      <w:r w:rsidR="003E7CD7">
        <w:rPr>
          <w:rStyle w:val="default"/>
          <w:rFonts w:cs="FrankRuehl" w:hint="cs"/>
          <w:rtl/>
        </w:rPr>
        <w:t>-</w:t>
      </w:r>
      <w:r>
        <w:rPr>
          <w:rStyle w:val="default"/>
          <w:rFonts w:cs="FrankRuehl"/>
          <w:rtl/>
        </w:rPr>
        <w:t xml:space="preserve"> </w:t>
      </w:r>
      <w:r>
        <w:rPr>
          <w:rStyle w:val="default"/>
          <w:rFonts w:cs="FrankRuehl" w:hint="cs"/>
          <w:rtl/>
        </w:rPr>
        <w:t>הפקודה), ובאישור ועדת הכספים של הכנסת, אני מתקין תקנ</w:t>
      </w:r>
      <w:r>
        <w:rPr>
          <w:rStyle w:val="default"/>
          <w:rFonts w:cs="FrankRuehl"/>
          <w:rtl/>
        </w:rPr>
        <w:t>ות</w:t>
      </w:r>
      <w:r>
        <w:rPr>
          <w:rStyle w:val="default"/>
          <w:rFonts w:cs="FrankRuehl" w:hint="cs"/>
          <w:rtl/>
        </w:rPr>
        <w:t xml:space="preserve"> אלה:</w:t>
      </w:r>
    </w:p>
    <w:p w:rsidR="005155DC" w:rsidRDefault="005155D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65pt;z-index:251649024"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3E7CD7">
        <w:rPr>
          <w:rStyle w:val="default"/>
          <w:rFonts w:cs="FrankRuehl"/>
          <w:rtl/>
        </w:rPr>
        <w:t>–</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המחירים לצרכן" או "מדד" </w:t>
      </w:r>
      <w:r w:rsidR="003E7CD7">
        <w:rPr>
          <w:rStyle w:val="default"/>
          <w:rFonts w:cs="FrankRuehl" w:hint="cs"/>
          <w:rtl/>
        </w:rPr>
        <w:t>-</w:t>
      </w:r>
      <w:r>
        <w:rPr>
          <w:rStyle w:val="default"/>
          <w:rFonts w:cs="FrankRuehl"/>
          <w:rtl/>
        </w:rPr>
        <w:t xml:space="preserve"> </w:t>
      </w:r>
      <w:r>
        <w:rPr>
          <w:rStyle w:val="default"/>
          <w:rFonts w:cs="FrankRuehl" w:hint="cs"/>
          <w:rtl/>
        </w:rPr>
        <w:t>מדד המחירים לצרכן שקבעה הלשכה המרכזית לסטטיסטיקה, אף אם יתפרסם על ידי כל מוסד ממשלתי אחר, לרבות כל מדד רשמי אחר שי</w:t>
      </w:r>
      <w:r>
        <w:rPr>
          <w:rStyle w:val="default"/>
          <w:rFonts w:cs="FrankRuehl"/>
          <w:rtl/>
        </w:rPr>
        <w:t>ב</w:t>
      </w:r>
      <w:r>
        <w:rPr>
          <w:rStyle w:val="default"/>
          <w:rFonts w:cs="FrankRuehl" w:hint="cs"/>
          <w:rtl/>
        </w:rPr>
        <w:t xml:space="preserve">וא במקומו, בין שהוא בנוי על אותם נתונים שעליהם בנוי המדד הקיים ובין אם לאו; אם יבוא </w:t>
      </w:r>
      <w:r>
        <w:rPr>
          <w:rStyle w:val="default"/>
          <w:rFonts w:cs="FrankRuehl"/>
          <w:rtl/>
        </w:rPr>
        <w:t>מד</w:t>
      </w:r>
      <w:r>
        <w:rPr>
          <w:rStyle w:val="default"/>
          <w:rFonts w:cs="FrankRuehl" w:hint="cs"/>
          <w:rtl/>
        </w:rPr>
        <w:t>ד אחר, תקבע הלשכה המרכזית לסטטיסטיקה את היחס שבינו לבין המדד המוחלף;</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רן איגרת החוב" </w:t>
      </w:r>
      <w:r w:rsidR="003E7CD7">
        <w:rPr>
          <w:rStyle w:val="default"/>
          <w:rFonts w:cs="FrankRuehl" w:hint="cs"/>
          <w:rtl/>
        </w:rPr>
        <w:t>-</w:t>
      </w:r>
      <w:r>
        <w:rPr>
          <w:rStyle w:val="default"/>
          <w:rFonts w:cs="FrankRuehl"/>
          <w:rtl/>
        </w:rPr>
        <w:t xml:space="preserve"> </w:t>
      </w:r>
      <w:r>
        <w:rPr>
          <w:rStyle w:val="default"/>
          <w:rFonts w:cs="FrankRuehl" w:hint="cs"/>
          <w:rtl/>
        </w:rPr>
        <w:t>השווי הנקוב של איגרת החוב בצירוף הריבית הנקובה כמפורט בתקנה 7 ובצירוף הסכום הנוסף כמפורט בתקנה 10;</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ילווה קצר מועד" </w:t>
      </w:r>
      <w:r w:rsidR="003E7CD7">
        <w:rPr>
          <w:rStyle w:val="default"/>
          <w:rFonts w:cs="FrankRuehl" w:hint="cs"/>
          <w:rtl/>
        </w:rPr>
        <w:t>-</w:t>
      </w:r>
      <w:r>
        <w:rPr>
          <w:rStyle w:val="default"/>
          <w:rFonts w:cs="FrankRuehl"/>
          <w:rtl/>
        </w:rPr>
        <w:t xml:space="preserve"> </w:t>
      </w:r>
      <w:r>
        <w:rPr>
          <w:rStyle w:val="default"/>
          <w:rFonts w:cs="FrankRuehl" w:hint="cs"/>
          <w:rtl/>
        </w:rPr>
        <w:t>מילווה שהוצא על פי חוק מילווה קצר מועד, תשמ"ד</w:t>
      </w:r>
      <w:r w:rsidR="003E7CD7">
        <w:rPr>
          <w:rStyle w:val="default"/>
          <w:rFonts w:cs="FrankRuehl" w:hint="cs"/>
          <w:rtl/>
        </w:rPr>
        <w:t>-</w:t>
      </w:r>
      <w:r>
        <w:rPr>
          <w:rStyle w:val="default"/>
          <w:rFonts w:cs="FrankRuehl"/>
          <w:rtl/>
        </w:rPr>
        <w:t>1984;</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יעור התשואה השנתית המשוקללת של מילווה קצר מועד" </w:t>
      </w:r>
      <w:r w:rsidR="003E7CD7">
        <w:rPr>
          <w:rStyle w:val="default"/>
          <w:rFonts w:cs="FrankRuehl" w:hint="cs"/>
          <w:rtl/>
        </w:rPr>
        <w:t>-</w:t>
      </w:r>
      <w:r>
        <w:rPr>
          <w:rStyle w:val="default"/>
          <w:rFonts w:cs="FrankRuehl"/>
          <w:rtl/>
        </w:rPr>
        <w:t xml:space="preserve"> </w:t>
      </w:r>
      <w:r>
        <w:rPr>
          <w:rStyle w:val="default"/>
          <w:rFonts w:cs="FrankRuehl" w:hint="cs"/>
          <w:rtl/>
        </w:rPr>
        <w:t>שיעור התשואה השנתית המשוקללת של סדרות מילווה קצר מועד שנמכרו לציבור לראשונה, בהנפקות ובהצעות מכר, בחודש שקדם לח</w:t>
      </w:r>
      <w:r>
        <w:rPr>
          <w:rStyle w:val="default"/>
          <w:rFonts w:cs="FrankRuehl"/>
          <w:rtl/>
        </w:rPr>
        <w:t>ו</w:t>
      </w:r>
      <w:r>
        <w:rPr>
          <w:rStyle w:val="default"/>
          <w:rFonts w:cs="FrankRuehl" w:hint="cs"/>
          <w:rtl/>
        </w:rPr>
        <w:t xml:space="preserve">דש שבו הוצאה איגרת החוב או לחודש בו נקבעו תנאי הסדרה (להלן </w:t>
      </w:r>
      <w:r w:rsidR="003E7CD7">
        <w:rPr>
          <w:rStyle w:val="default"/>
          <w:rFonts w:cs="FrankRuehl" w:hint="cs"/>
          <w:rtl/>
        </w:rPr>
        <w:t>-</w:t>
      </w:r>
      <w:r>
        <w:rPr>
          <w:rStyle w:val="default"/>
          <w:rFonts w:cs="FrankRuehl"/>
          <w:rtl/>
        </w:rPr>
        <w:t xml:space="preserve"> </w:t>
      </w:r>
      <w:r>
        <w:rPr>
          <w:rStyle w:val="default"/>
          <w:rFonts w:cs="FrankRuehl" w:hint="cs"/>
          <w:rtl/>
        </w:rPr>
        <w:t>בחודש הקודם) ובלבד שיוב</w:t>
      </w:r>
      <w:r>
        <w:rPr>
          <w:rStyle w:val="default"/>
          <w:rFonts w:cs="FrankRuehl"/>
          <w:rtl/>
        </w:rPr>
        <w:t>או</w:t>
      </w:r>
      <w:r>
        <w:rPr>
          <w:rStyle w:val="default"/>
          <w:rFonts w:cs="FrankRuehl" w:hint="cs"/>
          <w:rtl/>
        </w:rPr>
        <w:t xml:space="preserve"> בחשבון הסדרות שנמכרו כאמור לפחות עד ליום העסקים השני שלפני תום החודש הקודם; אם לא נמכרו בחודש הקודם סדרות מילווה קצר מועד כאמור </w:t>
      </w:r>
      <w:r w:rsidR="003E7CD7">
        <w:rPr>
          <w:rStyle w:val="default"/>
          <w:rFonts w:cs="FrankRuehl" w:hint="cs"/>
          <w:rtl/>
        </w:rPr>
        <w:t>-</w:t>
      </w:r>
      <w:r>
        <w:rPr>
          <w:rStyle w:val="default"/>
          <w:rFonts w:cs="FrankRuehl"/>
          <w:rtl/>
        </w:rPr>
        <w:t xml:space="preserve"> </w:t>
      </w:r>
      <w:r>
        <w:rPr>
          <w:rStyle w:val="default"/>
          <w:rFonts w:cs="FrankRuehl" w:hint="cs"/>
          <w:rtl/>
        </w:rPr>
        <w:t xml:space="preserve">שיעור התשואה השנתית המשוקללת של סדרות </w:t>
      </w:r>
      <w:r>
        <w:rPr>
          <w:rStyle w:val="default"/>
          <w:rFonts w:cs="FrankRuehl"/>
          <w:rtl/>
        </w:rPr>
        <w:t>מ</w:t>
      </w:r>
      <w:r>
        <w:rPr>
          <w:rStyle w:val="default"/>
          <w:rFonts w:cs="FrankRuehl" w:hint="cs"/>
          <w:rtl/>
        </w:rPr>
        <w:t>ילווה קצר מועד שנמכרו לאחרונה במשך חודש לפני החודש שבו הוצאה איגרת החוב.</w:t>
      </w:r>
    </w:p>
    <w:p w:rsidR="005155DC" w:rsidRDefault="005155DC" w:rsidP="003E7CD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5pt;z-index:251650048"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 מסוג "גבע"</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סדרה</w:t>
      </w:r>
      <w:r>
        <w:rPr>
          <w:rStyle w:val="default"/>
          <w:rFonts w:cs="FrankRuehl"/>
          <w:rtl/>
        </w:rPr>
        <w:t xml:space="preserve"> ש</w:t>
      </w:r>
      <w:r>
        <w:rPr>
          <w:rStyle w:val="default"/>
          <w:rFonts w:cs="FrankRuehl" w:hint="cs"/>
          <w:rtl/>
        </w:rPr>
        <w:t>ל איגרות החוב מסוג "גבע" המוצאת על פי החוק תסומן במספר החל ב-4601 ובאות ותכונה "מילווה המדינה, תשל"ט</w:t>
      </w:r>
      <w:r w:rsidR="003E7CD7">
        <w:rPr>
          <w:rStyle w:val="default"/>
          <w:rFonts w:cs="FrankRuehl" w:hint="cs"/>
          <w:rtl/>
        </w:rPr>
        <w:t>-</w:t>
      </w:r>
      <w:r>
        <w:rPr>
          <w:rStyle w:val="default"/>
          <w:rFonts w:cs="FrankRuehl"/>
          <w:rtl/>
        </w:rPr>
        <w:t xml:space="preserve">1979", </w:t>
      </w:r>
      <w:r>
        <w:rPr>
          <w:rStyle w:val="default"/>
          <w:rFonts w:cs="FrankRuehl" w:hint="cs"/>
          <w:rtl/>
        </w:rPr>
        <w:t>בתוספת ציון מספר הסדרה.</w:t>
      </w:r>
    </w:p>
    <w:p w:rsidR="005155DC" w:rsidRDefault="005155DC">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1072" o:allowincell="f" filled="f" stroked="f" strokecolor="lime" strokeweight=".25pt">
            <v:textbox inset="0,0,0,0">
              <w:txbxContent>
                <w:p w:rsidR="005155DC" w:rsidRDefault="005155DC" w:rsidP="003E7CD7">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3E7CD7">
                    <w:rPr>
                      <w:rFonts w:cs="Miriam" w:hint="cs"/>
                      <w:sz w:val="18"/>
                      <w:szCs w:val="18"/>
                      <w:rtl/>
                    </w:rPr>
                    <w:t xml:space="preserve"> </w:t>
                  </w:r>
                  <w:r>
                    <w:rPr>
                      <w:rFonts w:cs="Miriam"/>
                      <w:sz w:val="18"/>
                      <w:szCs w:val="18"/>
                      <w:rtl/>
                    </w:rPr>
                    <w:t>על</w:t>
                  </w:r>
                  <w:r>
                    <w:rPr>
                      <w:rFonts w:cs="Miriam" w:hint="cs"/>
                      <w:sz w:val="18"/>
                      <w:szCs w:val="18"/>
                      <w:rtl/>
                    </w:rPr>
                    <w:t xml:space="preserve"> שם</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יוצאו כאיג</w:t>
      </w:r>
      <w:r>
        <w:rPr>
          <w:rStyle w:val="default"/>
          <w:rFonts w:cs="FrankRuehl"/>
          <w:rtl/>
        </w:rPr>
        <w:t>רו</w:t>
      </w:r>
      <w:r>
        <w:rPr>
          <w:rStyle w:val="default"/>
          <w:rFonts w:cs="FrankRuehl" w:hint="cs"/>
          <w:rtl/>
        </w:rPr>
        <w:t>ת חוב רשומות על שם.</w:t>
      </w:r>
    </w:p>
    <w:p w:rsidR="005155DC" w:rsidRDefault="005155DC">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9pt;z-index:251652096"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הש</w:t>
                  </w:r>
                  <w:r>
                    <w:rPr>
                      <w:rFonts w:cs="Miriam" w:hint="cs"/>
                      <w:sz w:val="18"/>
                      <w:szCs w:val="18"/>
                      <w:rtl/>
                    </w:rPr>
                    <w:t>ווי הנקוב</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גרות החוב יוצאו בשווי נקוב של 100 שקלים חדשים או כפולה של 100 שקלים חדשים.</w:t>
      </w:r>
    </w:p>
    <w:p w:rsidR="005155DC" w:rsidRDefault="005155DC" w:rsidP="003E7CD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53120" o:allowincell="f" filled="f" stroked="f" strokecolor="lime" strokeweight=".25pt">
            <v:textbox inset="0,0,0,0">
              <w:txbxContent>
                <w:p w:rsidR="005155DC" w:rsidRDefault="005155DC" w:rsidP="003E7CD7">
                  <w:pPr>
                    <w:spacing w:line="160" w:lineRule="exact"/>
                    <w:jc w:val="left"/>
                    <w:rPr>
                      <w:rFonts w:cs="Miriam"/>
                      <w:noProof/>
                      <w:sz w:val="18"/>
                      <w:szCs w:val="18"/>
                      <w:rtl/>
                    </w:rPr>
                  </w:pPr>
                  <w:r>
                    <w:rPr>
                      <w:rFonts w:cs="Miriam"/>
                      <w:sz w:val="18"/>
                      <w:szCs w:val="18"/>
                      <w:rtl/>
                    </w:rPr>
                    <w:t>שי</w:t>
                  </w:r>
                  <w:r>
                    <w:rPr>
                      <w:rFonts w:cs="Miriam" w:hint="cs"/>
                      <w:sz w:val="18"/>
                      <w:szCs w:val="18"/>
                      <w:rtl/>
                    </w:rPr>
                    <w:t>עור הנכיון,</w:t>
                  </w:r>
                  <w:r w:rsidR="003E7CD7">
                    <w:rPr>
                      <w:rFonts w:cs="Miriam" w:hint="cs"/>
                      <w:sz w:val="18"/>
                      <w:szCs w:val="18"/>
                      <w:rtl/>
                    </w:rPr>
                    <w:t xml:space="preserve"> </w:t>
                  </w:r>
                  <w:r>
                    <w:rPr>
                      <w:rFonts w:cs="Miriam"/>
                      <w:sz w:val="18"/>
                      <w:szCs w:val="18"/>
                      <w:rtl/>
                    </w:rPr>
                    <w:t>שי</w:t>
                  </w:r>
                  <w:r>
                    <w:rPr>
                      <w:rFonts w:cs="Miriam" w:hint="cs"/>
                      <w:sz w:val="18"/>
                      <w:szCs w:val="18"/>
                      <w:rtl/>
                    </w:rPr>
                    <w:t>עור הקולבון</w:t>
                  </w:r>
                  <w:r w:rsidR="003E7CD7">
                    <w:rPr>
                      <w:rFonts w:cs="Miriam" w:hint="cs"/>
                      <w:noProof/>
                      <w:sz w:val="18"/>
                      <w:szCs w:val="18"/>
                      <w:rtl/>
                    </w:rPr>
                    <w:t xml:space="preserve"> </w:t>
                  </w:r>
                  <w:r>
                    <w:rPr>
                      <w:rFonts w:cs="Miriam"/>
                      <w:sz w:val="18"/>
                      <w:szCs w:val="18"/>
                      <w:rtl/>
                    </w:rPr>
                    <w:t>וה</w:t>
                  </w:r>
                  <w:r>
                    <w:rPr>
                      <w:rFonts w:cs="Miriam" w:hint="cs"/>
                      <w:sz w:val="18"/>
                      <w:szCs w:val="18"/>
                      <w:rtl/>
                    </w:rPr>
                    <w:t>מחיר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או מי שהוא הסמיכו יקבע לגבי כל סדרה את שיעור הנכיון או הקולבון שבו יימכרו איגרות החוב; על המחיר לאחר הפחתת הנכיון או הוספת הקולבון יווסף</w:t>
      </w:r>
      <w:r>
        <w:rPr>
          <w:rStyle w:val="default"/>
          <w:rFonts w:cs="FrankRuehl"/>
          <w:rtl/>
        </w:rPr>
        <w:t xml:space="preserve"> ס</w:t>
      </w:r>
      <w:r>
        <w:rPr>
          <w:rStyle w:val="default"/>
          <w:rFonts w:cs="FrankRuehl" w:hint="cs"/>
          <w:rtl/>
        </w:rPr>
        <w:t xml:space="preserve">כום הריבית בשיעור שיקבע כאמור בסעיף 7 בעד התקופה שמיום הוצאת הסדרה הראשונה </w:t>
      </w:r>
      <w:r>
        <w:rPr>
          <w:rStyle w:val="default"/>
          <w:rFonts w:cs="FrankRuehl"/>
          <w:rtl/>
        </w:rPr>
        <w:t>ב</w:t>
      </w:r>
      <w:r>
        <w:rPr>
          <w:rStyle w:val="default"/>
          <w:rFonts w:cs="FrankRuehl" w:hint="cs"/>
          <w:rtl/>
        </w:rPr>
        <w:t xml:space="preserve">אותו חודש (להלן </w:t>
      </w:r>
      <w:r w:rsidR="003E7CD7">
        <w:rPr>
          <w:rStyle w:val="default"/>
          <w:rFonts w:cs="FrankRuehl" w:hint="cs"/>
          <w:rtl/>
        </w:rPr>
        <w:t>-</w:t>
      </w:r>
      <w:r>
        <w:rPr>
          <w:rStyle w:val="default"/>
          <w:rFonts w:cs="FrankRuehl"/>
          <w:rtl/>
        </w:rPr>
        <w:t xml:space="preserve"> </w:t>
      </w:r>
      <w:r>
        <w:rPr>
          <w:rStyle w:val="default"/>
          <w:rFonts w:cs="FrankRuehl" w:hint="cs"/>
          <w:rtl/>
        </w:rPr>
        <w:t>יום הוצאת הסדרה הראשונה) עד יום המכירה.</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שר האוצר לקבוע כי איגרות החוב יימכרו במכרז, ואז לא יחולו הוראות תקנת משנה (א) ויחו</w:t>
      </w:r>
      <w:r>
        <w:rPr>
          <w:rStyle w:val="default"/>
          <w:rFonts w:cs="FrankRuehl"/>
          <w:rtl/>
        </w:rPr>
        <w:t>לו</w:t>
      </w:r>
      <w:r>
        <w:rPr>
          <w:rStyle w:val="default"/>
          <w:rFonts w:cs="FrankRuehl" w:hint="cs"/>
          <w:rtl/>
        </w:rPr>
        <w:t xml:space="preserve"> על המכירה תקנות מילווה המדינה (מכרזים), תשמ"ד</w:t>
      </w:r>
      <w:r w:rsidR="003E7CD7">
        <w:rPr>
          <w:rStyle w:val="default"/>
          <w:rFonts w:cs="FrankRuehl" w:hint="cs"/>
          <w:rtl/>
        </w:rPr>
        <w:t>-</w:t>
      </w:r>
      <w:r>
        <w:rPr>
          <w:rStyle w:val="default"/>
          <w:rFonts w:cs="FrankRuehl"/>
          <w:rtl/>
        </w:rPr>
        <w:t xml:space="preserve">1984, </w:t>
      </w:r>
      <w:r>
        <w:rPr>
          <w:rStyle w:val="default"/>
          <w:rFonts w:cs="FrankRuehl" w:hint="cs"/>
          <w:rtl/>
        </w:rPr>
        <w:t>אלא אם כן נקבע אחרת לג</w:t>
      </w:r>
      <w:r>
        <w:rPr>
          <w:rStyle w:val="default"/>
          <w:rFonts w:cs="FrankRuehl"/>
          <w:rtl/>
        </w:rPr>
        <w:t>ב</w:t>
      </w:r>
      <w:r>
        <w:rPr>
          <w:rStyle w:val="default"/>
          <w:rFonts w:cs="FrankRuehl" w:hint="cs"/>
          <w:rtl/>
        </w:rPr>
        <w:t>י מקצת הסדרה.</w:t>
      </w:r>
    </w:p>
    <w:p w:rsidR="005155DC" w:rsidRDefault="005155D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sidR="003E7CD7">
        <w:rPr>
          <w:rStyle w:val="default"/>
          <w:rFonts w:cs="FrankRuehl"/>
          <w:rtl/>
        </w:rPr>
        <w:t>–</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כיון" (דיסאג'יו) </w:t>
      </w:r>
      <w:r w:rsidR="003E7CD7">
        <w:rPr>
          <w:rStyle w:val="default"/>
          <w:rFonts w:cs="FrankRuehl" w:hint="cs"/>
          <w:rtl/>
        </w:rPr>
        <w:t>-</w:t>
      </w:r>
      <w:r>
        <w:rPr>
          <w:rStyle w:val="default"/>
          <w:rFonts w:cs="FrankRuehl"/>
          <w:rtl/>
        </w:rPr>
        <w:t xml:space="preserve"> </w:t>
      </w:r>
      <w:r>
        <w:rPr>
          <w:rStyle w:val="default"/>
          <w:rFonts w:cs="FrankRuehl" w:hint="cs"/>
          <w:rtl/>
        </w:rPr>
        <w:t>ההפרש שבין הערך הנקוב של איגרת החוב ובין מחירה בעת ההנפקה, אם המחיר נמוך מהערך הנקוב;</w:t>
      </w:r>
    </w:p>
    <w:p w:rsidR="005155DC" w:rsidRDefault="005155DC" w:rsidP="003E7CD7">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ולבון" (אג'יו) </w:t>
      </w:r>
      <w:r w:rsidR="003E7CD7">
        <w:rPr>
          <w:rStyle w:val="default"/>
          <w:rFonts w:cs="FrankRuehl" w:hint="cs"/>
          <w:rtl/>
        </w:rPr>
        <w:t>-</w:t>
      </w:r>
      <w:r>
        <w:rPr>
          <w:rStyle w:val="default"/>
          <w:rFonts w:cs="FrankRuehl"/>
          <w:rtl/>
        </w:rPr>
        <w:t xml:space="preserve"> </w:t>
      </w:r>
      <w:r>
        <w:rPr>
          <w:rStyle w:val="default"/>
          <w:rFonts w:cs="FrankRuehl" w:hint="cs"/>
          <w:rtl/>
        </w:rPr>
        <w:t>ההפרש שבין הערך הנקו</w:t>
      </w:r>
      <w:r>
        <w:rPr>
          <w:rStyle w:val="default"/>
          <w:rFonts w:cs="FrankRuehl"/>
          <w:rtl/>
        </w:rPr>
        <w:t xml:space="preserve">ב </w:t>
      </w:r>
      <w:r>
        <w:rPr>
          <w:rStyle w:val="default"/>
          <w:rFonts w:cs="FrankRuehl" w:hint="cs"/>
          <w:rtl/>
        </w:rPr>
        <w:t>של איגרת החוב ובין מחירה בעת ההנפקה, אם המחיר גבוה מהערך הנקוב.</w:t>
      </w:r>
    </w:p>
    <w:p w:rsidR="005155DC" w:rsidRDefault="005155DC">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1pt;z-index:251654144"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נו</w:t>
                  </w:r>
                  <w:r>
                    <w:rPr>
                      <w:rFonts w:cs="Miriam" w:hint="cs"/>
                      <w:sz w:val="18"/>
                      <w:szCs w:val="18"/>
                      <w:rtl/>
                    </w:rPr>
                    <w:t>סח איגרות החוב</w:t>
                  </w:r>
                </w:p>
              </w:txbxContent>
            </v:textbox>
            <w10:anchorlock/>
          </v:rect>
        </w:pict>
      </w:r>
      <w:r>
        <w:rPr>
          <w:rStyle w:val="big-number"/>
          <w:rFonts w:cs="Miriam"/>
          <w:rtl/>
        </w:rPr>
        <w:t>6.</w:t>
      </w:r>
      <w:r>
        <w:rPr>
          <w:rStyle w:val="big-number"/>
          <w:rFonts w:cs="Miriam"/>
          <w:rtl/>
        </w:rPr>
        <w:tab/>
      </w:r>
      <w:r>
        <w:rPr>
          <w:rStyle w:val="default"/>
          <w:rFonts w:cs="FrankRuehl"/>
          <w:rtl/>
        </w:rPr>
        <w:t>אי</w:t>
      </w:r>
      <w:r>
        <w:rPr>
          <w:rStyle w:val="default"/>
          <w:rFonts w:cs="FrankRuehl" w:hint="cs"/>
          <w:rtl/>
        </w:rPr>
        <w:t>גרות החוב יהיו בנוסח שבתוספת.</w:t>
      </w:r>
    </w:p>
    <w:p w:rsidR="005155DC" w:rsidRDefault="005155DC">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55pt;z-index:251655168"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הר</w:t>
                  </w:r>
                  <w:r>
                    <w:rPr>
                      <w:rFonts w:cs="Miriam" w:hint="cs"/>
                      <w:sz w:val="18"/>
                      <w:szCs w:val="18"/>
                      <w:rtl/>
                    </w:rPr>
                    <w:t>יבית הנקובה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ישאו ריבית נקובה שתחושב על בסיס שנתי בעד תקופה של שנה אחת החל ביום ה-25 בחודש שבו הוצאה האיגרת.</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או מי שהוא הסמיכו יקבע ל</w:t>
      </w:r>
      <w:r>
        <w:rPr>
          <w:rStyle w:val="default"/>
          <w:rFonts w:cs="FrankRuehl"/>
          <w:rtl/>
        </w:rPr>
        <w:t>גב</w:t>
      </w:r>
      <w:r>
        <w:rPr>
          <w:rStyle w:val="default"/>
          <w:rFonts w:cs="FrankRuehl" w:hint="cs"/>
          <w:rtl/>
        </w:rPr>
        <w:t>י כל סדרה את שיעור הריבית הנקובה, בהתחשב</w:t>
      </w:r>
      <w:r>
        <w:rPr>
          <w:rStyle w:val="default"/>
          <w:rFonts w:cs="FrankRuehl"/>
          <w:rtl/>
        </w:rPr>
        <w:t xml:space="preserve"> </w:t>
      </w:r>
      <w:r>
        <w:rPr>
          <w:rStyle w:val="default"/>
          <w:rFonts w:cs="FrankRuehl" w:hint="cs"/>
          <w:rtl/>
        </w:rPr>
        <w:t>בשיעור התשואה השנתית המשוקללת של מילווה קצר מועד או בתשואות בבורסה על סדרות מילווה קצר מועד בחודש הקודם.</w:t>
      </w:r>
    </w:p>
    <w:p w:rsidR="005155DC" w:rsidRDefault="005155DC" w:rsidP="003E7CD7">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ריבית הנקובה תיזקף בתום שנה כאמור בתקנת משנה (א) (להלן </w:t>
      </w:r>
      <w:r w:rsidR="003E7CD7">
        <w:rPr>
          <w:rStyle w:val="default"/>
          <w:rFonts w:cs="FrankRuehl" w:hint="cs"/>
          <w:rtl/>
        </w:rPr>
        <w:t>-</w:t>
      </w:r>
      <w:r>
        <w:rPr>
          <w:rStyle w:val="default"/>
          <w:rFonts w:cs="FrankRuehl"/>
          <w:rtl/>
        </w:rPr>
        <w:t xml:space="preserve"> </w:t>
      </w:r>
      <w:r>
        <w:rPr>
          <w:rStyle w:val="default"/>
          <w:rFonts w:cs="FrankRuehl" w:hint="cs"/>
          <w:rtl/>
        </w:rPr>
        <w:t>תום תקופת הריבית הנקובה), ותיחשב מאותו מועד כ</w:t>
      </w:r>
      <w:r>
        <w:rPr>
          <w:rStyle w:val="default"/>
          <w:rFonts w:cs="FrankRuehl"/>
          <w:rtl/>
        </w:rPr>
        <w:t>חל</w:t>
      </w:r>
      <w:r>
        <w:rPr>
          <w:rStyle w:val="default"/>
          <w:rFonts w:cs="FrankRuehl" w:hint="cs"/>
          <w:rtl/>
        </w:rPr>
        <w:t>ק מן הקרן.</w:t>
      </w:r>
    </w:p>
    <w:p w:rsidR="005155DC" w:rsidRDefault="005155DC" w:rsidP="003E7CD7">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3.95pt;z-index:251656192"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הר</w:t>
                  </w:r>
                  <w:r>
                    <w:rPr>
                      <w:rFonts w:cs="Miriam" w:hint="cs"/>
                      <w:sz w:val="18"/>
                      <w:szCs w:val="18"/>
                      <w:rtl/>
                    </w:rPr>
                    <w:t>יבית הצמודה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ן היום הראשון לאחר תום תקופת הריבית הנקובה ועד מועד פדיון איגרות החוב ישאו איגרות החוב ריבית שתהיה צמודה למדד כמפורט בתקנה 9 (להלן </w:t>
      </w:r>
      <w:r w:rsidR="003E7CD7">
        <w:rPr>
          <w:rStyle w:val="default"/>
          <w:rFonts w:cs="FrankRuehl" w:hint="cs"/>
          <w:rtl/>
        </w:rPr>
        <w:t>-</w:t>
      </w:r>
      <w:r>
        <w:rPr>
          <w:rStyle w:val="default"/>
          <w:rFonts w:cs="FrankRuehl"/>
          <w:rtl/>
        </w:rPr>
        <w:t xml:space="preserve"> </w:t>
      </w:r>
      <w:r>
        <w:rPr>
          <w:rStyle w:val="default"/>
          <w:rFonts w:cs="FrankRuehl" w:hint="cs"/>
          <w:rtl/>
        </w:rPr>
        <w:t>ריבית צמודה); הריבית הצמודה תחושב על בסיס שנתי.</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או מי שהוא ה</w:t>
      </w:r>
      <w:r>
        <w:rPr>
          <w:rStyle w:val="default"/>
          <w:rFonts w:cs="FrankRuehl"/>
          <w:rtl/>
        </w:rPr>
        <w:t>סמ</w:t>
      </w:r>
      <w:r>
        <w:rPr>
          <w:rStyle w:val="default"/>
          <w:rFonts w:cs="FrankRuehl" w:hint="cs"/>
          <w:rtl/>
        </w:rPr>
        <w:t>יכו יקבע לגבי כל סדרה את שיעור הריבית הצמודה, ובלבד ששיעור זה לא יפחת מ-2% לשנה ולא יעלה על 8% לשנה.</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ריבית הצמודה תשולם אחת לשנה, ביום העסקים האחרון שלפני ה-26 בחודש שבו הוצאה האיגרת, בחודש בו תמה שנה מן המועד שבו איגרת החוב נושאת ריבית צמודה.</w:t>
      </w:r>
    </w:p>
    <w:p w:rsidR="005155DC" w:rsidRDefault="005155DC" w:rsidP="003E7CD7">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8.9pt;z-index:251657216"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תנ</w:t>
                  </w:r>
                  <w:r>
                    <w:rPr>
                      <w:rFonts w:cs="Miriam" w:hint="cs"/>
                      <w:sz w:val="18"/>
                      <w:szCs w:val="18"/>
                      <w:rtl/>
                    </w:rPr>
                    <w:t>אי ההצמדה</w:t>
                  </w:r>
                </w:p>
              </w:txbxContent>
            </v:textbox>
            <w10:anchorlock/>
          </v:rect>
        </w:pict>
      </w:r>
      <w:r>
        <w:rPr>
          <w:rStyle w:val="big-number"/>
          <w:rFonts w:cs="Miriam"/>
          <w:rtl/>
        </w:rPr>
        <w:t>9.</w:t>
      </w:r>
      <w:r>
        <w:rPr>
          <w:rStyle w:val="big-number"/>
          <w:rFonts w:cs="Miriam"/>
          <w:rtl/>
        </w:rPr>
        <w:tab/>
      </w:r>
      <w:r>
        <w:rPr>
          <w:rStyle w:val="default"/>
          <w:rFonts w:cs="FrankRuehl"/>
          <w:rtl/>
        </w:rPr>
        <w:t>קר</w:t>
      </w:r>
      <w:r>
        <w:rPr>
          <w:rStyle w:val="default"/>
          <w:rFonts w:cs="FrankRuehl" w:hint="cs"/>
          <w:rtl/>
        </w:rPr>
        <w:t>ן איגרת חו</w:t>
      </w:r>
      <w:r>
        <w:rPr>
          <w:rStyle w:val="default"/>
          <w:rFonts w:cs="FrankRuehl"/>
          <w:rtl/>
        </w:rPr>
        <w:t>ב</w:t>
      </w:r>
      <w:r>
        <w:rPr>
          <w:rStyle w:val="default"/>
          <w:rFonts w:cs="FrankRuehl" w:hint="cs"/>
          <w:rtl/>
        </w:rPr>
        <w:t xml:space="preserve"> והריבית הצמודה המשתלמת עליה יהיו צמודים למדד המחירים לצרכן כלהלן: אם יתברר מתוך המדד שפורסם בחודש בו חל הפרעון של קרן או של ריבית צמודה כלשהן (להלן </w:t>
      </w:r>
      <w:r w:rsidR="003E7CD7">
        <w:rPr>
          <w:rStyle w:val="default"/>
          <w:rFonts w:cs="FrankRuehl" w:hint="cs"/>
          <w:rtl/>
        </w:rPr>
        <w:t>-</w:t>
      </w:r>
      <w:r>
        <w:rPr>
          <w:rStyle w:val="default"/>
          <w:rFonts w:cs="FrankRuehl"/>
          <w:rtl/>
        </w:rPr>
        <w:t xml:space="preserve"> </w:t>
      </w:r>
      <w:r>
        <w:rPr>
          <w:rStyle w:val="default"/>
          <w:rFonts w:cs="FrankRuehl" w:hint="cs"/>
          <w:rtl/>
        </w:rPr>
        <w:t xml:space="preserve">המדד החדש), כי המדד החדש עלה לעומת המדד שפורסם לחודש שבו חל תום תקופת הריבית הנקובה (להלן </w:t>
      </w:r>
      <w:r w:rsidR="003E7CD7">
        <w:rPr>
          <w:rStyle w:val="default"/>
          <w:rFonts w:cs="FrankRuehl" w:hint="cs"/>
          <w:rtl/>
        </w:rPr>
        <w:t>-</w:t>
      </w:r>
      <w:r>
        <w:rPr>
          <w:rStyle w:val="default"/>
          <w:rFonts w:cs="FrankRuehl" w:hint="cs"/>
          <w:rtl/>
        </w:rPr>
        <w:t xml:space="preserve"> ה</w:t>
      </w:r>
      <w:r>
        <w:rPr>
          <w:rStyle w:val="default"/>
          <w:rFonts w:cs="FrankRuehl"/>
          <w:rtl/>
        </w:rPr>
        <w:t>מ</w:t>
      </w:r>
      <w:r>
        <w:rPr>
          <w:rStyle w:val="default"/>
          <w:rFonts w:cs="FrankRuehl" w:hint="cs"/>
          <w:rtl/>
        </w:rPr>
        <w:t>דד היסודי)</w:t>
      </w:r>
      <w:r>
        <w:rPr>
          <w:rStyle w:val="default"/>
          <w:rFonts w:cs="FrankRuehl"/>
          <w:rtl/>
        </w:rPr>
        <w:t xml:space="preserve"> </w:t>
      </w:r>
      <w:r>
        <w:rPr>
          <w:rStyle w:val="default"/>
          <w:rFonts w:cs="FrankRuehl" w:hint="cs"/>
          <w:rtl/>
        </w:rPr>
        <w:t xml:space="preserve">ישולמו אותה קרן או אותה ריבית צמודה כשהן מוגדלות בשיעור העליה של המדד החדש לעומת המדד היסודי; ואולם אם המדד שיפורסם עבור החודש שבו חל הפרעון (להלן </w:t>
      </w:r>
      <w:r w:rsidR="003E7CD7">
        <w:rPr>
          <w:rStyle w:val="default"/>
          <w:rFonts w:cs="FrankRuehl" w:hint="cs"/>
          <w:rtl/>
        </w:rPr>
        <w:t>-</w:t>
      </w:r>
      <w:r>
        <w:rPr>
          <w:rStyle w:val="default"/>
          <w:rFonts w:cs="FrankRuehl"/>
          <w:rtl/>
        </w:rPr>
        <w:t xml:space="preserve"> </w:t>
      </w:r>
      <w:r>
        <w:rPr>
          <w:rStyle w:val="default"/>
          <w:rFonts w:cs="FrankRuehl" w:hint="cs"/>
          <w:rtl/>
        </w:rPr>
        <w:t xml:space="preserve">המדד העוקב) יהיה גבוה ביותר מ-5% לעומת המדד החדש, ייזקף פיצוי נוסף על הקרן או הריבית ששולמו,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 xml:space="preserve">עור ההפרש </w:t>
      </w:r>
      <w:r>
        <w:rPr>
          <w:rStyle w:val="default"/>
          <w:rFonts w:cs="FrankRuehl"/>
          <w:rtl/>
        </w:rPr>
        <w:t>ש</w:t>
      </w:r>
      <w:r>
        <w:rPr>
          <w:rStyle w:val="default"/>
          <w:rFonts w:cs="FrankRuehl" w:hint="cs"/>
          <w:rtl/>
        </w:rPr>
        <w:t xml:space="preserve">מעל לאותם 5% (להלן </w:t>
      </w:r>
      <w:r w:rsidR="003E7CD7">
        <w:rPr>
          <w:rStyle w:val="default"/>
          <w:rFonts w:cs="FrankRuehl" w:hint="cs"/>
          <w:rtl/>
        </w:rPr>
        <w:t>-</w:t>
      </w:r>
      <w:r>
        <w:rPr>
          <w:rStyle w:val="default"/>
          <w:rFonts w:cs="FrankRuehl"/>
          <w:rtl/>
        </w:rPr>
        <w:t xml:space="preserve"> </w:t>
      </w:r>
      <w:r>
        <w:rPr>
          <w:rStyle w:val="default"/>
          <w:rFonts w:cs="FrankRuehl" w:hint="cs"/>
          <w:rtl/>
        </w:rPr>
        <w:t>הסכום הנוסף).</w:t>
      </w:r>
    </w:p>
    <w:p w:rsidR="005155DC" w:rsidRDefault="005155DC">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3.4pt;z-index:251658240" o:allowincell="f" filled="f" stroked="f" strokecolor="lime" strokeweight=".25pt">
            <v:textbox inset="0,0,0,0">
              <w:txbxContent>
                <w:p w:rsidR="005155DC" w:rsidRDefault="005155DC" w:rsidP="003E7CD7">
                  <w:pPr>
                    <w:spacing w:line="160" w:lineRule="exact"/>
                    <w:jc w:val="left"/>
                    <w:rPr>
                      <w:rFonts w:cs="Miriam"/>
                      <w:noProof/>
                      <w:sz w:val="18"/>
                      <w:szCs w:val="18"/>
                      <w:rtl/>
                    </w:rPr>
                  </w:pPr>
                  <w:r>
                    <w:rPr>
                      <w:rFonts w:cs="Miriam"/>
                      <w:sz w:val="18"/>
                      <w:szCs w:val="18"/>
                      <w:rtl/>
                    </w:rPr>
                    <w:t>דר</w:t>
                  </w:r>
                  <w:r>
                    <w:rPr>
                      <w:rFonts w:cs="Miriam" w:hint="cs"/>
                      <w:sz w:val="18"/>
                      <w:szCs w:val="18"/>
                      <w:rtl/>
                    </w:rPr>
                    <w:t>כי תשלום</w:t>
                  </w:r>
                  <w:r w:rsidR="003E7CD7">
                    <w:rPr>
                      <w:rFonts w:cs="Miriam" w:hint="cs"/>
                      <w:sz w:val="18"/>
                      <w:szCs w:val="18"/>
                      <w:rtl/>
                    </w:rPr>
                    <w:t xml:space="preserve"> </w:t>
                  </w:r>
                  <w:r>
                    <w:rPr>
                      <w:rFonts w:cs="Miriam"/>
                      <w:sz w:val="18"/>
                      <w:szCs w:val="18"/>
                      <w:rtl/>
                    </w:rPr>
                    <w:t>הר</w:t>
                  </w:r>
                  <w:r>
                    <w:rPr>
                      <w:rFonts w:cs="Miriam" w:hint="cs"/>
                      <w:sz w:val="18"/>
                      <w:szCs w:val="18"/>
                      <w:rtl/>
                    </w:rPr>
                    <w:t>יבית הצמודה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הריבית הצמודה על איגרות החוב, כפי שישתנה עקב תנאי ההצמדה עד פרסום המדד החדש ישולם לבעל איגרת החוב, על ידי זיכוי חשבונו בבנק כפי שהורה בעת רכישת האיגרת או כפי שהורה עד מועד שלא יהי</w:t>
      </w:r>
      <w:r>
        <w:rPr>
          <w:rStyle w:val="default"/>
          <w:rFonts w:cs="FrankRuehl"/>
          <w:rtl/>
        </w:rPr>
        <w:t>ה</w:t>
      </w:r>
      <w:r>
        <w:rPr>
          <w:rStyle w:val="default"/>
          <w:rFonts w:cs="FrankRuehl" w:hint="cs"/>
          <w:rtl/>
        </w:rPr>
        <w:t xml:space="preserve"> מאוחר מ-30 ימ</w:t>
      </w:r>
      <w:r>
        <w:rPr>
          <w:rStyle w:val="default"/>
          <w:rFonts w:cs="FrankRuehl"/>
          <w:rtl/>
        </w:rPr>
        <w:t>ים</w:t>
      </w:r>
      <w:r>
        <w:rPr>
          <w:rStyle w:val="default"/>
          <w:rFonts w:cs="FrankRuehl" w:hint="cs"/>
          <w:rtl/>
        </w:rPr>
        <w:t xml:space="preserve"> לפני מועד תשלום ריבית כלשהו.</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ריבית הצמודה עבור תקופת הריבית האחרונה תשולם במועד פדיון הקרן כאמור בתקנה 11 ותחושב בעד התקופה שממועד תשלום הריבית הקודם ועד למועד פדיון קרן איגרת החוב.</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הנוסף על הריבית הצמודה ייזקף כריבית נדח</w:t>
      </w:r>
      <w:r>
        <w:rPr>
          <w:rStyle w:val="default"/>
          <w:rFonts w:cs="FrankRuehl"/>
          <w:rtl/>
        </w:rPr>
        <w:t>י</w:t>
      </w:r>
      <w:r>
        <w:rPr>
          <w:rStyle w:val="default"/>
          <w:rFonts w:cs="FrankRuehl" w:hint="cs"/>
          <w:rtl/>
        </w:rPr>
        <w:t xml:space="preserve">ת שתשולם בתום </w:t>
      </w:r>
      <w:r>
        <w:rPr>
          <w:rStyle w:val="default"/>
          <w:rFonts w:cs="FrankRuehl"/>
          <w:rtl/>
        </w:rPr>
        <w:t>תק</w:t>
      </w:r>
      <w:r>
        <w:rPr>
          <w:rStyle w:val="default"/>
          <w:rFonts w:cs="FrankRuehl" w:hint="cs"/>
          <w:rtl/>
        </w:rPr>
        <w:t>ופת המילווה; הסכום הנוסף לא ישא ריבית אך יהיה צמוד למדד; המדד היסודי לצורך חישוב ההצמדה יהיה המדד העוקב המתאים, לפי הענין, והמדד החדש יהיה כמוגדר בתקנה 9.</w:t>
      </w:r>
    </w:p>
    <w:p w:rsidR="005155DC" w:rsidRDefault="005155DC" w:rsidP="003E7CD7">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5pt;z-index:251659264"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יגרות החוב יוצאו לתקופה שבין ארבעים ושמונה לשבעים וארבעה חדשים מיום הוצאת הסדרה (להלן </w:t>
      </w:r>
      <w:r w:rsidR="003E7CD7">
        <w:rPr>
          <w:rStyle w:val="default"/>
          <w:rFonts w:cs="FrankRuehl" w:hint="cs"/>
          <w:rtl/>
        </w:rPr>
        <w:t>-</w:t>
      </w:r>
      <w:r>
        <w:rPr>
          <w:rStyle w:val="default"/>
          <w:rFonts w:cs="FrankRuehl"/>
          <w:rtl/>
        </w:rPr>
        <w:t xml:space="preserve"> </w:t>
      </w:r>
      <w:r>
        <w:rPr>
          <w:rStyle w:val="default"/>
          <w:rFonts w:cs="FrankRuehl" w:hint="cs"/>
          <w:rtl/>
        </w:rPr>
        <w:t>ת</w:t>
      </w:r>
      <w:r>
        <w:rPr>
          <w:rStyle w:val="default"/>
          <w:rFonts w:cs="FrankRuehl"/>
          <w:rtl/>
        </w:rPr>
        <w:t>קו</w:t>
      </w:r>
      <w:r>
        <w:rPr>
          <w:rStyle w:val="default"/>
          <w:rFonts w:cs="FrankRuehl" w:hint="cs"/>
          <w:rtl/>
        </w:rPr>
        <w:t>פת המילווה).</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יגרות החוב ייפדו במלואן ביום העסקים האחרון שלפני ה-26 בחודש שבו תמה תקופת המילווה לפי הקבוע לאותה סידרה וכמצויין באיגרת החוב; מהמועד שנקבע לפדיונן ואילך לא ישאו איגרות החוב ריבית ולא יובאו בחשבון הפרשי הצמדה.</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הנוסף על הקרן ועל התשלומים המשתלמים, על פי תקנות אלה, בעת הפדיון, ישולם בדרך האמורה בתקנה 10(א) ביום העסקים האחרון שלפני ה-26 בחודש שבו פורסם המדד העוקב.</w:t>
      </w:r>
    </w:p>
    <w:p w:rsidR="005155DC" w:rsidRDefault="005155DC">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3.05pt;z-index:251660288"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דר</w:t>
                  </w:r>
                  <w:r>
                    <w:rPr>
                      <w:rFonts w:cs="Miriam" w:hint="cs"/>
                      <w:sz w:val="18"/>
                      <w:szCs w:val="18"/>
                      <w:rtl/>
                    </w:rPr>
                    <w:t>כי פדיון</w:t>
                  </w:r>
                </w:p>
              </w:txbxContent>
            </v:textbox>
            <w10:anchorlock/>
          </v:rect>
        </w:pict>
      </w:r>
      <w:r>
        <w:rPr>
          <w:rStyle w:val="big-number"/>
          <w:rFonts w:cs="Miriam"/>
          <w:rtl/>
        </w:rPr>
        <w:t>12.</w:t>
      </w:r>
      <w:r>
        <w:rPr>
          <w:rStyle w:val="big-number"/>
          <w:rFonts w:cs="Miriam"/>
          <w:rtl/>
        </w:rPr>
        <w:tab/>
      </w:r>
      <w:r>
        <w:rPr>
          <w:rStyle w:val="default"/>
          <w:rFonts w:cs="FrankRuehl"/>
          <w:rtl/>
        </w:rPr>
        <w:t>סכ</w:t>
      </w:r>
      <w:r>
        <w:rPr>
          <w:rStyle w:val="default"/>
          <w:rFonts w:cs="FrankRuehl" w:hint="cs"/>
          <w:rtl/>
        </w:rPr>
        <w:t>ום הפדיון של איגרת החוב, כפי שישתנה עקב תנאי ההצמדה, ישולם לבעל הרשום בדרך האמורה ב</w:t>
      </w:r>
      <w:r>
        <w:rPr>
          <w:rStyle w:val="default"/>
          <w:rFonts w:cs="FrankRuehl"/>
          <w:rtl/>
        </w:rPr>
        <w:t>תק</w:t>
      </w:r>
      <w:r>
        <w:rPr>
          <w:rStyle w:val="default"/>
          <w:rFonts w:cs="FrankRuehl" w:hint="cs"/>
          <w:rtl/>
        </w:rPr>
        <w:t>נה 10(א); הוצאו לבעל הרשום איגרות חוב, ישולם הסכום כאמור לאחר שימסור אותן למינהלה, במישרין או באמצעות בנק.</w:t>
      </w:r>
    </w:p>
    <w:p w:rsidR="005155DC" w:rsidRDefault="005155DC">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1.9pt;z-index:251661312"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פט</w:t>
                  </w:r>
                  <w:r>
                    <w:rPr>
                      <w:rFonts w:cs="Miriam" w:hint="cs"/>
                      <w:sz w:val="18"/>
                      <w:szCs w:val="18"/>
                      <w:rtl/>
                    </w:rPr>
                    <w:t>ור ממס הכנסה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הכנסה מן הריבית הצמודה המשתלמת על קרן איגרות החוב תהיה פטורה מן המס המוטל על הכנסה, </w:t>
      </w:r>
      <w:r>
        <w:rPr>
          <w:rStyle w:val="default"/>
          <w:rFonts w:cs="FrankRuehl"/>
          <w:rtl/>
        </w:rPr>
        <w:t>ח</w:t>
      </w:r>
      <w:r>
        <w:rPr>
          <w:rStyle w:val="default"/>
          <w:rFonts w:cs="FrankRuehl" w:hint="cs"/>
          <w:rtl/>
        </w:rPr>
        <w:t>וץ מן המס שיש לנכותו לפי סעיף 161 לפקודת מס הכנסה, כ</w:t>
      </w:r>
      <w:r>
        <w:rPr>
          <w:rStyle w:val="default"/>
          <w:rFonts w:cs="FrankRuehl"/>
          <w:rtl/>
        </w:rPr>
        <w:t>נו</w:t>
      </w:r>
      <w:r>
        <w:rPr>
          <w:rStyle w:val="default"/>
          <w:rFonts w:cs="FrankRuehl" w:hint="cs"/>
          <w:rtl/>
        </w:rPr>
        <w:t>סחו ביום הוצאתן.</w:t>
      </w:r>
    </w:p>
    <w:p w:rsidR="005155DC" w:rsidRDefault="005155D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הכנסה מן הריבית הנקובה הנצברת על איגרות החוב תהיה פטורה מן המס המוטל על הכנסה.</w:t>
      </w:r>
    </w:p>
    <w:p w:rsidR="005155DC" w:rsidRDefault="005155DC">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2.55pt;z-index:251662336"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סג</w:t>
                  </w:r>
                  <w:r>
                    <w:rPr>
                      <w:rFonts w:cs="Miriam" w:hint="cs"/>
                      <w:sz w:val="18"/>
                      <w:szCs w:val="18"/>
                      <w:rtl/>
                    </w:rPr>
                    <w:t>ירת הפנקס</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ינהלה רשאית לסגור את הפנקס שלושים ימים לפני מועד הפרעון של כל סכום קרן או ריבית ולא לרשום בו כל העברת איגרות חוב.</w:t>
      </w:r>
    </w:p>
    <w:p w:rsidR="005155DC" w:rsidRDefault="005155DC" w:rsidP="003E7CD7">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5.5pt;z-index:251663360"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מכ</w:t>
                  </w:r>
                  <w:r>
                    <w:rPr>
                      <w:rFonts w:cs="Miriam" w:hint="cs"/>
                      <w:sz w:val="18"/>
                      <w:szCs w:val="18"/>
                      <w:rtl/>
                    </w:rPr>
                    <w:t>ירת איגרות החוב</w:t>
                  </w:r>
                </w:p>
              </w:txbxContent>
            </v:textbox>
            <w10:anchorlock/>
          </v:rect>
        </w:pict>
      </w:r>
      <w:r>
        <w:rPr>
          <w:rStyle w:val="big-number"/>
          <w:rFonts w:cs="Miriam"/>
          <w:rtl/>
        </w:rPr>
        <w:t>15.</w:t>
      </w:r>
      <w:r>
        <w:rPr>
          <w:rStyle w:val="big-number"/>
          <w:rFonts w:cs="Miriam"/>
          <w:rtl/>
        </w:rPr>
        <w:tab/>
      </w:r>
      <w:r>
        <w:rPr>
          <w:rStyle w:val="default"/>
          <w:rFonts w:cs="FrankRuehl"/>
          <w:rtl/>
        </w:rPr>
        <w:t>אי</w:t>
      </w:r>
      <w:r>
        <w:rPr>
          <w:rStyle w:val="default"/>
          <w:rFonts w:cs="FrankRuehl" w:hint="cs"/>
          <w:rtl/>
        </w:rPr>
        <w:t>גרות החוב יימכרו באמצעות</w:t>
      </w:r>
      <w:r>
        <w:rPr>
          <w:rStyle w:val="default"/>
          <w:rFonts w:cs="FrankRuehl"/>
          <w:rtl/>
        </w:rPr>
        <w:t xml:space="preserve"> ב</w:t>
      </w:r>
      <w:r>
        <w:rPr>
          <w:rStyle w:val="default"/>
          <w:rFonts w:cs="FrankRuehl" w:hint="cs"/>
          <w:rtl/>
        </w:rPr>
        <w:t>נק ישראל, בנק הדואר, תאגיד בנקאי כמשמעותו בחוק הבנקאות (רישוי), תשמ"א</w:t>
      </w:r>
      <w:r w:rsidR="003E7CD7">
        <w:rPr>
          <w:rStyle w:val="default"/>
          <w:rFonts w:cs="FrankRuehl" w:hint="cs"/>
          <w:rtl/>
        </w:rPr>
        <w:t>-</w:t>
      </w:r>
      <w:r>
        <w:rPr>
          <w:rStyle w:val="default"/>
          <w:rFonts w:cs="FrankRuehl"/>
          <w:rtl/>
        </w:rPr>
        <w:t xml:space="preserve">1981, </w:t>
      </w:r>
      <w:r>
        <w:rPr>
          <w:rStyle w:val="default"/>
          <w:rFonts w:cs="FrankRuehl" w:hint="cs"/>
          <w:rtl/>
        </w:rPr>
        <w:t>חברי הבורסה לניירות ערך בתל-אביב בע"מ או "גמול" חבררה להשקעות בע"מ.</w:t>
      </w:r>
    </w:p>
    <w:p w:rsidR="005155DC" w:rsidRDefault="005155DC">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4.35pt;z-index:251664384"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עמ</w:t>
                  </w:r>
                  <w:r>
                    <w:rPr>
                      <w:rFonts w:cs="Miriam" w:hint="cs"/>
                      <w:sz w:val="18"/>
                      <w:szCs w:val="18"/>
                      <w:rtl/>
                    </w:rPr>
                    <w:t>לה</w:t>
                  </w:r>
                </w:p>
              </w:txbxContent>
            </v:textbox>
            <w10:anchorlock/>
          </v:rect>
        </w:pict>
      </w:r>
      <w:r>
        <w:rPr>
          <w:rStyle w:val="big-number"/>
          <w:rFonts w:cs="Miriam"/>
          <w:rtl/>
        </w:rPr>
        <w:t>16.</w:t>
      </w:r>
      <w:r>
        <w:rPr>
          <w:rStyle w:val="big-number"/>
          <w:rFonts w:cs="Miriam"/>
          <w:rtl/>
        </w:rPr>
        <w:tab/>
      </w:r>
      <w:r>
        <w:rPr>
          <w:rStyle w:val="default"/>
          <w:rFonts w:cs="FrankRuehl"/>
          <w:rtl/>
        </w:rPr>
        <w:t>הע</w:t>
      </w:r>
      <w:r>
        <w:rPr>
          <w:rStyle w:val="default"/>
          <w:rFonts w:cs="FrankRuehl" w:hint="cs"/>
          <w:rtl/>
        </w:rPr>
        <w:t>מלה שתשול</w:t>
      </w:r>
      <w:r>
        <w:rPr>
          <w:rStyle w:val="default"/>
          <w:rFonts w:cs="FrankRuehl"/>
          <w:rtl/>
        </w:rPr>
        <w:t>ם</w:t>
      </w:r>
      <w:r>
        <w:rPr>
          <w:rStyle w:val="default"/>
          <w:rFonts w:cs="FrankRuehl" w:hint="cs"/>
          <w:rtl/>
        </w:rPr>
        <w:t xml:space="preserve"> לאדם שקיבל על עצמו הפצת איגרות החוב לא תעלה על 2% מהשווי הנקוב של איגרות החוב.</w:t>
      </w:r>
    </w:p>
    <w:p w:rsidR="005155DC" w:rsidRDefault="005155DC">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5.05pt;z-index:251665408"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17.</w:t>
      </w:r>
      <w:r>
        <w:rPr>
          <w:rStyle w:val="big-number"/>
          <w:rFonts w:cs="Miriam"/>
          <w:rtl/>
        </w:rPr>
        <w:tab/>
      </w:r>
      <w:r>
        <w:rPr>
          <w:rStyle w:val="default"/>
          <w:rFonts w:cs="FrankRuehl"/>
          <w:rtl/>
        </w:rPr>
        <w:t>חל</w:t>
      </w:r>
      <w:r>
        <w:rPr>
          <w:rStyle w:val="default"/>
          <w:rFonts w:cs="FrankRuehl" w:hint="cs"/>
          <w:rtl/>
        </w:rPr>
        <w:t xml:space="preserve"> מועד </w:t>
      </w:r>
      <w:r>
        <w:rPr>
          <w:rStyle w:val="default"/>
          <w:rFonts w:cs="FrankRuehl"/>
          <w:rtl/>
        </w:rPr>
        <w:t>הנ</w:t>
      </w:r>
      <w:r>
        <w:rPr>
          <w:rStyle w:val="default"/>
          <w:rFonts w:cs="FrankRuehl" w:hint="cs"/>
          <w:rtl/>
        </w:rPr>
        <w:t>קוב בתקנות אלה ביום שאינו יום עסקים, יוקדם המועד הנקוב לענין התשלום ליום העסקים שלפניו, אלא אם כן נקבע אחרת בתקנות אלה.</w:t>
      </w:r>
    </w:p>
    <w:p w:rsidR="005155DC" w:rsidRDefault="005155DC">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5.7pt;z-index:251666432" o:allowincell="f" filled="f" stroked="f" strokecolor="lime" strokeweight=".25pt">
            <v:textbox inset="0,0,0,0">
              <w:txbxContent>
                <w:p w:rsidR="005155DC" w:rsidRDefault="005155D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18.</w:t>
      </w:r>
      <w:r>
        <w:rPr>
          <w:rStyle w:val="big-number"/>
          <w:rFonts w:cs="Miriam"/>
          <w:rtl/>
        </w:rPr>
        <w:tab/>
      </w:r>
      <w:r>
        <w:rPr>
          <w:rStyle w:val="default"/>
          <w:rFonts w:cs="FrankRuehl"/>
          <w:rtl/>
        </w:rPr>
        <w:t>תח</w:t>
      </w:r>
      <w:r>
        <w:rPr>
          <w:rStyle w:val="default"/>
          <w:rFonts w:cs="FrankRuehl" w:hint="cs"/>
          <w:rtl/>
        </w:rPr>
        <w:t>ילתן של תקנות אלה ביום י"ח בסיון תשמ"ט (21 ביוני 1989).</w:t>
      </w:r>
    </w:p>
    <w:p w:rsidR="005155DC" w:rsidRPr="003E7CD7" w:rsidRDefault="005155DC" w:rsidP="003E7CD7">
      <w:pPr>
        <w:pStyle w:val="P00"/>
        <w:spacing w:before="72"/>
        <w:ind w:left="0" w:right="1134"/>
        <w:rPr>
          <w:rStyle w:val="default"/>
          <w:rFonts w:cs="FrankRuehl"/>
          <w:rtl/>
        </w:rPr>
      </w:pPr>
    </w:p>
    <w:p w:rsidR="005155DC" w:rsidRPr="003E7CD7" w:rsidRDefault="005155DC">
      <w:pPr>
        <w:pStyle w:val="medium2-header"/>
        <w:keepLines w:val="0"/>
        <w:spacing w:before="72"/>
        <w:ind w:left="0" w:right="1134"/>
        <w:rPr>
          <w:rFonts w:cs="FrankRuehl"/>
          <w:noProof/>
          <w:sz w:val="26"/>
          <w:szCs w:val="26"/>
          <w:rtl/>
        </w:rPr>
      </w:pPr>
      <w:bookmarkStart w:id="18" w:name="med0"/>
      <w:bookmarkEnd w:id="18"/>
      <w:r w:rsidRPr="003E7CD7">
        <w:rPr>
          <w:rFonts w:cs="FrankRuehl"/>
          <w:noProof/>
          <w:sz w:val="26"/>
          <w:szCs w:val="26"/>
          <w:rtl/>
        </w:rPr>
        <w:t>תו</w:t>
      </w:r>
      <w:r w:rsidRPr="003E7CD7">
        <w:rPr>
          <w:rFonts w:cs="FrankRuehl" w:hint="cs"/>
          <w:noProof/>
          <w:sz w:val="26"/>
          <w:szCs w:val="26"/>
          <w:rtl/>
        </w:rPr>
        <w:t>ספת</w:t>
      </w:r>
    </w:p>
    <w:p w:rsidR="005155DC" w:rsidRPr="003E7CD7" w:rsidRDefault="005155DC">
      <w:pPr>
        <w:pStyle w:val="medium-header"/>
        <w:keepNext w:val="0"/>
        <w:keepLines w:val="0"/>
        <w:ind w:left="0" w:right="1134"/>
        <w:rPr>
          <w:rFonts w:cs="FrankRuehl"/>
          <w:sz w:val="24"/>
          <w:szCs w:val="24"/>
          <w:rtl/>
        </w:rPr>
      </w:pPr>
      <w:r w:rsidRPr="003E7CD7">
        <w:rPr>
          <w:rFonts w:cs="FrankRuehl"/>
          <w:sz w:val="24"/>
          <w:szCs w:val="24"/>
          <w:rtl/>
        </w:rPr>
        <w:t>(ת</w:t>
      </w:r>
      <w:r w:rsidRPr="003E7CD7">
        <w:rPr>
          <w:rFonts w:cs="FrankRuehl" w:hint="cs"/>
          <w:sz w:val="24"/>
          <w:szCs w:val="24"/>
          <w:rtl/>
        </w:rPr>
        <w:t>קנה 6)</w:t>
      </w:r>
    </w:p>
    <w:p w:rsidR="005155DC" w:rsidRDefault="005155DC">
      <w:pPr>
        <w:pStyle w:val="header-2"/>
        <w:ind w:left="0" w:right="1134"/>
        <w:rPr>
          <w:rFonts w:cs="Miriam"/>
          <w:rtl/>
        </w:rPr>
      </w:pPr>
      <w:r>
        <w:rPr>
          <w:rFonts w:cs="Miriam"/>
          <w:rtl/>
        </w:rPr>
        <w:t>נו</w:t>
      </w:r>
      <w:r>
        <w:rPr>
          <w:rFonts w:cs="Miriam" w:hint="cs"/>
          <w:rtl/>
        </w:rPr>
        <w:t>סח איגרות החוב</w:t>
      </w:r>
    </w:p>
    <w:p w:rsidR="005155DC" w:rsidRPr="003E7CD7" w:rsidRDefault="005155DC">
      <w:pPr>
        <w:pStyle w:val="medium-header"/>
        <w:keepNext w:val="0"/>
        <w:keepLines w:val="0"/>
        <w:ind w:left="0" w:right="1134"/>
        <w:rPr>
          <w:rFonts w:cs="FrankRuehl"/>
          <w:sz w:val="24"/>
          <w:szCs w:val="24"/>
          <w:rtl/>
        </w:rPr>
      </w:pPr>
      <w:r w:rsidRPr="003E7CD7">
        <w:rPr>
          <w:rFonts w:cs="FrankRuehl"/>
          <w:sz w:val="24"/>
          <w:szCs w:val="24"/>
          <w:rtl/>
        </w:rPr>
        <w:t>מד</w:t>
      </w:r>
      <w:r w:rsidRPr="003E7CD7">
        <w:rPr>
          <w:rFonts w:cs="FrankRuehl" w:hint="cs"/>
          <w:sz w:val="24"/>
          <w:szCs w:val="24"/>
          <w:rtl/>
        </w:rPr>
        <w:t>ינת ישראל</w:t>
      </w:r>
    </w:p>
    <w:p w:rsidR="005155DC" w:rsidRPr="003E7CD7" w:rsidRDefault="005155DC" w:rsidP="003E7CD7">
      <w:pPr>
        <w:pStyle w:val="medium-header"/>
        <w:keepNext w:val="0"/>
        <w:keepLines w:val="0"/>
        <w:ind w:left="0" w:right="1134"/>
        <w:rPr>
          <w:rFonts w:cs="FrankRuehl"/>
          <w:sz w:val="24"/>
          <w:szCs w:val="24"/>
          <w:rtl/>
        </w:rPr>
      </w:pPr>
      <w:r w:rsidRPr="003E7CD7">
        <w:rPr>
          <w:rFonts w:cs="FrankRuehl" w:hint="cs"/>
          <w:sz w:val="24"/>
          <w:szCs w:val="24"/>
          <w:rtl/>
        </w:rPr>
        <w:t>מ</w:t>
      </w:r>
      <w:r w:rsidRPr="003E7CD7">
        <w:rPr>
          <w:rFonts w:cs="FrankRuehl"/>
          <w:sz w:val="24"/>
          <w:szCs w:val="24"/>
          <w:rtl/>
        </w:rPr>
        <w:t>י</w:t>
      </w:r>
      <w:r w:rsidRPr="003E7CD7">
        <w:rPr>
          <w:rFonts w:cs="FrankRuehl" w:hint="cs"/>
          <w:sz w:val="24"/>
          <w:szCs w:val="24"/>
          <w:rtl/>
        </w:rPr>
        <w:t>לווה המדינה, תשל"ט</w:t>
      </w:r>
      <w:r w:rsidR="003E7CD7" w:rsidRPr="003E7CD7">
        <w:rPr>
          <w:rFonts w:cs="FrankRuehl" w:hint="cs"/>
          <w:sz w:val="24"/>
          <w:szCs w:val="24"/>
          <w:rtl/>
        </w:rPr>
        <w:t>-</w:t>
      </w:r>
      <w:r w:rsidRPr="003E7CD7">
        <w:rPr>
          <w:rFonts w:cs="FrankRuehl"/>
          <w:sz w:val="24"/>
          <w:szCs w:val="24"/>
          <w:rtl/>
        </w:rPr>
        <w:t>1979</w:t>
      </w:r>
    </w:p>
    <w:p w:rsidR="005155DC" w:rsidRDefault="005155DC" w:rsidP="003E7CD7">
      <w:pPr>
        <w:pStyle w:val="medium-header"/>
        <w:keepNext w:val="0"/>
        <w:keepLines w:val="0"/>
        <w:tabs>
          <w:tab w:val="clear" w:pos="624"/>
          <w:tab w:val="clear" w:pos="1021"/>
          <w:tab w:val="clear" w:pos="1474"/>
          <w:tab w:val="clear" w:pos="1928"/>
          <w:tab w:val="clear" w:pos="2381"/>
          <w:tab w:val="clear" w:pos="2835"/>
          <w:tab w:val="right" w:pos="7938"/>
        </w:tabs>
        <w:ind w:left="0" w:right="1134"/>
        <w:jc w:val="both"/>
        <w:rPr>
          <w:rFonts w:cs="FrankRuehl"/>
          <w:sz w:val="26"/>
          <w:rtl/>
        </w:rPr>
      </w:pPr>
      <w:r>
        <w:rPr>
          <w:rFonts w:cs="FrankRuehl" w:hint="cs"/>
          <w:sz w:val="26"/>
          <w:rtl/>
        </w:rPr>
        <w:t>מ</w:t>
      </w:r>
      <w:r>
        <w:rPr>
          <w:rFonts w:cs="FrankRuehl"/>
          <w:sz w:val="26"/>
          <w:rtl/>
        </w:rPr>
        <w:t>ס</w:t>
      </w:r>
      <w:r>
        <w:rPr>
          <w:rFonts w:cs="FrankRuehl" w:hint="cs"/>
          <w:sz w:val="26"/>
          <w:rtl/>
        </w:rPr>
        <w:t>' סידורי</w:t>
      </w:r>
      <w:r w:rsidR="003E7CD7">
        <w:rPr>
          <w:rFonts w:cs="FrankRuehl" w:hint="cs"/>
          <w:sz w:val="26"/>
          <w:rtl/>
        </w:rPr>
        <w:t xml:space="preserve"> </w:t>
      </w:r>
      <w:r w:rsidR="003E7CD7">
        <w:rPr>
          <w:rFonts w:cs="FrankRuehl"/>
          <w:sz w:val="26"/>
          <w:rtl/>
        </w:rPr>
        <w:fldChar w:fldCharType="begin">
          <w:ffData>
            <w:name w:val="Text1"/>
            <w:enabled/>
            <w:calcOnExit w:val="0"/>
            <w:textInput/>
          </w:ffData>
        </w:fldChar>
      </w:r>
      <w:bookmarkStart w:id="19" w:name="Text1"/>
      <w:r w:rsidR="003E7CD7">
        <w:rPr>
          <w:rFonts w:cs="FrankRuehl"/>
          <w:sz w:val="26"/>
          <w:rtl/>
        </w:rPr>
        <w:instrText xml:space="preserve"> </w:instrText>
      </w:r>
      <w:r w:rsidR="003E7CD7">
        <w:rPr>
          <w:rFonts w:cs="FrankRuehl" w:hint="cs"/>
          <w:sz w:val="26"/>
        </w:rPr>
        <w:instrText>FORMTEXT</w:instrText>
      </w:r>
      <w:r w:rsidR="003E7CD7">
        <w:rPr>
          <w:rFonts w:cs="FrankRuehl"/>
          <w:sz w:val="26"/>
          <w:rtl/>
        </w:rPr>
        <w:instrText xml:space="preserve"> </w:instrText>
      </w:r>
      <w:r w:rsidR="001405B1" w:rsidRPr="003E7CD7">
        <w:rPr>
          <w:rFonts w:cs="FrankRuehl"/>
          <w:sz w:val="26"/>
        </w:rPr>
      </w:r>
      <w:r w:rsidR="003E7CD7">
        <w:rPr>
          <w:rFonts w:cs="FrankRuehl"/>
          <w:sz w:val="26"/>
          <w:rtl/>
        </w:rPr>
        <w:fldChar w:fldCharType="separate"/>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fldChar w:fldCharType="end"/>
      </w:r>
      <w:bookmarkEnd w:id="19"/>
      <w:r w:rsidR="003E7CD7">
        <w:rPr>
          <w:rFonts w:cs="FrankRuehl" w:hint="cs"/>
          <w:sz w:val="26"/>
          <w:rtl/>
        </w:rPr>
        <w:tab/>
      </w:r>
      <w:r>
        <w:rPr>
          <w:rFonts w:cs="FrankRuehl" w:hint="cs"/>
          <w:sz w:val="26"/>
          <w:rtl/>
        </w:rPr>
        <w:t>סדרה</w:t>
      </w:r>
      <w:r w:rsidR="003E7CD7">
        <w:rPr>
          <w:rFonts w:cs="FrankRuehl" w:hint="cs"/>
          <w:sz w:val="26"/>
          <w:rtl/>
        </w:rPr>
        <w:t xml:space="preserve"> </w:t>
      </w:r>
      <w:r w:rsidR="003E7CD7">
        <w:rPr>
          <w:rFonts w:cs="FrankRuehl"/>
          <w:sz w:val="26"/>
          <w:rtl/>
        </w:rPr>
        <w:fldChar w:fldCharType="begin">
          <w:ffData>
            <w:name w:val="Text2"/>
            <w:enabled/>
            <w:calcOnExit w:val="0"/>
            <w:textInput/>
          </w:ffData>
        </w:fldChar>
      </w:r>
      <w:bookmarkStart w:id="20" w:name="Text2"/>
      <w:r w:rsidR="003E7CD7">
        <w:rPr>
          <w:rFonts w:cs="FrankRuehl"/>
          <w:sz w:val="26"/>
          <w:rtl/>
        </w:rPr>
        <w:instrText xml:space="preserve"> </w:instrText>
      </w:r>
      <w:r w:rsidR="003E7CD7">
        <w:rPr>
          <w:rFonts w:cs="FrankRuehl" w:hint="cs"/>
          <w:sz w:val="26"/>
        </w:rPr>
        <w:instrText>FORMTEXT</w:instrText>
      </w:r>
      <w:r w:rsidR="003E7CD7">
        <w:rPr>
          <w:rFonts w:cs="FrankRuehl"/>
          <w:sz w:val="26"/>
          <w:rtl/>
        </w:rPr>
        <w:instrText xml:space="preserve"> </w:instrText>
      </w:r>
      <w:r w:rsidR="001405B1" w:rsidRPr="003E7CD7">
        <w:rPr>
          <w:rFonts w:cs="FrankRuehl"/>
          <w:sz w:val="26"/>
        </w:rPr>
      </w:r>
      <w:r w:rsidR="003E7CD7">
        <w:rPr>
          <w:rFonts w:cs="FrankRuehl"/>
          <w:sz w:val="26"/>
          <w:rtl/>
        </w:rPr>
        <w:fldChar w:fldCharType="separate"/>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t> </w:t>
      </w:r>
      <w:r w:rsidR="003E7CD7">
        <w:rPr>
          <w:rFonts w:cs="FrankRuehl"/>
          <w:sz w:val="26"/>
          <w:rtl/>
        </w:rPr>
        <w:fldChar w:fldCharType="end"/>
      </w:r>
      <w:bookmarkEnd w:id="20"/>
    </w:p>
    <w:p w:rsidR="005155DC" w:rsidRDefault="005155DC" w:rsidP="003E7CD7">
      <w:pPr>
        <w:pStyle w:val="P22"/>
        <w:spacing w:before="72"/>
        <w:ind w:left="1021" w:right="1134"/>
        <w:jc w:val="center"/>
        <w:rPr>
          <w:rStyle w:val="default"/>
          <w:rFonts w:cs="FrankRuehl" w:hint="cs"/>
          <w:rtl/>
        </w:rPr>
      </w:pPr>
      <w:r>
        <w:rPr>
          <w:rStyle w:val="default"/>
          <w:rFonts w:cs="FrankRuehl"/>
          <w:rtl/>
        </w:rPr>
        <w:t>אי</w:t>
      </w:r>
      <w:r>
        <w:rPr>
          <w:rStyle w:val="default"/>
          <w:rFonts w:cs="FrankRuehl" w:hint="cs"/>
          <w:rtl/>
        </w:rPr>
        <w:t>גרת חוב מסוג "גבע" רשומה על שם</w:t>
      </w:r>
      <w:r w:rsidR="003E7CD7">
        <w:rPr>
          <w:rStyle w:val="default"/>
          <w:rFonts w:cs="FrankRuehl" w:hint="cs"/>
          <w:rtl/>
        </w:rPr>
        <w:t xml:space="preserve"> </w:t>
      </w:r>
      <w:r w:rsidR="003E7CD7">
        <w:rPr>
          <w:rStyle w:val="default"/>
          <w:rFonts w:cs="FrankRuehl"/>
          <w:rtl/>
        </w:rPr>
        <w:fldChar w:fldCharType="begin">
          <w:ffData>
            <w:name w:val="Text3"/>
            <w:enabled/>
            <w:calcOnExit w:val="0"/>
            <w:textInput/>
          </w:ffData>
        </w:fldChar>
      </w:r>
      <w:bookmarkStart w:id="21" w:name="Text3"/>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1"/>
    </w:p>
    <w:p w:rsidR="005155DC" w:rsidRDefault="005155DC" w:rsidP="003E7CD7">
      <w:pPr>
        <w:pStyle w:val="P22"/>
        <w:spacing w:before="72"/>
        <w:ind w:left="1021" w:right="1134"/>
        <w:jc w:val="center"/>
        <w:rPr>
          <w:rStyle w:val="default"/>
          <w:rFonts w:cs="FrankRuehl" w:hint="cs"/>
          <w:rtl/>
        </w:rPr>
      </w:pPr>
      <w:r>
        <w:rPr>
          <w:rStyle w:val="default"/>
          <w:rFonts w:cs="FrankRuehl"/>
          <w:rtl/>
        </w:rPr>
        <w:t>עו</w:t>
      </w:r>
      <w:r>
        <w:rPr>
          <w:rStyle w:val="default"/>
          <w:rFonts w:cs="FrankRuehl" w:hint="cs"/>
          <w:rtl/>
        </w:rPr>
        <w:t>מדת לפדיון ביום</w:t>
      </w:r>
      <w:r w:rsidR="003E7CD7">
        <w:rPr>
          <w:rStyle w:val="default"/>
          <w:rFonts w:cs="FrankRuehl" w:hint="cs"/>
          <w:rtl/>
        </w:rPr>
        <w:t xml:space="preserve"> </w:t>
      </w:r>
      <w:r w:rsidR="003E7CD7">
        <w:rPr>
          <w:rStyle w:val="default"/>
          <w:rFonts w:cs="FrankRuehl"/>
          <w:rtl/>
        </w:rPr>
        <w:fldChar w:fldCharType="begin">
          <w:ffData>
            <w:name w:val="Text4"/>
            <w:enabled/>
            <w:calcOnExit w:val="0"/>
            <w:textInput/>
          </w:ffData>
        </w:fldChar>
      </w:r>
      <w:bookmarkStart w:id="22" w:name="Text4"/>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2"/>
    </w:p>
    <w:p w:rsidR="005155DC" w:rsidRPr="003E7CD7" w:rsidRDefault="003E7CD7" w:rsidP="003E7CD7">
      <w:pPr>
        <w:pStyle w:val="P22"/>
        <w:spacing w:before="72"/>
        <w:ind w:left="1021" w:right="1134"/>
        <w:jc w:val="center"/>
        <w:rPr>
          <w:rStyle w:val="default"/>
          <w:rFonts w:cs="FrankRuehl"/>
          <w:rtl/>
        </w:rPr>
      </w:pPr>
      <w:r>
        <w:rPr>
          <w:rStyle w:val="default"/>
          <w:rFonts w:cs="FrankRuehl"/>
          <w:rtl/>
        </w:rPr>
        <w:fldChar w:fldCharType="begin">
          <w:ffData>
            <w:name w:val="Text5"/>
            <w:enabled/>
            <w:calcOnExit w:val="0"/>
            <w:textInput/>
          </w:ffData>
        </w:fldChar>
      </w:r>
      <w:bookmarkStart w:id="23"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1405B1" w:rsidRPr="003E7CD7">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r>
        <w:rPr>
          <w:rStyle w:val="default"/>
          <w:rFonts w:cs="FrankRuehl" w:hint="cs"/>
          <w:rtl/>
        </w:rPr>
        <w:t xml:space="preserve"> </w:t>
      </w:r>
      <w:r w:rsidR="005155DC" w:rsidRPr="003E7CD7">
        <w:rPr>
          <w:rStyle w:val="default"/>
          <w:rFonts w:cs="FrankRuehl"/>
          <w:rtl/>
        </w:rPr>
        <w:t>ש</w:t>
      </w:r>
      <w:r w:rsidR="005155DC" w:rsidRPr="003E7CD7">
        <w:rPr>
          <w:rStyle w:val="default"/>
          <w:rFonts w:cs="FrankRuehl" w:hint="cs"/>
          <w:rtl/>
        </w:rPr>
        <w:t>קלים חדשים</w:t>
      </w:r>
    </w:p>
    <w:p w:rsidR="005155DC" w:rsidRDefault="005155DC" w:rsidP="003E7CD7">
      <w:pPr>
        <w:pStyle w:val="P0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יגרת חוב זו מוצאת בהתאם להוראות חוק מילווה המדינה, תשל"ט</w:t>
      </w:r>
      <w:r w:rsidR="003E7CD7">
        <w:rPr>
          <w:rStyle w:val="default"/>
          <w:rFonts w:cs="FrankRuehl" w:hint="cs"/>
          <w:rtl/>
        </w:rPr>
        <w:t>-</w:t>
      </w:r>
      <w:r>
        <w:rPr>
          <w:rStyle w:val="default"/>
          <w:rFonts w:cs="FrankRuehl"/>
          <w:rtl/>
        </w:rPr>
        <w:t xml:space="preserve">1979, </w:t>
      </w:r>
      <w:r>
        <w:rPr>
          <w:rStyle w:val="default"/>
          <w:rFonts w:cs="FrankRuehl" w:hint="cs"/>
          <w:rtl/>
        </w:rPr>
        <w:t>והתקנות שהותקנו על פיו והנוגעות לסדרה האמורה.</w:t>
      </w:r>
    </w:p>
    <w:p w:rsidR="005155DC" w:rsidRDefault="005155DC">
      <w:pPr>
        <w:pStyle w:val="P01"/>
        <w:spacing w:before="72"/>
        <w:ind w:left="624" w:right="1134"/>
        <w:rPr>
          <w:rStyle w:val="default"/>
          <w:rFonts w:cs="FrankRuehl" w:hint="cs"/>
          <w:rtl/>
        </w:rPr>
      </w:pPr>
      <w:r>
        <w:rPr>
          <w:rFonts w:cs="FrankRuehl"/>
          <w:sz w:val="26"/>
          <w:rtl/>
        </w:rPr>
        <w:t>2.</w:t>
      </w:r>
      <w:r>
        <w:rPr>
          <w:rFonts w:cs="FrankRuehl"/>
          <w:sz w:val="26"/>
          <w:rtl/>
        </w:rPr>
        <w:tab/>
      </w:r>
      <w:r>
        <w:rPr>
          <w:rStyle w:val="default"/>
          <w:rFonts w:cs="FrankRuehl"/>
          <w:rtl/>
        </w:rPr>
        <w:t>אי</w:t>
      </w:r>
      <w:r>
        <w:rPr>
          <w:rStyle w:val="default"/>
          <w:rFonts w:cs="FrankRuehl" w:hint="cs"/>
          <w:rtl/>
        </w:rPr>
        <w:t>גרת חוב זו נרשמ</w:t>
      </w:r>
      <w:r>
        <w:rPr>
          <w:rStyle w:val="default"/>
          <w:rFonts w:cs="FrankRuehl"/>
          <w:rtl/>
        </w:rPr>
        <w:t xml:space="preserve">ה </w:t>
      </w:r>
      <w:r>
        <w:rPr>
          <w:rStyle w:val="default"/>
          <w:rFonts w:cs="FrankRuehl" w:hint="cs"/>
          <w:rtl/>
        </w:rPr>
        <w:t>בפנקס איגרות החוב על שם</w:t>
      </w:r>
      <w:r w:rsidR="003E7CD7">
        <w:rPr>
          <w:rStyle w:val="default"/>
          <w:rFonts w:cs="FrankRuehl" w:hint="cs"/>
          <w:rtl/>
        </w:rPr>
        <w:t xml:space="preserve"> </w:t>
      </w:r>
      <w:r w:rsidR="003E7CD7">
        <w:rPr>
          <w:rStyle w:val="default"/>
          <w:rFonts w:cs="FrankRuehl"/>
          <w:rtl/>
        </w:rPr>
        <w:fldChar w:fldCharType="begin">
          <w:ffData>
            <w:name w:val="Text6"/>
            <w:enabled/>
            <w:calcOnExit w:val="0"/>
            <w:textInput/>
          </w:ffData>
        </w:fldChar>
      </w:r>
      <w:bookmarkStart w:id="24" w:name="Text6"/>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4"/>
    </w:p>
    <w:p w:rsidR="005155DC" w:rsidRDefault="005155DC">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סכ</w:t>
      </w:r>
      <w:r>
        <w:rPr>
          <w:rStyle w:val="default"/>
          <w:rFonts w:cs="FrankRuehl" w:hint="cs"/>
          <w:rtl/>
        </w:rPr>
        <w:t xml:space="preserve">ומי הריבית הצמודה על איגרת חוב זו ישולמו באופן הקבוע בתקנות הנוגעות לסדרה האמורה; הסכום של קרן איגרת חוב זו ישולם באופן הקבוע בתקנות הנוגעות לסדרה האמורה ביום העסקים האחרון שלפני ה-26 בחודש שבו תמו </w:t>
      </w:r>
      <w:r w:rsidR="003E7CD7">
        <w:rPr>
          <w:rStyle w:val="default"/>
          <w:rFonts w:cs="FrankRuehl"/>
          <w:rtl/>
        </w:rPr>
        <w:fldChar w:fldCharType="begin">
          <w:ffData>
            <w:name w:val="Text7"/>
            <w:enabled/>
            <w:calcOnExit w:val="0"/>
            <w:textInput/>
          </w:ffData>
        </w:fldChar>
      </w:r>
      <w:bookmarkStart w:id="25" w:name="Text7"/>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5"/>
      <w:r>
        <w:rPr>
          <w:rStyle w:val="default"/>
          <w:rFonts w:cs="FrankRuehl" w:hint="cs"/>
          <w:rtl/>
        </w:rPr>
        <w:t xml:space="preserve"> חדשים מיום הוצאת איגרת החו</w:t>
      </w:r>
      <w:r>
        <w:rPr>
          <w:rStyle w:val="default"/>
          <w:rFonts w:cs="FrankRuehl"/>
          <w:rtl/>
        </w:rPr>
        <w:t xml:space="preserve">ב, </w:t>
      </w:r>
      <w:r>
        <w:rPr>
          <w:rStyle w:val="default"/>
          <w:rFonts w:cs="FrankRuehl" w:hint="cs"/>
          <w:rtl/>
        </w:rPr>
        <w:t>עם מסירת איגרת החוב למינהלה.</w:t>
      </w:r>
    </w:p>
    <w:p w:rsidR="005155DC" w:rsidRDefault="005155DC">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על</w:t>
      </w:r>
      <w:r>
        <w:rPr>
          <w:rStyle w:val="default"/>
          <w:rFonts w:cs="FrankRuehl" w:hint="cs"/>
          <w:rtl/>
        </w:rPr>
        <w:t xml:space="preserve"> פדיון הקרן ותשלום הריבית של איגרת חוב זו, יחולו תנאי ההצמדה המפורטים בתקנות הנוגעות לסדרה האמורה.</w:t>
      </w:r>
    </w:p>
    <w:p w:rsidR="005155DC" w:rsidRDefault="005155DC" w:rsidP="003E7CD7">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המ</w:t>
      </w:r>
      <w:r>
        <w:rPr>
          <w:rStyle w:val="default"/>
          <w:rFonts w:cs="FrankRuehl" w:hint="cs"/>
          <w:rtl/>
        </w:rPr>
        <w:t>דד הי</w:t>
      </w:r>
      <w:r>
        <w:rPr>
          <w:rStyle w:val="default"/>
          <w:rFonts w:cs="FrankRuehl"/>
          <w:rtl/>
        </w:rPr>
        <w:t>ס</w:t>
      </w:r>
      <w:r>
        <w:rPr>
          <w:rStyle w:val="default"/>
          <w:rFonts w:cs="FrankRuehl" w:hint="cs"/>
          <w:rtl/>
        </w:rPr>
        <w:t>ודי שלפיו ישולמו הפרשי ההצמדה על איגרת חוב זו הוא המדד לחודש</w:t>
      </w:r>
      <w:r w:rsidR="003E7CD7">
        <w:rPr>
          <w:rStyle w:val="default"/>
          <w:rFonts w:cs="FrankRuehl" w:hint="cs"/>
          <w:rtl/>
        </w:rPr>
        <w:t xml:space="preserve"> </w:t>
      </w:r>
      <w:r w:rsidR="003E7CD7">
        <w:rPr>
          <w:rStyle w:val="default"/>
          <w:rFonts w:cs="FrankRuehl"/>
          <w:rtl/>
        </w:rPr>
        <w:fldChar w:fldCharType="begin">
          <w:ffData>
            <w:name w:val="Text8"/>
            <w:enabled/>
            <w:calcOnExit w:val="0"/>
            <w:textInput/>
          </w:ffData>
        </w:fldChar>
      </w:r>
      <w:bookmarkStart w:id="26" w:name="Text8"/>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6"/>
      <w:r w:rsidR="003E7CD7">
        <w:rPr>
          <w:rStyle w:val="default"/>
          <w:rFonts w:cs="FrankRuehl" w:hint="cs"/>
          <w:rtl/>
        </w:rPr>
        <w:t xml:space="preserve"> שנת </w:t>
      </w:r>
      <w:r w:rsidR="003E7CD7">
        <w:rPr>
          <w:rStyle w:val="default"/>
          <w:rFonts w:cs="FrankRuehl"/>
          <w:rtl/>
        </w:rPr>
        <w:fldChar w:fldCharType="begin">
          <w:ffData>
            <w:name w:val="Text9"/>
            <w:enabled/>
            <w:calcOnExit w:val="0"/>
            <w:textInput/>
          </w:ffData>
        </w:fldChar>
      </w:r>
      <w:bookmarkStart w:id="27" w:name="Text9"/>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7"/>
      <w:r>
        <w:rPr>
          <w:rStyle w:val="default"/>
          <w:rFonts w:cs="FrankRuehl" w:hint="cs"/>
          <w:rtl/>
        </w:rPr>
        <w:t>.</w:t>
      </w:r>
    </w:p>
    <w:p w:rsidR="005155DC" w:rsidRDefault="005155DC">
      <w:pPr>
        <w:pStyle w:val="P11"/>
        <w:spacing w:before="72"/>
        <w:ind w:left="624" w:right="1134"/>
        <w:rPr>
          <w:rStyle w:val="default"/>
          <w:rFonts w:cs="FrankRuehl"/>
          <w:rtl/>
        </w:rPr>
      </w:pPr>
      <w:r>
        <w:rPr>
          <w:rStyle w:val="default"/>
          <w:rFonts w:cs="FrankRuehl"/>
          <w:rtl/>
        </w:rPr>
        <w:t>תא</w:t>
      </w:r>
      <w:r>
        <w:rPr>
          <w:rStyle w:val="default"/>
          <w:rFonts w:cs="FrankRuehl" w:hint="cs"/>
          <w:rtl/>
        </w:rPr>
        <w:t xml:space="preserve">ריך ההוצאה </w:t>
      </w:r>
      <w:r w:rsidR="003E7CD7">
        <w:rPr>
          <w:rStyle w:val="default"/>
          <w:rFonts w:cs="FrankRuehl"/>
          <w:rtl/>
        </w:rPr>
        <w:fldChar w:fldCharType="begin">
          <w:ffData>
            <w:name w:val="Text10"/>
            <w:enabled/>
            <w:calcOnExit w:val="0"/>
            <w:textInput/>
          </w:ffData>
        </w:fldChar>
      </w:r>
      <w:bookmarkStart w:id="28" w:name="Text10"/>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8"/>
      <w:r>
        <w:rPr>
          <w:rStyle w:val="default"/>
          <w:rFonts w:cs="FrankRuehl" w:hint="cs"/>
          <w:rtl/>
        </w:rPr>
        <w:t xml:space="preserve"> (</w:t>
      </w:r>
      <w:r w:rsidR="003E7CD7">
        <w:rPr>
          <w:rStyle w:val="default"/>
          <w:rFonts w:cs="FrankRuehl"/>
          <w:rtl/>
        </w:rPr>
        <w:fldChar w:fldCharType="begin">
          <w:ffData>
            <w:name w:val="Text11"/>
            <w:enabled/>
            <w:calcOnExit w:val="0"/>
            <w:textInput/>
          </w:ffData>
        </w:fldChar>
      </w:r>
      <w:bookmarkStart w:id="29" w:name="Text11"/>
      <w:r w:rsidR="003E7CD7">
        <w:rPr>
          <w:rStyle w:val="default"/>
          <w:rFonts w:cs="FrankRuehl"/>
          <w:rtl/>
        </w:rPr>
        <w:instrText xml:space="preserve"> </w:instrText>
      </w:r>
      <w:r w:rsidR="003E7CD7">
        <w:rPr>
          <w:rStyle w:val="default"/>
          <w:rFonts w:cs="FrankRuehl" w:hint="cs"/>
        </w:rPr>
        <w:instrText>FORMTEXT</w:instrText>
      </w:r>
      <w:r w:rsidR="003E7CD7">
        <w:rPr>
          <w:rStyle w:val="default"/>
          <w:rFonts w:cs="FrankRuehl"/>
          <w:rtl/>
        </w:rPr>
        <w:instrText xml:space="preserve"> </w:instrText>
      </w:r>
      <w:r w:rsidR="001405B1" w:rsidRPr="003E7CD7">
        <w:rPr>
          <w:rFonts w:cs="FrankRuehl"/>
          <w:sz w:val="26"/>
        </w:rPr>
      </w:r>
      <w:r w:rsidR="003E7CD7">
        <w:rPr>
          <w:rStyle w:val="default"/>
          <w:rFonts w:cs="FrankRuehl"/>
          <w:rtl/>
        </w:rPr>
        <w:fldChar w:fldCharType="separate"/>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t> </w:t>
      </w:r>
      <w:r w:rsidR="003E7CD7">
        <w:rPr>
          <w:rStyle w:val="default"/>
          <w:rFonts w:cs="FrankRuehl"/>
          <w:rtl/>
        </w:rPr>
        <w:fldChar w:fldCharType="end"/>
      </w:r>
      <w:bookmarkEnd w:id="29"/>
      <w:r>
        <w:rPr>
          <w:rStyle w:val="default"/>
          <w:rFonts w:cs="FrankRuehl" w:hint="cs"/>
          <w:rtl/>
        </w:rPr>
        <w:t>)</w:t>
      </w:r>
    </w:p>
    <w:p w:rsidR="005155DC" w:rsidRDefault="005155DC" w:rsidP="003E7CD7">
      <w:pPr>
        <w:pStyle w:val="P00"/>
        <w:spacing w:before="72"/>
        <w:ind w:left="0" w:right="1134"/>
        <w:rPr>
          <w:rStyle w:val="default"/>
          <w:rFonts w:cs="FrankRuehl"/>
          <w:rtl/>
        </w:rPr>
      </w:pPr>
    </w:p>
    <w:p w:rsidR="005155DC" w:rsidRPr="003E7CD7" w:rsidRDefault="005155DC" w:rsidP="003E7CD7">
      <w:pPr>
        <w:pStyle w:val="P00"/>
        <w:spacing w:before="72"/>
        <w:ind w:left="0" w:right="1134"/>
        <w:jc w:val="center"/>
        <w:rPr>
          <w:rStyle w:val="default"/>
          <w:rFonts w:cs="FrankRuehl"/>
          <w:rtl/>
        </w:rPr>
      </w:pPr>
      <w:r w:rsidRPr="003E7CD7">
        <w:rPr>
          <w:rStyle w:val="default"/>
          <w:rFonts w:cs="FrankRuehl"/>
          <w:rtl/>
        </w:rPr>
        <w:t>מ</w:t>
      </w:r>
      <w:r w:rsidRPr="003E7CD7">
        <w:rPr>
          <w:rStyle w:val="default"/>
          <w:rFonts w:cs="FrankRuehl" w:hint="cs"/>
          <w:rtl/>
        </w:rPr>
        <w:t>משלת ישראל</w:t>
      </w:r>
    </w:p>
    <w:p w:rsidR="005155DC" w:rsidRDefault="005155DC" w:rsidP="003E7CD7">
      <w:pPr>
        <w:pStyle w:val="P00"/>
        <w:spacing w:before="72"/>
        <w:ind w:left="0" w:right="1134"/>
        <w:rPr>
          <w:rStyle w:val="default"/>
          <w:rFonts w:cs="FrankRuehl" w:hint="cs"/>
          <w:rtl/>
        </w:rPr>
      </w:pPr>
    </w:p>
    <w:p w:rsidR="003E7CD7" w:rsidRPr="003E7CD7" w:rsidRDefault="003E7CD7" w:rsidP="003E7CD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w:t>
      </w:r>
      <w:r>
        <w:rPr>
          <w:rStyle w:val="default"/>
          <w:rFonts w:cs="FrankRuehl" w:hint="cs"/>
          <w:rtl/>
        </w:rPr>
        <w:tab/>
        <w:t>______________</w:t>
      </w:r>
    </w:p>
    <w:p w:rsidR="005155DC" w:rsidRPr="003E7CD7" w:rsidRDefault="005155DC" w:rsidP="003E7CD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22"/>
          <w:szCs w:val="22"/>
          <w:rtl/>
        </w:rPr>
      </w:pPr>
      <w:r w:rsidRPr="003E7CD7">
        <w:rPr>
          <w:rStyle w:val="default"/>
          <w:rFonts w:cs="FrankRuehl"/>
          <w:sz w:val="22"/>
          <w:szCs w:val="22"/>
          <w:rtl/>
        </w:rPr>
        <w:tab/>
        <w:t>ש</w:t>
      </w:r>
      <w:r w:rsidRPr="003E7CD7">
        <w:rPr>
          <w:rStyle w:val="default"/>
          <w:rFonts w:cs="FrankRuehl" w:hint="cs"/>
          <w:sz w:val="22"/>
          <w:szCs w:val="22"/>
          <w:rtl/>
        </w:rPr>
        <w:t>ר הא</w:t>
      </w:r>
      <w:r w:rsidRPr="003E7CD7">
        <w:rPr>
          <w:rStyle w:val="default"/>
          <w:rFonts w:cs="FrankRuehl"/>
          <w:sz w:val="22"/>
          <w:szCs w:val="22"/>
          <w:rtl/>
        </w:rPr>
        <w:t>וצ</w:t>
      </w:r>
      <w:r w:rsidRPr="003E7CD7">
        <w:rPr>
          <w:rStyle w:val="default"/>
          <w:rFonts w:cs="FrankRuehl" w:hint="cs"/>
          <w:sz w:val="22"/>
          <w:szCs w:val="22"/>
          <w:rtl/>
        </w:rPr>
        <w:t>ר</w:t>
      </w:r>
      <w:r w:rsidRPr="003E7CD7">
        <w:rPr>
          <w:rStyle w:val="default"/>
          <w:rFonts w:cs="FrankRuehl"/>
          <w:sz w:val="22"/>
          <w:szCs w:val="22"/>
          <w:rtl/>
        </w:rPr>
        <w:tab/>
        <w:t>ה</w:t>
      </w:r>
      <w:r w:rsidRPr="003E7CD7">
        <w:rPr>
          <w:rStyle w:val="default"/>
          <w:rFonts w:cs="FrankRuehl" w:hint="cs"/>
          <w:sz w:val="22"/>
          <w:szCs w:val="22"/>
          <w:rtl/>
        </w:rPr>
        <w:t>חשב הכללי</w:t>
      </w:r>
    </w:p>
    <w:p w:rsidR="005155DC" w:rsidRDefault="005155DC">
      <w:pPr>
        <w:pStyle w:val="sig-1"/>
        <w:widowControl/>
        <w:ind w:left="0" w:right="1134"/>
        <w:rPr>
          <w:rFonts w:cs="FrankRuehl"/>
          <w:sz w:val="22"/>
          <w:rtl/>
        </w:rPr>
      </w:pPr>
    </w:p>
    <w:p w:rsidR="005155DC" w:rsidRDefault="005155DC">
      <w:pPr>
        <w:pStyle w:val="footnote"/>
        <w:widowControl/>
        <w:tabs>
          <w:tab w:val="center" w:pos="851"/>
          <w:tab w:val="center" w:pos="2835"/>
          <w:tab w:val="center" w:pos="4820"/>
        </w:tabs>
        <w:suppressAutoHyphens w:val="0"/>
        <w:ind w:left="0" w:right="1134"/>
        <w:rPr>
          <w:rFonts w:cs="FrankRuehl" w:hint="cs"/>
          <w:rtl/>
        </w:rPr>
      </w:pPr>
      <w:r>
        <w:rPr>
          <w:rFonts w:cs="FrankRuehl"/>
          <w:rtl/>
        </w:rPr>
        <w:t>*</w:t>
      </w:r>
      <w:r>
        <w:rPr>
          <w:rFonts w:cs="FrankRuehl"/>
          <w:rtl/>
        </w:rPr>
        <w:t> </w:t>
      </w:r>
      <w:r>
        <w:rPr>
          <w:rFonts w:cs="FrankRuehl"/>
          <w:rtl/>
        </w:rPr>
        <w:t>הח</w:t>
      </w:r>
      <w:r>
        <w:rPr>
          <w:rFonts w:cs="FrankRuehl" w:hint="cs"/>
          <w:rtl/>
        </w:rPr>
        <w:t>ודש בו תמה שנה מיום שבו הוצאה איגרת החוב.</w:t>
      </w:r>
    </w:p>
    <w:p w:rsidR="003E7CD7" w:rsidRPr="003E7CD7" w:rsidRDefault="003E7CD7" w:rsidP="003E7CD7">
      <w:pPr>
        <w:pStyle w:val="P00"/>
        <w:spacing w:before="72"/>
        <w:ind w:left="0" w:right="1134"/>
        <w:rPr>
          <w:rStyle w:val="default"/>
          <w:rFonts w:cs="FrankRuehl" w:hint="cs"/>
          <w:rtl/>
        </w:rPr>
      </w:pPr>
    </w:p>
    <w:p w:rsidR="003E7CD7" w:rsidRPr="003E7CD7" w:rsidRDefault="003E7CD7" w:rsidP="003E7CD7">
      <w:pPr>
        <w:pStyle w:val="P00"/>
        <w:spacing w:before="72"/>
        <w:ind w:left="0" w:right="1134"/>
        <w:rPr>
          <w:rStyle w:val="default"/>
          <w:rFonts w:cs="FrankRuehl"/>
          <w:rtl/>
        </w:rPr>
      </w:pPr>
    </w:p>
    <w:p w:rsidR="005155DC" w:rsidRDefault="005155DC">
      <w:pPr>
        <w:pStyle w:val="sig-0"/>
        <w:ind w:left="0" w:right="1134"/>
        <w:rPr>
          <w:rFonts w:cs="FrankRuehl"/>
          <w:sz w:val="26"/>
          <w:rtl/>
        </w:rPr>
      </w:pPr>
      <w:r>
        <w:rPr>
          <w:rFonts w:cs="FrankRuehl"/>
          <w:sz w:val="26"/>
          <w:rtl/>
        </w:rPr>
        <w:t xml:space="preserve">ט' </w:t>
      </w:r>
      <w:r>
        <w:rPr>
          <w:rFonts w:cs="FrankRuehl" w:hint="cs"/>
          <w:sz w:val="26"/>
          <w:rtl/>
        </w:rPr>
        <w:t>תמוז תשמ"ט (12 ביולי 1989)</w:t>
      </w:r>
      <w:r>
        <w:rPr>
          <w:rFonts w:cs="FrankRuehl"/>
          <w:sz w:val="26"/>
          <w:rtl/>
        </w:rPr>
        <w:tab/>
        <w:t>ש</w:t>
      </w:r>
      <w:r>
        <w:rPr>
          <w:rFonts w:cs="FrankRuehl" w:hint="cs"/>
          <w:sz w:val="26"/>
          <w:rtl/>
        </w:rPr>
        <w:t>מעון פרס</w:t>
      </w:r>
    </w:p>
    <w:p w:rsidR="005155DC" w:rsidRDefault="005155D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3E7CD7" w:rsidRPr="003E7CD7" w:rsidRDefault="003E7CD7" w:rsidP="003E7CD7">
      <w:pPr>
        <w:pStyle w:val="P00"/>
        <w:spacing w:before="72"/>
        <w:ind w:left="0" w:right="1134"/>
        <w:rPr>
          <w:rStyle w:val="default"/>
          <w:rFonts w:cs="FrankRuehl" w:hint="cs"/>
          <w:rtl/>
        </w:rPr>
      </w:pPr>
    </w:p>
    <w:p w:rsidR="003E7CD7" w:rsidRPr="003E7CD7" w:rsidRDefault="003E7CD7" w:rsidP="003E7CD7">
      <w:pPr>
        <w:pStyle w:val="P00"/>
        <w:spacing w:before="72"/>
        <w:ind w:left="0" w:right="1134"/>
        <w:rPr>
          <w:rStyle w:val="default"/>
          <w:rFonts w:cs="FrankRuehl"/>
          <w:rtl/>
        </w:rPr>
      </w:pPr>
    </w:p>
    <w:p w:rsidR="005155DC" w:rsidRPr="003E7CD7" w:rsidRDefault="005155DC" w:rsidP="003E7CD7">
      <w:pPr>
        <w:pStyle w:val="P00"/>
        <w:spacing w:before="72"/>
        <w:ind w:left="0" w:right="1134"/>
        <w:rPr>
          <w:rStyle w:val="default"/>
          <w:rFonts w:cs="FrankRuehl"/>
          <w:rtl/>
        </w:rPr>
      </w:pPr>
      <w:bookmarkStart w:id="30" w:name="LawPartEnd"/>
    </w:p>
    <w:bookmarkEnd w:id="30"/>
    <w:p w:rsidR="005155DC" w:rsidRPr="003E7CD7" w:rsidRDefault="005155DC" w:rsidP="003E7CD7">
      <w:pPr>
        <w:pStyle w:val="P00"/>
        <w:spacing w:before="72"/>
        <w:ind w:left="0" w:right="1134"/>
        <w:rPr>
          <w:rStyle w:val="default"/>
          <w:rFonts w:cs="FrankRuehl"/>
          <w:rtl/>
        </w:rPr>
      </w:pPr>
    </w:p>
    <w:sectPr w:rsidR="005155DC" w:rsidRPr="003E7CD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A5D" w:rsidRDefault="00470A5D">
      <w:pPr>
        <w:spacing w:line="240" w:lineRule="auto"/>
      </w:pPr>
      <w:r>
        <w:separator/>
      </w:r>
    </w:p>
  </w:endnote>
  <w:endnote w:type="continuationSeparator" w:id="0">
    <w:p w:rsidR="00470A5D" w:rsidRDefault="00470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5DC" w:rsidRDefault="005155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155DC" w:rsidRDefault="005155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55DC" w:rsidRDefault="005155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417C">
      <w:rPr>
        <w:rFonts w:cs="TopType Jerushalmi"/>
        <w:noProof/>
        <w:color w:val="000000"/>
        <w:sz w:val="14"/>
        <w:szCs w:val="14"/>
      </w:rPr>
      <w:t>D:\Yael\hakika\Revadim\221_022.doc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5DC" w:rsidRDefault="005155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787C">
      <w:rPr>
        <w:rFonts w:hAnsi="FrankRuehl" w:cs="FrankRuehl"/>
        <w:noProof/>
        <w:sz w:val="24"/>
        <w:szCs w:val="24"/>
        <w:rtl/>
      </w:rPr>
      <w:t>2</w:t>
    </w:r>
    <w:r>
      <w:rPr>
        <w:rFonts w:hAnsi="FrankRuehl" w:cs="FrankRuehl"/>
        <w:sz w:val="24"/>
        <w:szCs w:val="24"/>
        <w:rtl/>
      </w:rPr>
      <w:fldChar w:fldCharType="end"/>
    </w:r>
  </w:p>
  <w:p w:rsidR="005155DC" w:rsidRDefault="005155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55DC" w:rsidRDefault="005155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417C">
      <w:rPr>
        <w:rFonts w:cs="TopType Jerushalmi"/>
        <w:noProof/>
        <w:color w:val="000000"/>
        <w:sz w:val="14"/>
        <w:szCs w:val="14"/>
      </w:rPr>
      <w:t>D:\Yael\hakika\Revadim\221_022.doc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A5D" w:rsidRDefault="00470A5D" w:rsidP="00E9417C">
      <w:pPr>
        <w:spacing w:before="60" w:line="240" w:lineRule="auto"/>
        <w:ind w:right="1134"/>
      </w:pPr>
      <w:r>
        <w:separator/>
      </w:r>
    </w:p>
  </w:footnote>
  <w:footnote w:type="continuationSeparator" w:id="0">
    <w:p w:rsidR="00470A5D" w:rsidRDefault="00470A5D">
      <w:pPr>
        <w:spacing w:line="240" w:lineRule="auto"/>
      </w:pPr>
      <w:r>
        <w:continuationSeparator/>
      </w:r>
    </w:p>
  </w:footnote>
  <w:footnote w:id="1">
    <w:p w:rsidR="00E9417C" w:rsidRPr="00E9417C" w:rsidRDefault="00E9417C" w:rsidP="00E941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E9417C">
        <w:rPr>
          <w:rFonts w:cs="FrankRuehl"/>
          <w:rtl/>
        </w:rPr>
        <w:t xml:space="preserve">* </w:t>
      </w:r>
      <w:r>
        <w:rPr>
          <w:rFonts w:cs="FrankRuehl"/>
          <w:rtl/>
        </w:rPr>
        <w:t>פו</w:t>
      </w:r>
      <w:r>
        <w:rPr>
          <w:rFonts w:cs="FrankRuehl" w:hint="cs"/>
          <w:rtl/>
        </w:rPr>
        <w:t xml:space="preserve">רסמו </w:t>
      </w:r>
      <w:hyperlink r:id="rId1" w:history="1">
        <w:r w:rsidRPr="008F1843">
          <w:rPr>
            <w:rStyle w:val="Hyperlink"/>
            <w:rFonts w:cs="FrankRuehl" w:hint="cs"/>
            <w:rtl/>
          </w:rPr>
          <w:t>ק"ת תשמ"ט מס' 5204</w:t>
        </w:r>
      </w:hyperlink>
      <w:r>
        <w:rPr>
          <w:rFonts w:cs="FrankRuehl" w:hint="cs"/>
          <w:rtl/>
        </w:rPr>
        <w:t xml:space="preserve"> מיום 30.7.1989 עמ' 1142.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5DC" w:rsidRDefault="005155D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"גבע"), תשמ"ט–1989</w:t>
    </w:r>
  </w:p>
  <w:p w:rsidR="005155DC" w:rsidRDefault="005155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55DC" w:rsidRDefault="005155D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5DC" w:rsidRDefault="005155DC" w:rsidP="00E9417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"גבע"), תשמ"ט</w:t>
    </w:r>
    <w:r w:rsidR="00E9417C">
      <w:rPr>
        <w:rFonts w:hAnsi="FrankRuehl" w:cs="FrankRuehl" w:hint="cs"/>
        <w:color w:val="000000"/>
        <w:sz w:val="28"/>
        <w:szCs w:val="28"/>
        <w:rtl/>
      </w:rPr>
      <w:t>-</w:t>
    </w:r>
    <w:r>
      <w:rPr>
        <w:rFonts w:hAnsi="FrankRuehl" w:cs="FrankRuehl"/>
        <w:color w:val="000000"/>
        <w:sz w:val="28"/>
        <w:szCs w:val="28"/>
        <w:rtl/>
      </w:rPr>
      <w:t>1989</w:t>
    </w:r>
  </w:p>
  <w:p w:rsidR="005155DC" w:rsidRDefault="005155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55DC" w:rsidRDefault="005155D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1843"/>
    <w:rsid w:val="000E3A67"/>
    <w:rsid w:val="001405B1"/>
    <w:rsid w:val="001C4D2D"/>
    <w:rsid w:val="00303F1C"/>
    <w:rsid w:val="003E7CD7"/>
    <w:rsid w:val="00470A5D"/>
    <w:rsid w:val="005155DC"/>
    <w:rsid w:val="006C2BFF"/>
    <w:rsid w:val="008F1843"/>
    <w:rsid w:val="00A722FD"/>
    <w:rsid w:val="00A95926"/>
    <w:rsid w:val="00CA787C"/>
    <w:rsid w:val="00CF2506"/>
    <w:rsid w:val="00D81F30"/>
    <w:rsid w:val="00E9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F74A42D-FC29-4ED0-A3E6-7119D57C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E9417C"/>
    <w:rPr>
      <w:sz w:val="20"/>
      <w:szCs w:val="20"/>
    </w:rPr>
  </w:style>
  <w:style w:type="character" w:styleId="a6">
    <w:name w:val="footnote reference"/>
    <w:basedOn w:val="a0"/>
    <w:semiHidden/>
    <w:rsid w:val="00E941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2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8901</CharactersWithSpaces>
  <SharedDoc>false</SharedDoc>
  <HLinks>
    <vt:vector size="120" baseType="variant">
      <vt:variant>
        <vt:i4>5570569</vt:i4>
      </vt:variant>
      <vt:variant>
        <vt:i4>111</vt:i4>
      </vt:variant>
      <vt:variant>
        <vt:i4>0</vt:i4>
      </vt:variant>
      <vt:variant>
        <vt:i4>5</vt:i4>
      </vt:variant>
      <vt:variant>
        <vt:lpwstr/>
      </vt:variant>
      <vt:variant>
        <vt:lpwstr>med0</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8126478</vt:i4>
      </vt:variant>
      <vt:variant>
        <vt:i4>0</vt:i4>
      </vt:variant>
      <vt:variant>
        <vt:i4>0</vt:i4>
      </vt:variant>
      <vt:variant>
        <vt:i4>5</vt:i4>
      </vt:variant>
      <vt:variant>
        <vt:lpwstr>http://www.nevo.co.il/Law_word/law06/TAK-5204.pdf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(סדרות מסוג "גבע"), תשמ"ט-1989</vt:lpwstr>
  </property>
  <property fmtid="{D5CDD505-2E9C-101B-9397-08002B2CF9AE}" pid="5" name="LAWNUMBER">
    <vt:lpwstr>0022</vt:lpwstr>
  </property>
  <property fmtid="{D5CDD505-2E9C-101B-9397-08002B2CF9AE}" pid="6" name="TYPE">
    <vt:lpwstr>01</vt:lpwstr>
  </property>
  <property fmtid="{D5CDD505-2E9C-101B-9397-08002B2CF9AE}" pid="7" name="MEKOR_NAME1">
    <vt:lpwstr>חוק מילווה המדינה</vt:lpwstr>
  </property>
  <property fmtid="{D5CDD505-2E9C-101B-9397-08002B2CF9AE}" pid="8" name="MEKOR_SAIF1">
    <vt:lpwstr>3X;4X;11X;12X</vt:lpwstr>
  </property>
  <property fmtid="{D5CDD505-2E9C-101B-9397-08002B2CF9AE}" pid="9" name="MEKOR_NAME2">
    <vt:lpwstr>פקודת מס הכנסה </vt:lpwstr>
  </property>
  <property fmtid="{D5CDD505-2E9C-101B-9397-08002B2CF9AE}" pid="10" name="MEKOR_SAIF2">
    <vt:lpwstr>15X</vt:lpwstr>
  </property>
  <property fmtid="{D5CDD505-2E9C-101B-9397-08002B2CF9AE}" pid="11" name="NOSE11">
    <vt:lpwstr>משפט פרטי וכלכלה</vt:lpwstr>
  </property>
  <property fmtid="{D5CDD505-2E9C-101B-9397-08002B2CF9AE}" pid="12" name="NOSE21">
    <vt:lpwstr>כספים</vt:lpwstr>
  </property>
  <property fmtid="{D5CDD505-2E9C-101B-9397-08002B2CF9AE}" pid="13" name="NOSE31">
    <vt:lpwstr>מילווים</vt:lpwstr>
  </property>
  <property fmtid="{D5CDD505-2E9C-101B-9397-08002B2CF9AE}" pid="14" name="NOSE41">
    <vt:lpwstr>מילווה חסכון</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