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03C3" w14:textId="77777777" w:rsidR="00CC22FD" w:rsidRDefault="00CC22FD">
      <w:pPr>
        <w:pStyle w:val="big-header"/>
        <w:ind w:left="0" w:right="1134"/>
        <w:rPr>
          <w:rFonts w:cs="FrankRuehl" w:hint="cs"/>
          <w:sz w:val="32"/>
          <w:rtl/>
        </w:rPr>
      </w:pPr>
      <w:r>
        <w:rPr>
          <w:rFonts w:cs="FrankRuehl"/>
          <w:sz w:val="32"/>
          <w:rtl/>
        </w:rPr>
        <w:t>תקנות מילווה המדינה (סדרות מסוג "גילון חדש"), תשנ"ט</w:t>
      </w:r>
      <w:r>
        <w:rPr>
          <w:rFonts w:cs="FrankRuehl" w:hint="cs"/>
          <w:sz w:val="32"/>
          <w:rtl/>
        </w:rPr>
        <w:t>-</w:t>
      </w:r>
      <w:r>
        <w:rPr>
          <w:rFonts w:cs="FrankRuehl"/>
          <w:sz w:val="32"/>
          <w:rtl/>
        </w:rPr>
        <w:t>1999</w:t>
      </w:r>
    </w:p>
    <w:p w14:paraId="6D6B03B0" w14:textId="77777777" w:rsidR="00BB676E" w:rsidRPr="00BB676E" w:rsidRDefault="00BB676E" w:rsidP="00BB676E">
      <w:pPr>
        <w:spacing w:line="320" w:lineRule="auto"/>
        <w:jc w:val="left"/>
        <w:rPr>
          <w:rFonts w:cs="FrankRuehl"/>
          <w:szCs w:val="26"/>
          <w:rtl/>
        </w:rPr>
      </w:pPr>
    </w:p>
    <w:p w14:paraId="3D796B74" w14:textId="77777777" w:rsidR="00BB676E" w:rsidRDefault="00BB676E" w:rsidP="00BB676E">
      <w:pPr>
        <w:spacing w:line="320" w:lineRule="auto"/>
        <w:jc w:val="left"/>
        <w:rPr>
          <w:rtl/>
        </w:rPr>
      </w:pPr>
    </w:p>
    <w:p w14:paraId="761C05FF" w14:textId="77777777" w:rsidR="004567A2" w:rsidRPr="00BB676E" w:rsidRDefault="00BB676E" w:rsidP="00BB676E">
      <w:pPr>
        <w:spacing w:line="320" w:lineRule="auto"/>
        <w:jc w:val="left"/>
        <w:rPr>
          <w:rFonts w:cs="Miriam"/>
          <w:szCs w:val="22"/>
          <w:rtl/>
        </w:rPr>
      </w:pPr>
      <w:r w:rsidRPr="00BB676E">
        <w:rPr>
          <w:rFonts w:cs="Miriam"/>
          <w:szCs w:val="22"/>
          <w:rtl/>
        </w:rPr>
        <w:t>משפט פרטי וכלכלה</w:t>
      </w:r>
      <w:r w:rsidRPr="00BB676E">
        <w:rPr>
          <w:rFonts w:cs="FrankRuehl"/>
          <w:szCs w:val="26"/>
          <w:rtl/>
        </w:rPr>
        <w:t xml:space="preserve"> – כספים – מילווים – מילווה חסכון</w:t>
      </w:r>
    </w:p>
    <w:p w14:paraId="2C1F0511" w14:textId="77777777" w:rsidR="00CC22FD" w:rsidRDefault="00CC22F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C22FD" w14:paraId="0176FE1F" w14:textId="77777777">
        <w:tblPrEx>
          <w:tblCellMar>
            <w:top w:w="0" w:type="dxa"/>
            <w:bottom w:w="0" w:type="dxa"/>
          </w:tblCellMar>
        </w:tblPrEx>
        <w:trPr>
          <w:jc w:val="right"/>
        </w:trPr>
        <w:tc>
          <w:tcPr>
            <w:tcW w:w="850" w:type="dxa"/>
          </w:tcPr>
          <w:p w14:paraId="3D1239B6"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14:paraId="7F3CE177" w14:textId="77777777" w:rsidR="00CC22FD" w:rsidRDefault="00CC22FD">
            <w:pPr>
              <w:spacing w:line="240" w:lineRule="auto"/>
              <w:jc w:val="left"/>
              <w:rPr>
                <w:rFonts w:cs="Frankruhel"/>
                <w:sz w:val="24"/>
              </w:rPr>
            </w:pPr>
            <w:hyperlink w:anchor="Seif9" w:tooltip="הגדרות" w:history="1">
              <w:r>
                <w:rPr>
                  <w:rStyle w:val="Hyperlink"/>
                </w:rPr>
                <w:t>Go</w:t>
              </w:r>
            </w:hyperlink>
          </w:p>
        </w:tc>
        <w:tc>
          <w:tcPr>
            <w:tcW w:w="5669" w:type="dxa"/>
          </w:tcPr>
          <w:p w14:paraId="5DA29714" w14:textId="77777777" w:rsidR="00CC22FD" w:rsidRDefault="00CC22FD">
            <w:pPr>
              <w:spacing w:line="240" w:lineRule="auto"/>
              <w:jc w:val="left"/>
              <w:rPr>
                <w:rFonts w:cs="Frankruhel"/>
                <w:sz w:val="24"/>
                <w:rtl/>
              </w:rPr>
            </w:pPr>
            <w:r>
              <w:rPr>
                <w:rFonts w:cs="Frankruhel"/>
                <w:sz w:val="24"/>
                <w:rtl/>
              </w:rPr>
              <w:t>הגדרות</w:t>
            </w:r>
          </w:p>
        </w:tc>
        <w:tc>
          <w:tcPr>
            <w:tcW w:w="1247" w:type="dxa"/>
          </w:tcPr>
          <w:p w14:paraId="418AB60E" w14:textId="77777777" w:rsidR="00CC22FD" w:rsidRDefault="00CC22FD">
            <w:pPr>
              <w:spacing w:line="240" w:lineRule="auto"/>
              <w:jc w:val="left"/>
              <w:rPr>
                <w:rFonts w:cs="Frankruhel"/>
                <w:sz w:val="24"/>
              </w:rPr>
            </w:pPr>
            <w:r>
              <w:rPr>
                <w:rFonts w:cs="Frankruhel"/>
                <w:sz w:val="24"/>
                <w:rtl/>
              </w:rPr>
              <w:t xml:space="preserve">סעיף 1 </w:t>
            </w:r>
          </w:p>
        </w:tc>
      </w:tr>
      <w:tr w:rsidR="00CC22FD" w14:paraId="42EC5C2B" w14:textId="77777777">
        <w:tblPrEx>
          <w:tblCellMar>
            <w:top w:w="0" w:type="dxa"/>
            <w:bottom w:w="0" w:type="dxa"/>
          </w:tblCellMar>
        </w:tblPrEx>
        <w:trPr>
          <w:jc w:val="right"/>
        </w:trPr>
        <w:tc>
          <w:tcPr>
            <w:tcW w:w="850" w:type="dxa"/>
          </w:tcPr>
          <w:p w14:paraId="4CFFA63B"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0698FD68" w14:textId="77777777" w:rsidR="00CC22FD" w:rsidRDefault="00CC22FD">
            <w:pPr>
              <w:spacing w:line="240" w:lineRule="auto"/>
              <w:jc w:val="left"/>
              <w:rPr>
                <w:rFonts w:cs="Frankruhel"/>
                <w:sz w:val="24"/>
              </w:rPr>
            </w:pPr>
            <w:hyperlink w:anchor="Seif0" w:tooltip="איגרות חוב מסוג גילון חדש" w:history="1">
              <w:r>
                <w:rPr>
                  <w:rStyle w:val="Hyperlink"/>
                </w:rPr>
                <w:t>Go</w:t>
              </w:r>
            </w:hyperlink>
          </w:p>
        </w:tc>
        <w:tc>
          <w:tcPr>
            <w:tcW w:w="5669" w:type="dxa"/>
          </w:tcPr>
          <w:p w14:paraId="363E20CD" w14:textId="77777777" w:rsidR="00CC22FD" w:rsidRDefault="00CC22FD">
            <w:pPr>
              <w:spacing w:line="240" w:lineRule="auto"/>
              <w:jc w:val="left"/>
              <w:rPr>
                <w:rFonts w:cs="Frankruhel"/>
                <w:sz w:val="24"/>
                <w:rtl/>
              </w:rPr>
            </w:pPr>
            <w:r>
              <w:rPr>
                <w:rFonts w:cs="Frankruhel"/>
                <w:sz w:val="24"/>
                <w:rtl/>
              </w:rPr>
              <w:t>איגרות חוב מסוג גילון חדש</w:t>
            </w:r>
          </w:p>
        </w:tc>
        <w:tc>
          <w:tcPr>
            <w:tcW w:w="1247" w:type="dxa"/>
          </w:tcPr>
          <w:p w14:paraId="087D1DC9" w14:textId="77777777" w:rsidR="00CC22FD" w:rsidRDefault="00CC22FD">
            <w:pPr>
              <w:spacing w:line="240" w:lineRule="auto"/>
              <w:jc w:val="left"/>
              <w:rPr>
                <w:rFonts w:cs="Frankruhel"/>
                <w:sz w:val="24"/>
              </w:rPr>
            </w:pPr>
            <w:r>
              <w:rPr>
                <w:rFonts w:cs="Frankruhel"/>
                <w:sz w:val="24"/>
                <w:rtl/>
              </w:rPr>
              <w:t xml:space="preserve">סעיף 2 </w:t>
            </w:r>
          </w:p>
        </w:tc>
      </w:tr>
      <w:tr w:rsidR="00CC22FD" w14:paraId="62016FC4" w14:textId="77777777">
        <w:tblPrEx>
          <w:tblCellMar>
            <w:top w:w="0" w:type="dxa"/>
            <w:bottom w:w="0" w:type="dxa"/>
          </w:tblCellMar>
        </w:tblPrEx>
        <w:trPr>
          <w:jc w:val="right"/>
        </w:trPr>
        <w:tc>
          <w:tcPr>
            <w:tcW w:w="850" w:type="dxa"/>
          </w:tcPr>
          <w:p w14:paraId="0098C7A6"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002FDF9C" w14:textId="77777777" w:rsidR="00CC22FD" w:rsidRDefault="00CC22FD">
            <w:pPr>
              <w:spacing w:line="240" w:lineRule="auto"/>
              <w:jc w:val="left"/>
              <w:rPr>
                <w:rFonts w:cs="Frankruhel"/>
                <w:sz w:val="24"/>
              </w:rPr>
            </w:pPr>
            <w:hyperlink w:anchor="Seif1" w:tooltip="איגרות חוב על שם" w:history="1">
              <w:r>
                <w:rPr>
                  <w:rStyle w:val="Hyperlink"/>
                </w:rPr>
                <w:t>Go</w:t>
              </w:r>
            </w:hyperlink>
          </w:p>
        </w:tc>
        <w:tc>
          <w:tcPr>
            <w:tcW w:w="5669" w:type="dxa"/>
          </w:tcPr>
          <w:p w14:paraId="47A20EE8" w14:textId="77777777" w:rsidR="00CC22FD" w:rsidRDefault="00CC22FD">
            <w:pPr>
              <w:spacing w:line="240" w:lineRule="auto"/>
              <w:jc w:val="left"/>
              <w:rPr>
                <w:rFonts w:cs="Frankruhel"/>
                <w:sz w:val="24"/>
                <w:rtl/>
              </w:rPr>
            </w:pPr>
            <w:r>
              <w:rPr>
                <w:rFonts w:cs="Frankruhel"/>
                <w:sz w:val="24"/>
                <w:rtl/>
              </w:rPr>
              <w:t>איגרות חוב על שם</w:t>
            </w:r>
          </w:p>
        </w:tc>
        <w:tc>
          <w:tcPr>
            <w:tcW w:w="1247" w:type="dxa"/>
          </w:tcPr>
          <w:p w14:paraId="2F22B834" w14:textId="77777777" w:rsidR="00CC22FD" w:rsidRDefault="00CC22FD">
            <w:pPr>
              <w:spacing w:line="240" w:lineRule="auto"/>
              <w:jc w:val="left"/>
              <w:rPr>
                <w:rFonts w:cs="Frankruhel"/>
                <w:sz w:val="24"/>
              </w:rPr>
            </w:pPr>
            <w:r>
              <w:rPr>
                <w:rFonts w:cs="Frankruhel"/>
                <w:sz w:val="24"/>
                <w:rtl/>
              </w:rPr>
              <w:t xml:space="preserve">סעיף 3 </w:t>
            </w:r>
          </w:p>
        </w:tc>
      </w:tr>
      <w:tr w:rsidR="00CC22FD" w14:paraId="05548B51" w14:textId="77777777">
        <w:tblPrEx>
          <w:tblCellMar>
            <w:top w:w="0" w:type="dxa"/>
            <w:bottom w:w="0" w:type="dxa"/>
          </w:tblCellMar>
        </w:tblPrEx>
        <w:trPr>
          <w:jc w:val="right"/>
        </w:trPr>
        <w:tc>
          <w:tcPr>
            <w:tcW w:w="850" w:type="dxa"/>
          </w:tcPr>
          <w:p w14:paraId="6C2999FA"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1304FB9E" w14:textId="77777777" w:rsidR="00CC22FD" w:rsidRDefault="00CC22FD">
            <w:pPr>
              <w:spacing w:line="240" w:lineRule="auto"/>
              <w:jc w:val="left"/>
              <w:rPr>
                <w:rFonts w:cs="Frankruhel"/>
                <w:sz w:val="24"/>
              </w:rPr>
            </w:pPr>
            <w:hyperlink w:anchor="Seif2" w:tooltip="השווי הנקוב" w:history="1">
              <w:r>
                <w:rPr>
                  <w:rStyle w:val="Hyperlink"/>
                </w:rPr>
                <w:t>Go</w:t>
              </w:r>
            </w:hyperlink>
          </w:p>
        </w:tc>
        <w:tc>
          <w:tcPr>
            <w:tcW w:w="5669" w:type="dxa"/>
          </w:tcPr>
          <w:p w14:paraId="4135902D" w14:textId="77777777" w:rsidR="00CC22FD" w:rsidRDefault="00CC22FD">
            <w:pPr>
              <w:spacing w:line="240" w:lineRule="auto"/>
              <w:jc w:val="left"/>
              <w:rPr>
                <w:rFonts w:cs="Frankruhel"/>
                <w:sz w:val="24"/>
                <w:rtl/>
              </w:rPr>
            </w:pPr>
            <w:r>
              <w:rPr>
                <w:rFonts w:cs="Frankruhel"/>
                <w:sz w:val="24"/>
                <w:rtl/>
              </w:rPr>
              <w:t>השווי הנקוב</w:t>
            </w:r>
          </w:p>
        </w:tc>
        <w:tc>
          <w:tcPr>
            <w:tcW w:w="1247" w:type="dxa"/>
          </w:tcPr>
          <w:p w14:paraId="3EE8D588" w14:textId="77777777" w:rsidR="00CC22FD" w:rsidRDefault="00CC22FD">
            <w:pPr>
              <w:spacing w:line="240" w:lineRule="auto"/>
              <w:jc w:val="left"/>
              <w:rPr>
                <w:rFonts w:cs="Frankruhel"/>
                <w:sz w:val="24"/>
              </w:rPr>
            </w:pPr>
            <w:r>
              <w:rPr>
                <w:rFonts w:cs="Frankruhel"/>
                <w:sz w:val="24"/>
                <w:rtl/>
              </w:rPr>
              <w:t xml:space="preserve">סעיף 4 </w:t>
            </w:r>
          </w:p>
        </w:tc>
      </w:tr>
      <w:tr w:rsidR="00CC22FD" w14:paraId="36FF8E37" w14:textId="77777777">
        <w:tblPrEx>
          <w:tblCellMar>
            <w:top w:w="0" w:type="dxa"/>
            <w:bottom w:w="0" w:type="dxa"/>
          </w:tblCellMar>
        </w:tblPrEx>
        <w:trPr>
          <w:jc w:val="right"/>
        </w:trPr>
        <w:tc>
          <w:tcPr>
            <w:tcW w:w="850" w:type="dxa"/>
          </w:tcPr>
          <w:p w14:paraId="17714BCA"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7075420C" w14:textId="77777777" w:rsidR="00CC22FD" w:rsidRDefault="00CC22FD">
            <w:pPr>
              <w:spacing w:line="240" w:lineRule="auto"/>
              <w:jc w:val="left"/>
              <w:rPr>
                <w:rFonts w:cs="Frankruhel"/>
                <w:sz w:val="24"/>
              </w:rPr>
            </w:pPr>
            <w:hyperlink w:anchor="Seif3" w:tooltip="מכירת איגרות החוב" w:history="1">
              <w:r>
                <w:rPr>
                  <w:rStyle w:val="Hyperlink"/>
                </w:rPr>
                <w:t>Go</w:t>
              </w:r>
            </w:hyperlink>
          </w:p>
        </w:tc>
        <w:tc>
          <w:tcPr>
            <w:tcW w:w="5669" w:type="dxa"/>
          </w:tcPr>
          <w:p w14:paraId="5D73B301" w14:textId="77777777" w:rsidR="00CC22FD" w:rsidRDefault="00CC22FD">
            <w:pPr>
              <w:spacing w:line="240" w:lineRule="auto"/>
              <w:jc w:val="left"/>
              <w:rPr>
                <w:rFonts w:cs="Frankruhel"/>
                <w:sz w:val="24"/>
                <w:rtl/>
              </w:rPr>
            </w:pPr>
            <w:r>
              <w:rPr>
                <w:rFonts w:cs="Frankruhel"/>
                <w:sz w:val="24"/>
                <w:rtl/>
              </w:rPr>
              <w:t>מכירת איגרות החוב</w:t>
            </w:r>
          </w:p>
        </w:tc>
        <w:tc>
          <w:tcPr>
            <w:tcW w:w="1247" w:type="dxa"/>
          </w:tcPr>
          <w:p w14:paraId="3AA715E4" w14:textId="77777777" w:rsidR="00CC22FD" w:rsidRDefault="00CC22FD">
            <w:pPr>
              <w:spacing w:line="240" w:lineRule="auto"/>
              <w:jc w:val="left"/>
              <w:rPr>
                <w:rFonts w:cs="Frankruhel"/>
                <w:sz w:val="24"/>
              </w:rPr>
            </w:pPr>
            <w:r>
              <w:rPr>
                <w:rFonts w:cs="Frankruhel"/>
                <w:sz w:val="24"/>
                <w:rtl/>
              </w:rPr>
              <w:t xml:space="preserve">סעיף 5 </w:t>
            </w:r>
          </w:p>
        </w:tc>
      </w:tr>
      <w:tr w:rsidR="00CC22FD" w14:paraId="05E41A9A" w14:textId="77777777">
        <w:tblPrEx>
          <w:tblCellMar>
            <w:top w:w="0" w:type="dxa"/>
            <w:bottom w:w="0" w:type="dxa"/>
          </w:tblCellMar>
        </w:tblPrEx>
        <w:trPr>
          <w:jc w:val="right"/>
        </w:trPr>
        <w:tc>
          <w:tcPr>
            <w:tcW w:w="850" w:type="dxa"/>
          </w:tcPr>
          <w:p w14:paraId="04FFAB47"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5F5A675B" w14:textId="77777777" w:rsidR="00CC22FD" w:rsidRDefault="00CC22FD">
            <w:pPr>
              <w:spacing w:line="240" w:lineRule="auto"/>
              <w:jc w:val="left"/>
              <w:rPr>
                <w:rFonts w:cs="Frankruhel"/>
                <w:sz w:val="24"/>
              </w:rPr>
            </w:pPr>
            <w:hyperlink w:anchor="Seif4" w:tooltip="ללא כותרת" w:history="1">
              <w:r>
                <w:rPr>
                  <w:rStyle w:val="Hyperlink"/>
                </w:rPr>
                <w:t>Go</w:t>
              </w:r>
            </w:hyperlink>
          </w:p>
        </w:tc>
        <w:tc>
          <w:tcPr>
            <w:tcW w:w="5669" w:type="dxa"/>
          </w:tcPr>
          <w:p w14:paraId="2A3C007A" w14:textId="77777777" w:rsidR="00CC22FD" w:rsidRDefault="00CC22FD">
            <w:pPr>
              <w:spacing w:line="240" w:lineRule="auto"/>
              <w:jc w:val="left"/>
              <w:rPr>
                <w:rFonts w:cs="Frankruhel"/>
                <w:sz w:val="24"/>
                <w:rtl/>
              </w:rPr>
            </w:pPr>
            <w:r>
              <w:rPr>
                <w:rFonts w:cs="Frankruhel"/>
                <w:sz w:val="24"/>
                <w:rtl/>
              </w:rPr>
              <w:t>ללא כותרת</w:t>
            </w:r>
          </w:p>
        </w:tc>
        <w:tc>
          <w:tcPr>
            <w:tcW w:w="1247" w:type="dxa"/>
          </w:tcPr>
          <w:p w14:paraId="5AEB09CE" w14:textId="77777777" w:rsidR="00CC22FD" w:rsidRDefault="00CC22FD">
            <w:pPr>
              <w:spacing w:line="240" w:lineRule="auto"/>
              <w:jc w:val="left"/>
              <w:rPr>
                <w:rFonts w:cs="Frankruhel"/>
                <w:sz w:val="24"/>
              </w:rPr>
            </w:pPr>
            <w:r>
              <w:rPr>
                <w:rFonts w:cs="Frankruhel"/>
                <w:sz w:val="24"/>
                <w:rtl/>
              </w:rPr>
              <w:t xml:space="preserve">סעיף 6 </w:t>
            </w:r>
          </w:p>
        </w:tc>
      </w:tr>
      <w:tr w:rsidR="00CC22FD" w14:paraId="427FBC0D" w14:textId="77777777">
        <w:tblPrEx>
          <w:tblCellMar>
            <w:top w:w="0" w:type="dxa"/>
            <w:bottom w:w="0" w:type="dxa"/>
          </w:tblCellMar>
        </w:tblPrEx>
        <w:trPr>
          <w:jc w:val="right"/>
        </w:trPr>
        <w:tc>
          <w:tcPr>
            <w:tcW w:w="850" w:type="dxa"/>
          </w:tcPr>
          <w:p w14:paraId="1ADD359A"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14:paraId="335E1C81" w14:textId="77777777" w:rsidR="00CC22FD" w:rsidRDefault="00CC22FD">
            <w:pPr>
              <w:spacing w:line="240" w:lineRule="auto"/>
              <w:jc w:val="left"/>
              <w:rPr>
                <w:rFonts w:cs="Frankruhel"/>
                <w:sz w:val="24"/>
              </w:rPr>
            </w:pPr>
            <w:hyperlink w:anchor="Seif5" w:tooltip="ריבית" w:history="1">
              <w:r>
                <w:rPr>
                  <w:rStyle w:val="Hyperlink"/>
                </w:rPr>
                <w:t>Go</w:t>
              </w:r>
            </w:hyperlink>
          </w:p>
        </w:tc>
        <w:tc>
          <w:tcPr>
            <w:tcW w:w="5669" w:type="dxa"/>
          </w:tcPr>
          <w:p w14:paraId="3C78463F" w14:textId="77777777" w:rsidR="00CC22FD" w:rsidRDefault="00CC22FD">
            <w:pPr>
              <w:spacing w:line="240" w:lineRule="auto"/>
              <w:jc w:val="left"/>
              <w:rPr>
                <w:rFonts w:cs="Frankruhel"/>
                <w:sz w:val="24"/>
                <w:rtl/>
              </w:rPr>
            </w:pPr>
            <w:r>
              <w:rPr>
                <w:rFonts w:cs="Frankruhel"/>
                <w:sz w:val="24"/>
                <w:rtl/>
              </w:rPr>
              <w:t>ריבית</w:t>
            </w:r>
          </w:p>
        </w:tc>
        <w:tc>
          <w:tcPr>
            <w:tcW w:w="1247" w:type="dxa"/>
          </w:tcPr>
          <w:p w14:paraId="6D2BC05E" w14:textId="77777777" w:rsidR="00CC22FD" w:rsidRDefault="00CC22FD">
            <w:pPr>
              <w:spacing w:line="240" w:lineRule="auto"/>
              <w:jc w:val="left"/>
              <w:rPr>
                <w:rFonts w:cs="Frankruhel"/>
                <w:sz w:val="24"/>
              </w:rPr>
            </w:pPr>
            <w:r>
              <w:rPr>
                <w:rFonts w:cs="Frankruhel"/>
                <w:sz w:val="24"/>
                <w:rtl/>
              </w:rPr>
              <w:t xml:space="preserve">סעיף 7 </w:t>
            </w:r>
          </w:p>
        </w:tc>
      </w:tr>
      <w:tr w:rsidR="00CC22FD" w14:paraId="1615C22B" w14:textId="77777777">
        <w:tblPrEx>
          <w:tblCellMar>
            <w:top w:w="0" w:type="dxa"/>
            <w:bottom w:w="0" w:type="dxa"/>
          </w:tblCellMar>
        </w:tblPrEx>
        <w:trPr>
          <w:jc w:val="right"/>
        </w:trPr>
        <w:tc>
          <w:tcPr>
            <w:tcW w:w="850" w:type="dxa"/>
          </w:tcPr>
          <w:p w14:paraId="395E19C3"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6A0F1BEA" w14:textId="77777777" w:rsidR="00CC22FD" w:rsidRDefault="00CC22FD">
            <w:pPr>
              <w:spacing w:line="240" w:lineRule="auto"/>
              <w:jc w:val="left"/>
              <w:rPr>
                <w:rFonts w:cs="Frankruhel"/>
                <w:sz w:val="24"/>
              </w:rPr>
            </w:pPr>
            <w:hyperlink w:anchor="Seif6" w:tooltip="תשלום הריבית" w:history="1">
              <w:r>
                <w:rPr>
                  <w:rStyle w:val="Hyperlink"/>
                </w:rPr>
                <w:t>Go</w:t>
              </w:r>
            </w:hyperlink>
          </w:p>
        </w:tc>
        <w:tc>
          <w:tcPr>
            <w:tcW w:w="5669" w:type="dxa"/>
          </w:tcPr>
          <w:p w14:paraId="60AEC42F" w14:textId="77777777" w:rsidR="00CC22FD" w:rsidRDefault="00CC22FD">
            <w:pPr>
              <w:spacing w:line="240" w:lineRule="auto"/>
              <w:jc w:val="left"/>
              <w:rPr>
                <w:rFonts w:cs="Frankruhel"/>
                <w:sz w:val="24"/>
                <w:rtl/>
              </w:rPr>
            </w:pPr>
            <w:r>
              <w:rPr>
                <w:rFonts w:cs="Frankruhel"/>
                <w:sz w:val="24"/>
                <w:rtl/>
              </w:rPr>
              <w:t>תשלום הריבית</w:t>
            </w:r>
          </w:p>
        </w:tc>
        <w:tc>
          <w:tcPr>
            <w:tcW w:w="1247" w:type="dxa"/>
          </w:tcPr>
          <w:p w14:paraId="2BA939A9" w14:textId="77777777" w:rsidR="00CC22FD" w:rsidRDefault="00CC22FD">
            <w:pPr>
              <w:spacing w:line="240" w:lineRule="auto"/>
              <w:jc w:val="left"/>
              <w:rPr>
                <w:rFonts w:cs="Frankruhel"/>
                <w:sz w:val="24"/>
              </w:rPr>
            </w:pPr>
            <w:r>
              <w:rPr>
                <w:rFonts w:cs="Frankruhel"/>
                <w:sz w:val="24"/>
                <w:rtl/>
              </w:rPr>
              <w:t xml:space="preserve">סעיף 8 </w:t>
            </w:r>
          </w:p>
        </w:tc>
      </w:tr>
      <w:tr w:rsidR="00CC22FD" w14:paraId="57929A98" w14:textId="77777777">
        <w:tblPrEx>
          <w:tblCellMar>
            <w:top w:w="0" w:type="dxa"/>
            <w:bottom w:w="0" w:type="dxa"/>
          </w:tblCellMar>
        </w:tblPrEx>
        <w:trPr>
          <w:jc w:val="right"/>
        </w:trPr>
        <w:tc>
          <w:tcPr>
            <w:tcW w:w="850" w:type="dxa"/>
          </w:tcPr>
          <w:p w14:paraId="5BC6A0D2"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6E1470C7" w14:textId="77777777" w:rsidR="00CC22FD" w:rsidRDefault="00CC22FD">
            <w:pPr>
              <w:spacing w:line="240" w:lineRule="auto"/>
              <w:jc w:val="left"/>
              <w:rPr>
                <w:rFonts w:cs="Frankruhel"/>
                <w:sz w:val="24"/>
              </w:rPr>
            </w:pPr>
            <w:hyperlink w:anchor="Seif7" w:tooltip="פדיון" w:history="1">
              <w:r>
                <w:rPr>
                  <w:rStyle w:val="Hyperlink"/>
                </w:rPr>
                <w:t>Go</w:t>
              </w:r>
            </w:hyperlink>
          </w:p>
        </w:tc>
        <w:tc>
          <w:tcPr>
            <w:tcW w:w="5669" w:type="dxa"/>
          </w:tcPr>
          <w:p w14:paraId="21376FFD" w14:textId="77777777" w:rsidR="00CC22FD" w:rsidRDefault="00CC22FD">
            <w:pPr>
              <w:spacing w:line="240" w:lineRule="auto"/>
              <w:jc w:val="left"/>
              <w:rPr>
                <w:rFonts w:cs="Frankruhel"/>
                <w:sz w:val="24"/>
                <w:rtl/>
              </w:rPr>
            </w:pPr>
            <w:r>
              <w:rPr>
                <w:rFonts w:cs="Frankruhel"/>
                <w:sz w:val="24"/>
                <w:rtl/>
              </w:rPr>
              <w:t>פדיון</w:t>
            </w:r>
          </w:p>
        </w:tc>
        <w:tc>
          <w:tcPr>
            <w:tcW w:w="1247" w:type="dxa"/>
          </w:tcPr>
          <w:p w14:paraId="66D013C0" w14:textId="77777777" w:rsidR="00CC22FD" w:rsidRDefault="00CC22FD">
            <w:pPr>
              <w:spacing w:line="240" w:lineRule="auto"/>
              <w:jc w:val="left"/>
              <w:rPr>
                <w:rFonts w:cs="Frankruhel"/>
                <w:sz w:val="24"/>
              </w:rPr>
            </w:pPr>
            <w:r>
              <w:rPr>
                <w:rFonts w:cs="Frankruhel"/>
                <w:sz w:val="24"/>
                <w:rtl/>
              </w:rPr>
              <w:t xml:space="preserve">סעיף 9 </w:t>
            </w:r>
          </w:p>
        </w:tc>
      </w:tr>
      <w:tr w:rsidR="00CC22FD" w14:paraId="5F233AF7" w14:textId="77777777">
        <w:tblPrEx>
          <w:tblCellMar>
            <w:top w:w="0" w:type="dxa"/>
            <w:bottom w:w="0" w:type="dxa"/>
          </w:tblCellMar>
        </w:tblPrEx>
        <w:trPr>
          <w:jc w:val="right"/>
        </w:trPr>
        <w:tc>
          <w:tcPr>
            <w:tcW w:w="850" w:type="dxa"/>
          </w:tcPr>
          <w:p w14:paraId="2E419E00"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Seif14</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2657253E" w14:textId="77777777" w:rsidR="00CC22FD" w:rsidRDefault="00CC22FD">
            <w:pPr>
              <w:spacing w:line="240" w:lineRule="auto"/>
              <w:jc w:val="left"/>
              <w:rPr>
                <w:rFonts w:cs="Frankruhel"/>
                <w:sz w:val="24"/>
              </w:rPr>
            </w:pPr>
            <w:hyperlink w:anchor="Seif14" w:tooltip="פדיון מוקדם" w:history="1">
              <w:r>
                <w:rPr>
                  <w:rStyle w:val="Hyperlink"/>
                </w:rPr>
                <w:t>Go</w:t>
              </w:r>
            </w:hyperlink>
          </w:p>
        </w:tc>
        <w:tc>
          <w:tcPr>
            <w:tcW w:w="5669" w:type="dxa"/>
          </w:tcPr>
          <w:p w14:paraId="783C7AAF" w14:textId="77777777" w:rsidR="00CC22FD" w:rsidRDefault="00CC22FD">
            <w:pPr>
              <w:spacing w:line="240" w:lineRule="auto"/>
              <w:jc w:val="left"/>
              <w:rPr>
                <w:rFonts w:cs="Frankruhel"/>
                <w:sz w:val="24"/>
                <w:rtl/>
              </w:rPr>
            </w:pPr>
            <w:r>
              <w:rPr>
                <w:rFonts w:cs="Frankruhel"/>
                <w:sz w:val="24"/>
                <w:rtl/>
              </w:rPr>
              <w:t>פדיון מוקדם</w:t>
            </w:r>
          </w:p>
        </w:tc>
        <w:tc>
          <w:tcPr>
            <w:tcW w:w="1247" w:type="dxa"/>
          </w:tcPr>
          <w:p w14:paraId="433B907F" w14:textId="77777777" w:rsidR="00CC22FD" w:rsidRDefault="00CC22FD">
            <w:pPr>
              <w:spacing w:line="240" w:lineRule="auto"/>
              <w:jc w:val="left"/>
              <w:rPr>
                <w:rFonts w:cs="Frankruhel"/>
                <w:sz w:val="24"/>
              </w:rPr>
            </w:pPr>
            <w:r>
              <w:rPr>
                <w:rFonts w:cs="Frankruhel"/>
                <w:sz w:val="24"/>
                <w:rtl/>
              </w:rPr>
              <w:t xml:space="preserve">סעיף 9א </w:t>
            </w:r>
          </w:p>
        </w:tc>
      </w:tr>
      <w:tr w:rsidR="00CC22FD" w14:paraId="2B802E39" w14:textId="77777777">
        <w:tblPrEx>
          <w:tblCellMar>
            <w:top w:w="0" w:type="dxa"/>
            <w:bottom w:w="0" w:type="dxa"/>
          </w:tblCellMar>
        </w:tblPrEx>
        <w:trPr>
          <w:jc w:val="right"/>
        </w:trPr>
        <w:tc>
          <w:tcPr>
            <w:tcW w:w="850" w:type="dxa"/>
          </w:tcPr>
          <w:p w14:paraId="659A05F9"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60E3FF0A" w14:textId="77777777" w:rsidR="00CC22FD" w:rsidRDefault="00CC22FD">
            <w:pPr>
              <w:spacing w:line="240" w:lineRule="auto"/>
              <w:jc w:val="left"/>
              <w:rPr>
                <w:rFonts w:cs="Frankruhel"/>
                <w:sz w:val="24"/>
              </w:rPr>
            </w:pPr>
            <w:hyperlink w:anchor="Seif8" w:tooltip="דרכי תשלום" w:history="1">
              <w:r>
                <w:rPr>
                  <w:rStyle w:val="Hyperlink"/>
                </w:rPr>
                <w:t>Go</w:t>
              </w:r>
            </w:hyperlink>
          </w:p>
        </w:tc>
        <w:tc>
          <w:tcPr>
            <w:tcW w:w="5669" w:type="dxa"/>
          </w:tcPr>
          <w:p w14:paraId="25BC1DD1" w14:textId="77777777" w:rsidR="00CC22FD" w:rsidRDefault="00CC22FD">
            <w:pPr>
              <w:spacing w:line="240" w:lineRule="auto"/>
              <w:jc w:val="left"/>
              <w:rPr>
                <w:rFonts w:cs="Frankruhel"/>
                <w:sz w:val="24"/>
                <w:rtl/>
              </w:rPr>
            </w:pPr>
            <w:r>
              <w:rPr>
                <w:rFonts w:cs="Frankruhel"/>
                <w:sz w:val="24"/>
                <w:rtl/>
              </w:rPr>
              <w:t>דרכי תשלום</w:t>
            </w:r>
          </w:p>
        </w:tc>
        <w:tc>
          <w:tcPr>
            <w:tcW w:w="1247" w:type="dxa"/>
          </w:tcPr>
          <w:p w14:paraId="3CD0A614" w14:textId="77777777" w:rsidR="00CC22FD" w:rsidRDefault="00CC22FD">
            <w:pPr>
              <w:spacing w:line="240" w:lineRule="auto"/>
              <w:jc w:val="left"/>
              <w:rPr>
                <w:rFonts w:cs="Frankruhel"/>
                <w:sz w:val="24"/>
              </w:rPr>
            </w:pPr>
            <w:r>
              <w:rPr>
                <w:rFonts w:cs="Frankruhel"/>
                <w:sz w:val="24"/>
                <w:rtl/>
              </w:rPr>
              <w:t xml:space="preserve">סעיף 10 </w:t>
            </w:r>
          </w:p>
        </w:tc>
      </w:tr>
      <w:tr w:rsidR="00CC22FD" w14:paraId="0D04D11E" w14:textId="77777777">
        <w:tblPrEx>
          <w:tblCellMar>
            <w:top w:w="0" w:type="dxa"/>
            <w:bottom w:w="0" w:type="dxa"/>
          </w:tblCellMar>
        </w:tblPrEx>
        <w:trPr>
          <w:jc w:val="right"/>
        </w:trPr>
        <w:tc>
          <w:tcPr>
            <w:tcW w:w="850" w:type="dxa"/>
          </w:tcPr>
          <w:p w14:paraId="6F7A1C31"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3A987BB0" w14:textId="77777777" w:rsidR="00CC22FD" w:rsidRDefault="00CC22FD">
            <w:pPr>
              <w:spacing w:line="240" w:lineRule="auto"/>
              <w:jc w:val="left"/>
              <w:rPr>
                <w:rFonts w:cs="Frankruhel"/>
                <w:sz w:val="24"/>
              </w:rPr>
            </w:pPr>
            <w:hyperlink w:anchor="Seif10" w:tooltip="פטור ממס" w:history="1">
              <w:r>
                <w:rPr>
                  <w:rStyle w:val="Hyperlink"/>
                </w:rPr>
                <w:t>Go</w:t>
              </w:r>
            </w:hyperlink>
          </w:p>
        </w:tc>
        <w:tc>
          <w:tcPr>
            <w:tcW w:w="5669" w:type="dxa"/>
          </w:tcPr>
          <w:p w14:paraId="06CDDA65" w14:textId="77777777" w:rsidR="00CC22FD" w:rsidRDefault="00CC22FD">
            <w:pPr>
              <w:spacing w:line="240" w:lineRule="auto"/>
              <w:jc w:val="left"/>
              <w:rPr>
                <w:rFonts w:cs="Frankruhel"/>
                <w:sz w:val="24"/>
                <w:rtl/>
              </w:rPr>
            </w:pPr>
            <w:r>
              <w:rPr>
                <w:rFonts w:cs="Frankruhel"/>
                <w:sz w:val="24"/>
                <w:rtl/>
              </w:rPr>
              <w:t>פטור ממס</w:t>
            </w:r>
          </w:p>
        </w:tc>
        <w:tc>
          <w:tcPr>
            <w:tcW w:w="1247" w:type="dxa"/>
          </w:tcPr>
          <w:p w14:paraId="224004CC" w14:textId="77777777" w:rsidR="00CC22FD" w:rsidRDefault="00CC22FD">
            <w:pPr>
              <w:spacing w:line="240" w:lineRule="auto"/>
              <w:jc w:val="left"/>
              <w:rPr>
                <w:rFonts w:cs="Frankruhel"/>
                <w:sz w:val="24"/>
              </w:rPr>
            </w:pPr>
            <w:r>
              <w:rPr>
                <w:rFonts w:cs="Frankruhel"/>
                <w:sz w:val="24"/>
                <w:rtl/>
              </w:rPr>
              <w:t xml:space="preserve">סעיף 11 </w:t>
            </w:r>
          </w:p>
        </w:tc>
      </w:tr>
      <w:tr w:rsidR="00CC22FD" w14:paraId="6A67FD7E" w14:textId="77777777">
        <w:tblPrEx>
          <w:tblCellMar>
            <w:top w:w="0" w:type="dxa"/>
            <w:bottom w:w="0" w:type="dxa"/>
          </w:tblCellMar>
        </w:tblPrEx>
        <w:trPr>
          <w:jc w:val="right"/>
        </w:trPr>
        <w:tc>
          <w:tcPr>
            <w:tcW w:w="850" w:type="dxa"/>
          </w:tcPr>
          <w:p w14:paraId="0CD7188F"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32D5E351" w14:textId="77777777" w:rsidR="00CC22FD" w:rsidRDefault="00CC22FD">
            <w:pPr>
              <w:spacing w:line="240" w:lineRule="auto"/>
              <w:jc w:val="left"/>
              <w:rPr>
                <w:rFonts w:cs="Frankruhel"/>
                <w:sz w:val="24"/>
              </w:rPr>
            </w:pPr>
            <w:hyperlink w:anchor="Seif11" w:tooltip="סגירת הפנקס" w:history="1">
              <w:r>
                <w:rPr>
                  <w:rStyle w:val="Hyperlink"/>
                </w:rPr>
                <w:t>Go</w:t>
              </w:r>
            </w:hyperlink>
          </w:p>
        </w:tc>
        <w:tc>
          <w:tcPr>
            <w:tcW w:w="5669" w:type="dxa"/>
          </w:tcPr>
          <w:p w14:paraId="527E6B33" w14:textId="77777777" w:rsidR="00CC22FD" w:rsidRDefault="00CC22FD">
            <w:pPr>
              <w:spacing w:line="240" w:lineRule="auto"/>
              <w:jc w:val="left"/>
              <w:rPr>
                <w:rFonts w:cs="Frankruhel"/>
                <w:sz w:val="24"/>
                <w:rtl/>
              </w:rPr>
            </w:pPr>
            <w:r>
              <w:rPr>
                <w:rFonts w:cs="Frankruhel"/>
                <w:sz w:val="24"/>
                <w:rtl/>
              </w:rPr>
              <w:t>סגירת הפנקס</w:t>
            </w:r>
          </w:p>
        </w:tc>
        <w:tc>
          <w:tcPr>
            <w:tcW w:w="1247" w:type="dxa"/>
          </w:tcPr>
          <w:p w14:paraId="56E35606" w14:textId="77777777" w:rsidR="00CC22FD" w:rsidRDefault="00CC22FD">
            <w:pPr>
              <w:spacing w:line="240" w:lineRule="auto"/>
              <w:jc w:val="left"/>
              <w:rPr>
                <w:rFonts w:cs="Frankruhel"/>
                <w:sz w:val="24"/>
              </w:rPr>
            </w:pPr>
            <w:r>
              <w:rPr>
                <w:rFonts w:cs="Frankruhel"/>
                <w:sz w:val="24"/>
                <w:rtl/>
              </w:rPr>
              <w:t xml:space="preserve">סעיף 12 </w:t>
            </w:r>
          </w:p>
        </w:tc>
      </w:tr>
      <w:tr w:rsidR="00CC22FD" w14:paraId="2FC7F74A" w14:textId="77777777">
        <w:tblPrEx>
          <w:tblCellMar>
            <w:top w:w="0" w:type="dxa"/>
            <w:bottom w:w="0" w:type="dxa"/>
          </w:tblCellMar>
        </w:tblPrEx>
        <w:trPr>
          <w:jc w:val="right"/>
        </w:trPr>
        <w:tc>
          <w:tcPr>
            <w:tcW w:w="850" w:type="dxa"/>
          </w:tcPr>
          <w:p w14:paraId="3274B865"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Seif15</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42D2CA91" w14:textId="77777777" w:rsidR="00CC22FD" w:rsidRDefault="00CC22FD">
            <w:pPr>
              <w:spacing w:line="240" w:lineRule="auto"/>
              <w:jc w:val="left"/>
              <w:rPr>
                <w:rFonts w:cs="Frankruhel"/>
                <w:sz w:val="24"/>
              </w:rPr>
            </w:pPr>
            <w:hyperlink w:anchor="Seif15" w:tooltip="שינוי מועד תשלום" w:history="1">
              <w:r>
                <w:rPr>
                  <w:rStyle w:val="Hyperlink"/>
                </w:rPr>
                <w:t>Go</w:t>
              </w:r>
            </w:hyperlink>
          </w:p>
        </w:tc>
        <w:tc>
          <w:tcPr>
            <w:tcW w:w="5669" w:type="dxa"/>
          </w:tcPr>
          <w:p w14:paraId="2BB1E848" w14:textId="77777777" w:rsidR="00CC22FD" w:rsidRDefault="00CC22FD">
            <w:pPr>
              <w:spacing w:line="240" w:lineRule="auto"/>
              <w:jc w:val="left"/>
              <w:rPr>
                <w:rFonts w:cs="Frankruhel"/>
                <w:sz w:val="24"/>
                <w:rtl/>
              </w:rPr>
            </w:pPr>
            <w:r>
              <w:rPr>
                <w:rFonts w:cs="Frankruhel"/>
                <w:sz w:val="24"/>
                <w:rtl/>
              </w:rPr>
              <w:t>שינוי מועד תשלום</w:t>
            </w:r>
          </w:p>
        </w:tc>
        <w:tc>
          <w:tcPr>
            <w:tcW w:w="1247" w:type="dxa"/>
          </w:tcPr>
          <w:p w14:paraId="6328D032" w14:textId="77777777" w:rsidR="00CC22FD" w:rsidRDefault="00CC22FD">
            <w:pPr>
              <w:spacing w:line="240" w:lineRule="auto"/>
              <w:jc w:val="left"/>
              <w:rPr>
                <w:rFonts w:cs="Frankruhel"/>
                <w:sz w:val="24"/>
              </w:rPr>
            </w:pPr>
            <w:r>
              <w:rPr>
                <w:rFonts w:cs="Frankruhel"/>
                <w:sz w:val="24"/>
                <w:rtl/>
              </w:rPr>
              <w:t xml:space="preserve">סעיף 12א </w:t>
            </w:r>
          </w:p>
        </w:tc>
      </w:tr>
      <w:tr w:rsidR="00CC22FD" w14:paraId="0AF9CAD9" w14:textId="77777777">
        <w:tblPrEx>
          <w:tblCellMar>
            <w:top w:w="0" w:type="dxa"/>
            <w:bottom w:w="0" w:type="dxa"/>
          </w:tblCellMar>
        </w:tblPrEx>
        <w:trPr>
          <w:jc w:val="right"/>
        </w:trPr>
        <w:tc>
          <w:tcPr>
            <w:tcW w:w="850" w:type="dxa"/>
          </w:tcPr>
          <w:p w14:paraId="2566A5A8"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14:paraId="6DEDD45A" w14:textId="77777777" w:rsidR="00CC22FD" w:rsidRDefault="00CC22FD">
            <w:pPr>
              <w:spacing w:line="240" w:lineRule="auto"/>
              <w:jc w:val="left"/>
              <w:rPr>
                <w:rFonts w:cs="Frankruhel"/>
                <w:sz w:val="24"/>
              </w:rPr>
            </w:pPr>
            <w:hyperlink w:anchor="Seif12" w:tooltip="ללא כותרת" w:history="1">
              <w:r>
                <w:rPr>
                  <w:rStyle w:val="Hyperlink"/>
                </w:rPr>
                <w:t>Go</w:t>
              </w:r>
            </w:hyperlink>
          </w:p>
        </w:tc>
        <w:tc>
          <w:tcPr>
            <w:tcW w:w="5669" w:type="dxa"/>
          </w:tcPr>
          <w:p w14:paraId="57F874FC" w14:textId="77777777" w:rsidR="00CC22FD" w:rsidRDefault="00CC22FD">
            <w:pPr>
              <w:spacing w:line="240" w:lineRule="auto"/>
              <w:jc w:val="left"/>
              <w:rPr>
                <w:rFonts w:cs="Frankruhel"/>
                <w:sz w:val="24"/>
                <w:rtl/>
              </w:rPr>
            </w:pPr>
            <w:r>
              <w:rPr>
                <w:rFonts w:cs="Frankruhel"/>
                <w:sz w:val="24"/>
                <w:rtl/>
              </w:rPr>
              <w:t>ללא כותרת</w:t>
            </w:r>
          </w:p>
        </w:tc>
        <w:tc>
          <w:tcPr>
            <w:tcW w:w="1247" w:type="dxa"/>
          </w:tcPr>
          <w:p w14:paraId="71ACBDC9" w14:textId="77777777" w:rsidR="00CC22FD" w:rsidRDefault="00CC22FD">
            <w:pPr>
              <w:spacing w:line="240" w:lineRule="auto"/>
              <w:jc w:val="left"/>
              <w:rPr>
                <w:rFonts w:cs="Frankruhel"/>
                <w:sz w:val="24"/>
              </w:rPr>
            </w:pPr>
            <w:r>
              <w:rPr>
                <w:rFonts w:cs="Frankruhel"/>
                <w:sz w:val="24"/>
                <w:rtl/>
              </w:rPr>
              <w:t xml:space="preserve">סעיף 13 </w:t>
            </w:r>
          </w:p>
        </w:tc>
      </w:tr>
      <w:tr w:rsidR="00CC22FD" w14:paraId="78A1E21B" w14:textId="77777777">
        <w:tblPrEx>
          <w:tblCellMar>
            <w:top w:w="0" w:type="dxa"/>
            <w:bottom w:w="0" w:type="dxa"/>
          </w:tblCellMar>
        </w:tblPrEx>
        <w:trPr>
          <w:jc w:val="right"/>
        </w:trPr>
        <w:tc>
          <w:tcPr>
            <w:tcW w:w="850" w:type="dxa"/>
          </w:tcPr>
          <w:p w14:paraId="2BE7A001"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14:paraId="6FF2108A" w14:textId="77777777" w:rsidR="00CC22FD" w:rsidRDefault="00CC22FD">
            <w:pPr>
              <w:spacing w:line="240" w:lineRule="auto"/>
              <w:jc w:val="left"/>
              <w:rPr>
                <w:rFonts w:cs="Frankruhel"/>
                <w:sz w:val="24"/>
              </w:rPr>
            </w:pPr>
            <w:hyperlink w:anchor="Seif13" w:tooltip="תחילה" w:history="1">
              <w:r>
                <w:rPr>
                  <w:rStyle w:val="Hyperlink"/>
                </w:rPr>
                <w:t>Go</w:t>
              </w:r>
            </w:hyperlink>
          </w:p>
        </w:tc>
        <w:tc>
          <w:tcPr>
            <w:tcW w:w="5669" w:type="dxa"/>
          </w:tcPr>
          <w:p w14:paraId="34717798" w14:textId="77777777" w:rsidR="00CC22FD" w:rsidRDefault="00CC22FD">
            <w:pPr>
              <w:spacing w:line="240" w:lineRule="auto"/>
              <w:jc w:val="left"/>
              <w:rPr>
                <w:rFonts w:cs="Frankruhel"/>
                <w:sz w:val="24"/>
                <w:rtl/>
              </w:rPr>
            </w:pPr>
            <w:r>
              <w:rPr>
                <w:rFonts w:cs="Frankruhel"/>
                <w:sz w:val="24"/>
                <w:rtl/>
              </w:rPr>
              <w:t>תחילה</w:t>
            </w:r>
          </w:p>
        </w:tc>
        <w:tc>
          <w:tcPr>
            <w:tcW w:w="1247" w:type="dxa"/>
          </w:tcPr>
          <w:p w14:paraId="0005C6A2" w14:textId="77777777" w:rsidR="00CC22FD" w:rsidRDefault="00CC22FD">
            <w:pPr>
              <w:spacing w:line="240" w:lineRule="auto"/>
              <w:jc w:val="left"/>
              <w:rPr>
                <w:rFonts w:cs="Frankruhel"/>
                <w:sz w:val="24"/>
              </w:rPr>
            </w:pPr>
            <w:r>
              <w:rPr>
                <w:rFonts w:cs="Frankruhel"/>
                <w:sz w:val="24"/>
                <w:rtl/>
              </w:rPr>
              <w:t xml:space="preserve">סעיף 14 </w:t>
            </w:r>
          </w:p>
        </w:tc>
      </w:tr>
      <w:tr w:rsidR="00CC22FD" w14:paraId="063A68F1" w14:textId="77777777">
        <w:tblPrEx>
          <w:tblCellMar>
            <w:top w:w="0" w:type="dxa"/>
            <w:bottom w:w="0" w:type="dxa"/>
          </w:tblCellMar>
        </w:tblPrEx>
        <w:trPr>
          <w:jc w:val="right"/>
        </w:trPr>
        <w:tc>
          <w:tcPr>
            <w:tcW w:w="850" w:type="dxa"/>
          </w:tcPr>
          <w:p w14:paraId="756C1AEC" w14:textId="77777777" w:rsidR="00CC22FD" w:rsidRDefault="00CC22FD">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med5</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14:paraId="4F51B3C3" w14:textId="77777777" w:rsidR="00CC22FD" w:rsidRDefault="00CC22FD">
            <w:pPr>
              <w:spacing w:line="240" w:lineRule="auto"/>
              <w:jc w:val="left"/>
              <w:rPr>
                <w:rFonts w:cs="Frankruhel"/>
                <w:sz w:val="24"/>
              </w:rPr>
            </w:pPr>
            <w:hyperlink w:anchor="med5" w:tooltip="תוספת" w:history="1">
              <w:r>
                <w:rPr>
                  <w:rStyle w:val="Hyperlink"/>
                </w:rPr>
                <w:t>Go</w:t>
              </w:r>
            </w:hyperlink>
          </w:p>
        </w:tc>
        <w:tc>
          <w:tcPr>
            <w:tcW w:w="5669" w:type="dxa"/>
          </w:tcPr>
          <w:p w14:paraId="0C6A2C90" w14:textId="77777777" w:rsidR="00CC22FD" w:rsidRDefault="00CC22FD">
            <w:pPr>
              <w:spacing w:line="240" w:lineRule="auto"/>
              <w:jc w:val="left"/>
              <w:rPr>
                <w:rFonts w:cs="Frankruhel"/>
                <w:sz w:val="24"/>
              </w:rPr>
            </w:pPr>
            <w:r>
              <w:rPr>
                <w:rFonts w:cs="Frankruhel"/>
                <w:sz w:val="24"/>
                <w:rtl/>
              </w:rPr>
              <w:t>תוספת</w:t>
            </w:r>
          </w:p>
        </w:tc>
        <w:tc>
          <w:tcPr>
            <w:tcW w:w="1247" w:type="dxa"/>
          </w:tcPr>
          <w:p w14:paraId="603C594B" w14:textId="77777777" w:rsidR="00CC22FD" w:rsidRDefault="00CC22FD">
            <w:pPr>
              <w:spacing w:line="240" w:lineRule="auto"/>
              <w:jc w:val="left"/>
              <w:rPr>
                <w:rFonts w:cs="Frankruhel"/>
                <w:sz w:val="24"/>
              </w:rPr>
            </w:pPr>
          </w:p>
        </w:tc>
      </w:tr>
    </w:tbl>
    <w:p w14:paraId="09D89F19" w14:textId="77777777" w:rsidR="00CC22FD" w:rsidRDefault="00CC22FD">
      <w:pPr>
        <w:pStyle w:val="big-header"/>
        <w:ind w:left="0" w:right="1134"/>
        <w:rPr>
          <w:rFonts w:cs="FrankRuehl"/>
          <w:sz w:val="32"/>
          <w:rtl/>
        </w:rPr>
      </w:pPr>
    </w:p>
    <w:p w14:paraId="565C48BD" w14:textId="77777777" w:rsidR="00CC22FD" w:rsidRDefault="00CC22FD" w:rsidP="004567A2">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מילווה המדינה (סדרות</w:t>
      </w:r>
      <w:r>
        <w:rPr>
          <w:rFonts w:cs="FrankRuehl"/>
          <w:sz w:val="32"/>
          <w:rtl/>
        </w:rPr>
        <w:t xml:space="preserve"> </w:t>
      </w:r>
      <w:r>
        <w:rPr>
          <w:rFonts w:cs="FrankRuehl" w:hint="cs"/>
          <w:sz w:val="32"/>
          <w:rtl/>
        </w:rPr>
        <w:t>מסוג "גילון חדש"), תשנ"ט-</w:t>
      </w:r>
      <w:r>
        <w:rPr>
          <w:rFonts w:cs="FrankRuehl"/>
          <w:sz w:val="32"/>
          <w:rtl/>
        </w:rPr>
        <w:t>1999</w:t>
      </w:r>
      <w:r>
        <w:rPr>
          <w:rStyle w:val="default"/>
          <w:rtl/>
        </w:rPr>
        <w:footnoteReference w:customMarkFollows="1" w:id="1"/>
        <w:t>*</w:t>
      </w:r>
    </w:p>
    <w:p w14:paraId="2D5F5F84"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 4, 12 ו-15 לחוק מילווה המדינה, תשל"ט</w:t>
      </w:r>
      <w:r w:rsidR="004A0CF1">
        <w:rPr>
          <w:rStyle w:val="default"/>
          <w:rFonts w:cs="FrankRuehl" w:hint="cs"/>
          <w:rtl/>
        </w:rPr>
        <w:t>-</w:t>
      </w:r>
      <w:r>
        <w:rPr>
          <w:rStyle w:val="default"/>
          <w:rFonts w:cs="FrankRuehl"/>
          <w:rtl/>
        </w:rPr>
        <w:t>1979 (</w:t>
      </w:r>
      <w:r>
        <w:rPr>
          <w:rStyle w:val="default"/>
          <w:rFonts w:cs="FrankRuehl" w:hint="cs"/>
          <w:rtl/>
        </w:rPr>
        <w:t xml:space="preserve">להלן </w:t>
      </w:r>
      <w:r w:rsidR="00992654">
        <w:rPr>
          <w:rStyle w:val="default"/>
          <w:rFonts w:cs="FrankRuehl"/>
          <w:rtl/>
        </w:rPr>
        <w:t>–</w:t>
      </w:r>
      <w:r>
        <w:rPr>
          <w:rStyle w:val="default"/>
          <w:rFonts w:cs="FrankRuehl"/>
          <w:rtl/>
        </w:rPr>
        <w:t xml:space="preserve"> </w:t>
      </w:r>
      <w:r>
        <w:rPr>
          <w:rStyle w:val="default"/>
          <w:rFonts w:cs="FrankRuehl" w:hint="cs"/>
          <w:rtl/>
        </w:rPr>
        <w:t>החוק), ולפי סעיף 15 לפקודת מס הכנסה, ובאישור ועדת הכספים של הכנסת, אני מתקין תקנות אלה:</w:t>
      </w:r>
    </w:p>
    <w:p w14:paraId="3EE01129" w14:textId="77777777" w:rsidR="00CC22FD" w:rsidRDefault="00CC22FD">
      <w:pPr>
        <w:pStyle w:val="P00"/>
        <w:spacing w:before="72"/>
        <w:ind w:left="0" w:right="1134"/>
        <w:rPr>
          <w:rStyle w:val="default"/>
          <w:rFonts w:cs="FrankRuehl" w:hint="cs"/>
          <w:rtl/>
        </w:rPr>
      </w:pPr>
      <w:bookmarkStart w:id="0" w:name="Seif9"/>
      <w:bookmarkEnd w:id="0"/>
      <w:r>
        <w:rPr>
          <w:lang w:val="he-IL"/>
        </w:rPr>
        <w:pict w14:anchorId="57B42683">
          <v:rect id="_x0000_s1026" style="position:absolute;left:0;text-align:left;margin-left:464.5pt;margin-top:8.05pt;width:75.05pt;height:12.85pt;z-index:251656192" o:allowincell="f" filled="f" stroked="f" strokecolor="lime" strokeweight=".25pt">
            <v:textbox inset="0,0,0,0">
              <w:txbxContent>
                <w:p w14:paraId="4CBC7309" w14:textId="77777777" w:rsidR="00CC22FD" w:rsidRDefault="00CC22F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בתקנ</w:t>
      </w:r>
      <w:r>
        <w:rPr>
          <w:rStyle w:val="default"/>
          <w:rFonts w:cs="FrankRuehl" w:hint="cs"/>
          <w:rtl/>
        </w:rPr>
        <w:t xml:space="preserve">ות אלה </w:t>
      </w:r>
      <w:r w:rsidR="004A0CF1">
        <w:rPr>
          <w:rStyle w:val="default"/>
          <w:rFonts w:cs="FrankRuehl"/>
          <w:rtl/>
        </w:rPr>
        <w:t>–</w:t>
      </w:r>
    </w:p>
    <w:p w14:paraId="34FF334D"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דרה" </w:t>
      </w:r>
      <w:r w:rsidR="00992654">
        <w:rPr>
          <w:rStyle w:val="default"/>
          <w:rFonts w:cs="FrankRuehl"/>
          <w:rtl/>
        </w:rPr>
        <w:t>–</w:t>
      </w:r>
      <w:r>
        <w:rPr>
          <w:rStyle w:val="default"/>
          <w:rFonts w:cs="FrankRuehl"/>
          <w:rtl/>
        </w:rPr>
        <w:t xml:space="preserve"> </w:t>
      </w:r>
      <w:r>
        <w:rPr>
          <w:rStyle w:val="default"/>
          <w:rFonts w:cs="FrankRuehl" w:hint="cs"/>
          <w:rtl/>
        </w:rPr>
        <w:t>איגרות חוב מסוג "גילון חדש" שהוצאו לציבור במשך תקופה כלשהי במספר סדרות משנה אשר לכולן מועד פדיון ומספר סדרה זהים;</w:t>
      </w:r>
    </w:p>
    <w:p w14:paraId="3D5FEFE8"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דרת משנה" </w:t>
      </w:r>
      <w:r w:rsidR="00992654">
        <w:rPr>
          <w:rStyle w:val="default"/>
          <w:rFonts w:cs="FrankRuehl"/>
          <w:rtl/>
        </w:rPr>
        <w:t>–</w:t>
      </w:r>
      <w:r>
        <w:rPr>
          <w:rStyle w:val="default"/>
          <w:rFonts w:cs="FrankRuehl"/>
          <w:rtl/>
        </w:rPr>
        <w:t xml:space="preserve"> </w:t>
      </w:r>
      <w:r>
        <w:rPr>
          <w:rStyle w:val="default"/>
          <w:rFonts w:cs="FrankRuehl" w:hint="cs"/>
          <w:rtl/>
        </w:rPr>
        <w:t>איגרות חוב מסוג "גילון חדש" שהוצאו לציבור במועד מסוים;</w:t>
      </w:r>
    </w:p>
    <w:p w14:paraId="24837671"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ילווה קצר מועד" </w:t>
      </w:r>
      <w:r w:rsidR="00992654">
        <w:rPr>
          <w:rStyle w:val="default"/>
          <w:rFonts w:cs="FrankRuehl"/>
          <w:rtl/>
        </w:rPr>
        <w:t>–</w:t>
      </w:r>
      <w:r>
        <w:rPr>
          <w:rStyle w:val="default"/>
          <w:rFonts w:cs="FrankRuehl"/>
          <w:rtl/>
        </w:rPr>
        <w:t xml:space="preserve"> </w:t>
      </w:r>
      <w:r>
        <w:rPr>
          <w:rStyle w:val="default"/>
          <w:rFonts w:cs="FrankRuehl" w:hint="cs"/>
          <w:rtl/>
        </w:rPr>
        <w:t>מילווה שהוצא לפי חוק מילווה קצ</w:t>
      </w:r>
      <w:r>
        <w:rPr>
          <w:rStyle w:val="default"/>
          <w:rFonts w:cs="FrankRuehl"/>
          <w:rtl/>
        </w:rPr>
        <w:t xml:space="preserve">ר </w:t>
      </w:r>
      <w:r>
        <w:rPr>
          <w:rStyle w:val="default"/>
          <w:rFonts w:cs="FrankRuehl" w:hint="cs"/>
          <w:rtl/>
        </w:rPr>
        <w:t>מועד, תשמ"ד</w:t>
      </w:r>
      <w:r w:rsidR="004A0CF1">
        <w:rPr>
          <w:rStyle w:val="default"/>
          <w:rFonts w:cs="FrankRuehl" w:hint="cs"/>
          <w:rtl/>
        </w:rPr>
        <w:t>-</w:t>
      </w:r>
      <w:r>
        <w:rPr>
          <w:rStyle w:val="default"/>
          <w:rFonts w:cs="FrankRuehl"/>
          <w:rtl/>
        </w:rPr>
        <w:t xml:space="preserve">1984, </w:t>
      </w:r>
      <w:r>
        <w:rPr>
          <w:rStyle w:val="default"/>
          <w:rFonts w:cs="FrankRuehl" w:hint="cs"/>
          <w:rtl/>
        </w:rPr>
        <w:t>שיתרת תקופתו למסחר ה</w:t>
      </w:r>
      <w:r>
        <w:rPr>
          <w:rStyle w:val="default"/>
          <w:rFonts w:cs="FrankRuehl"/>
          <w:rtl/>
        </w:rPr>
        <w:t>י</w:t>
      </w:r>
      <w:r>
        <w:rPr>
          <w:rStyle w:val="default"/>
          <w:rFonts w:cs="FrankRuehl" w:hint="cs"/>
          <w:rtl/>
        </w:rPr>
        <w:t>א שלושה חודשים עד שנה;</w:t>
      </w:r>
    </w:p>
    <w:p w14:paraId="62639AC0"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שואה יומית משוקללת" </w:t>
      </w:r>
      <w:r w:rsidR="00992654">
        <w:rPr>
          <w:rStyle w:val="default"/>
          <w:rFonts w:cs="FrankRuehl"/>
          <w:rtl/>
        </w:rPr>
        <w:t>–</w:t>
      </w:r>
      <w:r>
        <w:rPr>
          <w:rStyle w:val="default"/>
          <w:rFonts w:cs="FrankRuehl"/>
          <w:rtl/>
        </w:rPr>
        <w:t xml:space="preserve"> </w:t>
      </w:r>
      <w:r>
        <w:rPr>
          <w:rStyle w:val="default"/>
          <w:rFonts w:cs="FrankRuehl" w:hint="cs"/>
          <w:rtl/>
        </w:rPr>
        <w:t>ממוצע התשואות שיחושב בידי בנק ישראל לגבי מילווה קצר מועד, במונחים שנתיים, לפי השערים שנקבעו בבורסה למילוות קצרי מועד, כשהוא משוקלל לפי הערך הכספי של כל סדרה שבידי הציב</w:t>
      </w:r>
      <w:r>
        <w:rPr>
          <w:rStyle w:val="default"/>
          <w:rFonts w:cs="FrankRuehl"/>
          <w:rtl/>
        </w:rPr>
        <w:t>ור</w:t>
      </w:r>
      <w:r>
        <w:rPr>
          <w:rStyle w:val="default"/>
          <w:rFonts w:cs="FrankRuehl" w:hint="cs"/>
          <w:rtl/>
        </w:rPr>
        <w:t xml:space="preserve"> ליום מסוים;</w:t>
      </w:r>
    </w:p>
    <w:p w14:paraId="22349F74"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מוצע תשואה יומית משוקל</w:t>
      </w:r>
      <w:r>
        <w:rPr>
          <w:rStyle w:val="default"/>
          <w:rFonts w:cs="FrankRuehl"/>
          <w:rtl/>
        </w:rPr>
        <w:t>ל</w:t>
      </w:r>
      <w:r>
        <w:rPr>
          <w:rStyle w:val="default"/>
          <w:rFonts w:cs="FrankRuehl" w:hint="cs"/>
          <w:rtl/>
        </w:rPr>
        <w:t xml:space="preserve">ת" </w:t>
      </w:r>
      <w:r w:rsidR="00992654">
        <w:rPr>
          <w:rStyle w:val="default"/>
          <w:rFonts w:cs="FrankRuehl"/>
          <w:rtl/>
        </w:rPr>
        <w:t>–</w:t>
      </w:r>
      <w:r>
        <w:rPr>
          <w:rStyle w:val="default"/>
          <w:rFonts w:cs="FrankRuehl"/>
          <w:rtl/>
        </w:rPr>
        <w:t xml:space="preserve"> </w:t>
      </w:r>
      <w:r>
        <w:rPr>
          <w:rStyle w:val="default"/>
          <w:rFonts w:cs="FrankRuehl" w:hint="cs"/>
          <w:rtl/>
        </w:rPr>
        <w:t xml:space="preserve">ממוצע משוקלל לפי הערך הכספי בבורסה של התשואה היומית המשוקללת בעשרת ימי המסחר שקדמו ליום המסחר האחרון בתקופת ריבית; ובתקופה שבה אין מילוות קצרי מועד בבורסה או שסכום המילוות אינו מהותי </w:t>
      </w:r>
      <w:r w:rsidR="00992654">
        <w:rPr>
          <w:rStyle w:val="default"/>
          <w:rFonts w:cs="FrankRuehl"/>
          <w:rtl/>
        </w:rPr>
        <w:t>–</w:t>
      </w:r>
      <w:r>
        <w:rPr>
          <w:rStyle w:val="default"/>
          <w:rFonts w:cs="FrankRuehl"/>
          <w:rtl/>
        </w:rPr>
        <w:t xml:space="preserve"> </w:t>
      </w:r>
      <w:r>
        <w:rPr>
          <w:rStyle w:val="default"/>
          <w:rFonts w:cs="FrankRuehl" w:hint="cs"/>
          <w:rtl/>
        </w:rPr>
        <w:t xml:space="preserve">החישוב ייעשה על פי ממוצע </w:t>
      </w:r>
      <w:r>
        <w:rPr>
          <w:rStyle w:val="default"/>
          <w:rFonts w:cs="FrankRuehl"/>
          <w:rtl/>
        </w:rPr>
        <w:t>הת</w:t>
      </w:r>
      <w:r>
        <w:rPr>
          <w:rStyle w:val="default"/>
          <w:rFonts w:cs="FrankRuehl" w:hint="cs"/>
          <w:rtl/>
        </w:rPr>
        <w:t>שואות של איגרות חוב סחירות בבורסה, שאי</w:t>
      </w:r>
      <w:r>
        <w:rPr>
          <w:rStyle w:val="default"/>
          <w:rFonts w:cs="FrankRuehl"/>
          <w:rtl/>
        </w:rPr>
        <w:t>נ</w:t>
      </w:r>
      <w:r>
        <w:rPr>
          <w:rStyle w:val="default"/>
          <w:rFonts w:cs="FrankRuehl" w:hint="cs"/>
          <w:rtl/>
        </w:rPr>
        <w:t>ן צמודות למדד, הנושאות ריבית בשיעור קבוע, שהוצאו לפי החוק, ושיתרת תקופתן לפדיון משלושה חודשים עד שנה;</w:t>
      </w:r>
    </w:p>
    <w:p w14:paraId="57D5E79A"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קופת ריבית" </w:t>
      </w:r>
      <w:r w:rsidR="00992654">
        <w:rPr>
          <w:rStyle w:val="default"/>
          <w:rFonts w:cs="FrankRuehl"/>
          <w:rtl/>
        </w:rPr>
        <w:t>–</w:t>
      </w:r>
      <w:r>
        <w:rPr>
          <w:rStyle w:val="default"/>
          <w:rFonts w:cs="FrankRuehl"/>
          <w:rtl/>
        </w:rPr>
        <w:t xml:space="preserve"> </w:t>
      </w:r>
      <w:r>
        <w:rPr>
          <w:rStyle w:val="default"/>
          <w:rFonts w:cs="FrankRuehl" w:hint="cs"/>
          <w:rtl/>
        </w:rPr>
        <w:t>כל אחת מאלה:</w:t>
      </w:r>
    </w:p>
    <w:p w14:paraId="4422DD35" w14:textId="77777777" w:rsidR="00CC22FD" w:rsidRDefault="00CC22FD" w:rsidP="004A0CF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ריבית הראשונה בכל סדרה </w:t>
      </w:r>
      <w:r w:rsidR="00992654">
        <w:rPr>
          <w:rStyle w:val="default"/>
          <w:rFonts w:cs="FrankRuehl"/>
          <w:rtl/>
        </w:rPr>
        <w:t>–</w:t>
      </w:r>
      <w:r>
        <w:rPr>
          <w:rStyle w:val="default"/>
          <w:rFonts w:cs="FrankRuehl"/>
          <w:rtl/>
        </w:rPr>
        <w:t xml:space="preserve"> </w:t>
      </w:r>
      <w:r>
        <w:rPr>
          <w:rStyle w:val="default"/>
          <w:rFonts w:cs="FrankRuehl" w:hint="cs"/>
          <w:rtl/>
        </w:rPr>
        <w:t>התקופה המתחילה ב-1 בחודש שבו הונפקה סדרת המשנה הראשונ</w:t>
      </w:r>
      <w:r>
        <w:rPr>
          <w:rStyle w:val="default"/>
          <w:rFonts w:cs="FrankRuehl"/>
          <w:rtl/>
        </w:rPr>
        <w:t xml:space="preserve">ה </w:t>
      </w:r>
      <w:r>
        <w:rPr>
          <w:rStyle w:val="default"/>
          <w:rFonts w:cs="FrankRuehl" w:hint="cs"/>
          <w:rtl/>
        </w:rPr>
        <w:t>והמסתיימת ביום הקובע בחודש השני לאחר מ</w:t>
      </w:r>
      <w:r>
        <w:rPr>
          <w:rStyle w:val="default"/>
          <w:rFonts w:cs="FrankRuehl"/>
          <w:rtl/>
        </w:rPr>
        <w:t>כ</w:t>
      </w:r>
      <w:r>
        <w:rPr>
          <w:rStyle w:val="default"/>
          <w:rFonts w:cs="FrankRuehl" w:hint="cs"/>
          <w:rtl/>
        </w:rPr>
        <w:t>ן;</w:t>
      </w:r>
    </w:p>
    <w:p w14:paraId="088D0111" w14:textId="77777777" w:rsidR="00CC22FD" w:rsidRDefault="00CC22FD" w:rsidP="004A0CF1">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המשך כל סדרה </w:t>
      </w:r>
      <w:r w:rsidR="00992654">
        <w:rPr>
          <w:rStyle w:val="default"/>
          <w:rFonts w:cs="FrankRuehl"/>
          <w:rtl/>
        </w:rPr>
        <w:t>–</w:t>
      </w:r>
      <w:r>
        <w:rPr>
          <w:rStyle w:val="default"/>
          <w:rFonts w:cs="FrankRuehl"/>
          <w:rtl/>
        </w:rPr>
        <w:t xml:space="preserve"> </w:t>
      </w:r>
      <w:r>
        <w:rPr>
          <w:rStyle w:val="default"/>
          <w:rFonts w:cs="FrankRuehl" w:hint="cs"/>
          <w:rtl/>
        </w:rPr>
        <w:t>התקופה המ</w:t>
      </w:r>
      <w:r>
        <w:rPr>
          <w:rStyle w:val="default"/>
          <w:rFonts w:cs="FrankRuehl"/>
          <w:rtl/>
        </w:rPr>
        <w:t>תח</w:t>
      </w:r>
      <w:r>
        <w:rPr>
          <w:rStyle w:val="default"/>
          <w:rFonts w:cs="FrankRuehl" w:hint="cs"/>
          <w:rtl/>
        </w:rPr>
        <w:t>ילה ביום האחרון של תקופת הריבית הקודמת באותה סדרה והמסתיימת ביום הקובע בחודש השלישי לאחר מכן;</w:t>
      </w:r>
    </w:p>
    <w:p w14:paraId="246E8F3E"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יום הקובע" </w:t>
      </w:r>
      <w:r w:rsidR="00992654">
        <w:rPr>
          <w:rStyle w:val="default"/>
          <w:rFonts w:cs="FrankRuehl"/>
          <w:rtl/>
        </w:rPr>
        <w:t>–</w:t>
      </w:r>
      <w:r>
        <w:rPr>
          <w:rStyle w:val="default"/>
          <w:rFonts w:cs="FrankRuehl"/>
          <w:rtl/>
        </w:rPr>
        <w:t xml:space="preserve"> </w:t>
      </w:r>
      <w:r>
        <w:rPr>
          <w:rStyle w:val="default"/>
          <w:rFonts w:cs="FrankRuehl" w:hint="cs"/>
          <w:rtl/>
        </w:rPr>
        <w:t>יום העסקים הבנקאי האחרון בחודש כלשהו;</w:t>
      </w:r>
    </w:p>
    <w:p w14:paraId="4079FB7D" w14:textId="77777777" w:rsidR="00CC22FD" w:rsidRDefault="00CC22FD" w:rsidP="004A0CF1">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אגיד בנקאי" </w:t>
      </w:r>
      <w:r w:rsidR="00992654">
        <w:rPr>
          <w:rStyle w:val="default"/>
          <w:rFonts w:cs="FrankRuehl"/>
          <w:rtl/>
        </w:rPr>
        <w:t>–</w:t>
      </w:r>
      <w:r>
        <w:rPr>
          <w:rStyle w:val="default"/>
          <w:rFonts w:cs="FrankRuehl"/>
          <w:rtl/>
        </w:rPr>
        <w:t xml:space="preserve"> </w:t>
      </w:r>
      <w:r>
        <w:rPr>
          <w:rStyle w:val="default"/>
          <w:rFonts w:cs="FrankRuehl" w:hint="cs"/>
          <w:rtl/>
        </w:rPr>
        <w:t>כמשמעותו בחוק הבנקאות (רישוי), תשמ"א</w:t>
      </w:r>
      <w:r w:rsidR="004A0CF1">
        <w:rPr>
          <w:rStyle w:val="default"/>
          <w:rFonts w:cs="FrankRuehl" w:hint="cs"/>
          <w:rtl/>
        </w:rPr>
        <w:t>-</w:t>
      </w:r>
      <w:r w:rsidR="00992654">
        <w:rPr>
          <w:rStyle w:val="default"/>
          <w:rFonts w:cs="FrankRuehl"/>
          <w:rtl/>
        </w:rPr>
        <w:t>1981;</w:t>
      </w:r>
    </w:p>
    <w:p w14:paraId="22B1CC91"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בנקאי" </w:t>
      </w:r>
      <w:r w:rsidR="00992654">
        <w:rPr>
          <w:rStyle w:val="default"/>
          <w:rFonts w:cs="FrankRuehl"/>
          <w:rtl/>
        </w:rPr>
        <w:t>–</w:t>
      </w:r>
      <w:r>
        <w:rPr>
          <w:rStyle w:val="default"/>
          <w:rFonts w:cs="FrankRuehl"/>
          <w:rtl/>
        </w:rPr>
        <w:t xml:space="preserve"> </w:t>
      </w:r>
      <w:r>
        <w:rPr>
          <w:rStyle w:val="default"/>
          <w:rFonts w:cs="FrankRuehl" w:hint="cs"/>
          <w:rtl/>
        </w:rPr>
        <w:t>יום שלגביו רוב סניפי הת</w:t>
      </w:r>
      <w:r>
        <w:rPr>
          <w:rStyle w:val="default"/>
          <w:rFonts w:cs="FrankRuehl"/>
          <w:rtl/>
        </w:rPr>
        <w:t>אג</w:t>
      </w:r>
      <w:r>
        <w:rPr>
          <w:rStyle w:val="default"/>
          <w:rFonts w:cs="FrankRuehl" w:hint="cs"/>
          <w:rtl/>
        </w:rPr>
        <w:t>ידים הבנקאיים נוהגים לקיים סליקה של שי</w:t>
      </w:r>
      <w:r>
        <w:rPr>
          <w:rStyle w:val="default"/>
          <w:rFonts w:cs="FrankRuehl"/>
          <w:rtl/>
        </w:rPr>
        <w:t>ק</w:t>
      </w:r>
      <w:r>
        <w:rPr>
          <w:rStyle w:val="default"/>
          <w:rFonts w:cs="FrankRuehl" w:hint="cs"/>
          <w:rtl/>
        </w:rPr>
        <w:t>ים, חיובים אחרים וזיכויים;</w:t>
      </w:r>
    </w:p>
    <w:p w14:paraId="1A01AE92"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ועד תשלום הריבית" </w:t>
      </w:r>
      <w:r w:rsidR="00992654">
        <w:rPr>
          <w:rStyle w:val="default"/>
          <w:rFonts w:cs="FrankRuehl"/>
          <w:rtl/>
        </w:rPr>
        <w:t>–</w:t>
      </w:r>
      <w:r>
        <w:rPr>
          <w:rStyle w:val="default"/>
          <w:rFonts w:cs="FrankRuehl"/>
          <w:rtl/>
        </w:rPr>
        <w:t xml:space="preserve"> </w:t>
      </w:r>
      <w:r>
        <w:rPr>
          <w:rStyle w:val="default"/>
          <w:rFonts w:cs="FrankRuehl" w:hint="cs"/>
          <w:rtl/>
        </w:rPr>
        <w:t>היום הקובע בחודש שבו תמה תקופת ריבית;</w:t>
      </w:r>
    </w:p>
    <w:p w14:paraId="4D92CCFD"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ום עסקים בנקאי" </w:t>
      </w:r>
      <w:r w:rsidR="00992654">
        <w:rPr>
          <w:rStyle w:val="default"/>
          <w:rFonts w:cs="FrankRuehl"/>
          <w:rtl/>
        </w:rPr>
        <w:t>–</w:t>
      </w:r>
      <w:r>
        <w:rPr>
          <w:rStyle w:val="default"/>
          <w:rFonts w:cs="FrankRuehl"/>
          <w:rtl/>
        </w:rPr>
        <w:t xml:space="preserve"> </w:t>
      </w:r>
      <w:r>
        <w:rPr>
          <w:rStyle w:val="default"/>
          <w:rFonts w:cs="FrankRuehl" w:hint="cs"/>
          <w:rtl/>
        </w:rPr>
        <w:t>יום שלגביו רוב סניפי התאגידים הבנקאיים נוהגים לקיים סליקה של שיקים, חיובים אחרים וזיכויים;</w:t>
      </w:r>
    </w:p>
    <w:p w14:paraId="13CED75C"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ועד תשלום הר</w:t>
      </w:r>
      <w:r>
        <w:rPr>
          <w:rStyle w:val="default"/>
          <w:rFonts w:cs="FrankRuehl"/>
          <w:rtl/>
        </w:rPr>
        <w:t>יב</w:t>
      </w:r>
      <w:r>
        <w:rPr>
          <w:rStyle w:val="default"/>
          <w:rFonts w:cs="FrankRuehl" w:hint="cs"/>
          <w:rtl/>
        </w:rPr>
        <w:t xml:space="preserve">ית" </w:t>
      </w:r>
      <w:r w:rsidR="00992654">
        <w:rPr>
          <w:rStyle w:val="default"/>
          <w:rFonts w:cs="FrankRuehl"/>
          <w:rtl/>
        </w:rPr>
        <w:t>–</w:t>
      </w:r>
      <w:r>
        <w:rPr>
          <w:rStyle w:val="default"/>
          <w:rFonts w:cs="FrankRuehl"/>
          <w:rtl/>
        </w:rPr>
        <w:t xml:space="preserve"> </w:t>
      </w:r>
      <w:r>
        <w:rPr>
          <w:rStyle w:val="default"/>
          <w:rFonts w:cs="FrankRuehl" w:hint="cs"/>
          <w:rtl/>
        </w:rPr>
        <w:t>היום הקובע בחודש שבו תמה תקופת ר</w:t>
      </w:r>
      <w:r>
        <w:rPr>
          <w:rStyle w:val="default"/>
          <w:rFonts w:cs="FrankRuehl"/>
          <w:rtl/>
        </w:rPr>
        <w:t>י</w:t>
      </w:r>
      <w:r>
        <w:rPr>
          <w:rStyle w:val="default"/>
          <w:rFonts w:cs="FrankRuehl" w:hint="cs"/>
          <w:rtl/>
        </w:rPr>
        <w:t>בית;</w:t>
      </w:r>
    </w:p>
    <w:p w14:paraId="0128A8E9" w14:textId="77777777" w:rsidR="00CC22FD" w:rsidRDefault="00CC22FD" w:rsidP="004A0CF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מי ריבית" </w:t>
      </w:r>
      <w:r w:rsidR="00992654">
        <w:rPr>
          <w:rStyle w:val="default"/>
          <w:rFonts w:cs="FrankRuehl"/>
          <w:rtl/>
        </w:rPr>
        <w:t>–</w:t>
      </w:r>
      <w:r>
        <w:rPr>
          <w:rStyle w:val="default"/>
          <w:rFonts w:cs="FrankRuehl"/>
          <w:rtl/>
        </w:rPr>
        <w:t xml:space="preserve"> </w:t>
      </w:r>
      <w:r>
        <w:rPr>
          <w:rStyle w:val="default"/>
          <w:rFonts w:cs="FrankRuehl" w:hint="cs"/>
          <w:rtl/>
        </w:rPr>
        <w:t>מספר הימים בתקופת ריבית, המחושב על פי הפרש הימים שבין היום הראשון בתקופת ריבית לבין היום האחרון בתקופת ריבית;</w:t>
      </w:r>
    </w:p>
    <w:p w14:paraId="0FE4A6DF" w14:textId="77777777" w:rsidR="00CC22FD" w:rsidRDefault="00CC22FD" w:rsidP="0099265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יבית ראשונה" </w:t>
      </w:r>
      <w:r w:rsidR="00992654">
        <w:rPr>
          <w:rStyle w:val="default"/>
          <w:rFonts w:cs="FrankRuehl"/>
          <w:rtl/>
        </w:rPr>
        <w:t>–</w:t>
      </w:r>
      <w:r>
        <w:rPr>
          <w:rStyle w:val="default"/>
          <w:rFonts w:cs="FrankRuehl"/>
          <w:rtl/>
        </w:rPr>
        <w:t xml:space="preserve"> </w:t>
      </w:r>
      <w:r>
        <w:rPr>
          <w:rStyle w:val="default"/>
          <w:rFonts w:cs="FrankRuehl" w:hint="cs"/>
          <w:rtl/>
        </w:rPr>
        <w:t>ריבית בשיעור של ממוצע תשואה יומית</w:t>
      </w:r>
      <w:r>
        <w:rPr>
          <w:rStyle w:val="default"/>
          <w:rFonts w:cs="FrankRuehl"/>
          <w:rtl/>
        </w:rPr>
        <w:t xml:space="preserve"> מ</w:t>
      </w:r>
      <w:r>
        <w:rPr>
          <w:rStyle w:val="default"/>
          <w:rFonts w:cs="FrankRuehl" w:hint="cs"/>
          <w:rtl/>
        </w:rPr>
        <w:t>שוקללת שחישב בנק ישראל לפי הערך</w:t>
      </w:r>
      <w:r>
        <w:rPr>
          <w:rStyle w:val="default"/>
          <w:rFonts w:cs="FrankRuehl"/>
          <w:rtl/>
        </w:rPr>
        <w:t xml:space="preserve"> ה</w:t>
      </w:r>
      <w:r>
        <w:rPr>
          <w:rStyle w:val="default"/>
          <w:rFonts w:cs="FrankRuehl" w:hint="cs"/>
          <w:rtl/>
        </w:rPr>
        <w:t>כספי בבורסה של כלל הסדרות בכל אחד מימי</w:t>
      </w:r>
      <w:r>
        <w:rPr>
          <w:rStyle w:val="default"/>
          <w:rFonts w:cs="FrankRuehl"/>
          <w:rtl/>
        </w:rPr>
        <w:t xml:space="preserve"> </w:t>
      </w:r>
      <w:r>
        <w:rPr>
          <w:rStyle w:val="default"/>
          <w:rFonts w:cs="FrankRuehl" w:hint="cs"/>
          <w:rtl/>
        </w:rPr>
        <w:t>המסחר בעשרת ימי המסחר שקדמו ל-</w:t>
      </w:r>
      <w:r>
        <w:rPr>
          <w:rStyle w:val="default"/>
          <w:rFonts w:cs="FrankRuehl" w:hint="cs"/>
          <w:rtl/>
        </w:rPr>
        <w:lastRenderedPageBreak/>
        <w:t>25 בחודש, שקדם לחודש שבו תונפק סדרת המשנה הראשונה;</w:t>
      </w:r>
    </w:p>
    <w:p w14:paraId="51E283A4" w14:textId="77777777" w:rsidR="00CC22FD" w:rsidRDefault="00CC22FD" w:rsidP="004A0CF1">
      <w:pPr>
        <w:pStyle w:val="P00"/>
        <w:spacing w:before="72"/>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יבית משתנה" </w:t>
      </w:r>
      <w:r w:rsidR="00992654">
        <w:rPr>
          <w:rStyle w:val="default"/>
          <w:rFonts w:cs="FrankRuehl"/>
          <w:rtl/>
        </w:rPr>
        <w:t>–</w:t>
      </w:r>
      <w:r>
        <w:rPr>
          <w:rStyle w:val="default"/>
          <w:rFonts w:cs="FrankRuehl"/>
          <w:rtl/>
        </w:rPr>
        <w:t xml:space="preserve"> </w:t>
      </w:r>
      <w:r>
        <w:rPr>
          <w:rStyle w:val="default"/>
          <w:rFonts w:cs="FrankRuehl" w:hint="cs"/>
          <w:rtl/>
        </w:rPr>
        <w:t xml:space="preserve">ריבית בשיעור משתנה שתיקבע בגובה שיעור ממוצע תשואה יומית משוקללת כשהוא מעוגל לעשירית האחוז הקרובה ביותר, בתוספת שיעור </w:t>
      </w:r>
      <w:r>
        <w:rPr>
          <w:rStyle w:val="default"/>
          <w:rFonts w:cs="FrankRuehl"/>
          <w:rtl/>
        </w:rPr>
        <w:t>שי</w:t>
      </w:r>
      <w:r>
        <w:rPr>
          <w:rStyle w:val="default"/>
          <w:rFonts w:cs="FrankRuehl" w:hint="cs"/>
          <w:rtl/>
        </w:rPr>
        <w:t>קבע שר האוצר או מי שהוא הסמיכו, במועד הוצאת הסדרה, ושלא יעלה על 4%;</w:t>
      </w:r>
    </w:p>
    <w:p w14:paraId="79E10C9E" w14:textId="77777777" w:rsidR="00CC22FD" w:rsidRDefault="00CC22FD">
      <w:pPr>
        <w:pStyle w:val="P00"/>
        <w:spacing w:before="72"/>
        <w:ind w:left="0" w:right="1134"/>
        <w:rPr>
          <w:rStyle w:val="default"/>
          <w:rFonts w:cs="FrankRuehl" w:hint="cs"/>
          <w:rtl/>
        </w:rPr>
      </w:pPr>
      <w:r>
        <w:rPr>
          <w:rFonts w:cs="FrankRuehl"/>
          <w:rtl/>
          <w:lang w:val="he-IL"/>
        </w:rPr>
        <w:pict w14:anchorId="35364F6D">
          <v:shapetype id="_x0000_t202" coordsize="21600,21600" o:spt="202" path="m,l,21600r21600,l21600,xe">
            <v:stroke joinstyle="miter"/>
            <v:path gradientshapeok="t" o:connecttype="rect"/>
          </v:shapetype>
          <v:shape id="_x0000_s1042" type="#_x0000_t202" style="position:absolute;left:0;text-align:left;margin-left:470.25pt;margin-top:7.1pt;width:1in;height:12.55pt;z-index:251662336" filled="f" stroked="f">
            <v:textbox inset="1mm,0,1mm,0">
              <w:txbxContent>
                <w:p w14:paraId="7E1ADBD7" w14:textId="77777777" w:rsidR="00CC22FD" w:rsidRDefault="00CC22FD">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Style w:val="default"/>
          <w:rFonts w:cs="FrankRuehl" w:hint="cs"/>
          <w:rtl/>
        </w:rPr>
        <w:tab/>
        <w:t xml:space="preserve">"עושה שוק ראשי" </w:t>
      </w:r>
      <w:r>
        <w:rPr>
          <w:rStyle w:val="default"/>
          <w:rFonts w:cs="FrankRuehl"/>
          <w:rtl/>
        </w:rPr>
        <w:t>–</w:t>
      </w:r>
      <w:r>
        <w:rPr>
          <w:rStyle w:val="default"/>
          <w:rFonts w:cs="FrankRuehl" w:hint="cs"/>
          <w:rtl/>
        </w:rPr>
        <w:t xml:space="preserve"> </w:t>
      </w:r>
      <w:r>
        <w:rPr>
          <w:rStyle w:val="default"/>
          <w:rFonts w:cs="FrankRuehl"/>
          <w:rtl/>
        </w:rPr>
        <w:t>כהגדרתו בסעיף 6א(ז) לחוק</w:t>
      </w:r>
      <w:r>
        <w:rPr>
          <w:rStyle w:val="default"/>
          <w:rFonts w:cs="FrankRuehl" w:hint="cs"/>
          <w:rtl/>
        </w:rPr>
        <w:t>.</w:t>
      </w:r>
    </w:p>
    <w:p w14:paraId="49AE106B"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1" w:name="Rov20"/>
      <w:r w:rsidRPr="00992654">
        <w:rPr>
          <w:rStyle w:val="default"/>
          <w:rFonts w:cs="FrankRuehl" w:hint="cs"/>
          <w:vanish/>
          <w:color w:val="FF0000"/>
          <w:sz w:val="20"/>
          <w:szCs w:val="20"/>
          <w:shd w:val="clear" w:color="auto" w:fill="FFFF99"/>
          <w:rtl/>
        </w:rPr>
        <w:t>מיום 29.2.2006</w:t>
      </w:r>
    </w:p>
    <w:p w14:paraId="35B8BF00"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0B842C95"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6"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68AF11D7" w14:textId="77777777" w:rsidR="00CC22FD" w:rsidRDefault="00CC22FD">
      <w:pPr>
        <w:pStyle w:val="P00"/>
        <w:spacing w:before="0"/>
        <w:ind w:left="0" w:right="1134"/>
        <w:rPr>
          <w:rStyle w:val="default"/>
          <w:rFonts w:cs="FrankRuehl" w:hint="cs"/>
          <w:b/>
          <w:bCs/>
          <w:sz w:val="2"/>
          <w:szCs w:val="2"/>
          <w:rtl/>
        </w:rPr>
      </w:pPr>
      <w:r w:rsidRPr="00992654">
        <w:rPr>
          <w:rStyle w:val="default"/>
          <w:rFonts w:cs="FrankRuehl" w:hint="cs"/>
          <w:b/>
          <w:bCs/>
          <w:vanish/>
          <w:sz w:val="20"/>
          <w:szCs w:val="20"/>
          <w:shd w:val="clear" w:color="auto" w:fill="FFFF99"/>
          <w:rtl/>
        </w:rPr>
        <w:t>הוספת הגדרת "עושה שוק ראשי"</w:t>
      </w:r>
      <w:bookmarkEnd w:id="1"/>
    </w:p>
    <w:p w14:paraId="1F4C4A69" w14:textId="77777777" w:rsidR="00CC22FD" w:rsidRDefault="00CC22FD" w:rsidP="004A0CF1">
      <w:pPr>
        <w:pStyle w:val="P00"/>
        <w:spacing w:before="72"/>
        <w:ind w:left="0" w:right="1134"/>
        <w:rPr>
          <w:rStyle w:val="default"/>
          <w:rFonts w:cs="FrankRuehl"/>
          <w:rtl/>
        </w:rPr>
      </w:pPr>
      <w:bookmarkStart w:id="2" w:name="Seif0"/>
      <w:bookmarkEnd w:id="2"/>
      <w:r>
        <w:rPr>
          <w:lang w:val="he-IL"/>
        </w:rPr>
        <w:pict w14:anchorId="7F91C848">
          <v:rect id="_x0000_s1027" style="position:absolute;left:0;text-align:left;margin-left:464.5pt;margin-top:8.05pt;width:75.05pt;height:20.45pt;z-index:251645952" o:allowincell="f" filled="f" stroked="f" strokecolor="lime" strokeweight=".25pt">
            <v:textbox inset="0,0,0,0">
              <w:txbxContent>
                <w:p w14:paraId="3B9CD3D5" w14:textId="77777777" w:rsidR="00CC22FD" w:rsidRDefault="00CC22FD">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 מסוג "גילון חדש"</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סדרת משנה של איגרות חוב מסוג "גילון חדש" המוצאת על פי החוק תסומן במספר החל ב-2301 ובאות, ותכונה "מילווה המדינה, תשל"ט</w:t>
      </w:r>
      <w:r w:rsidR="004A0CF1">
        <w:rPr>
          <w:rStyle w:val="default"/>
          <w:rFonts w:cs="FrankRuehl" w:hint="cs"/>
          <w:rtl/>
        </w:rPr>
        <w:t>-</w:t>
      </w:r>
      <w:r>
        <w:rPr>
          <w:rStyle w:val="default"/>
          <w:rFonts w:cs="FrankRuehl"/>
          <w:rtl/>
        </w:rPr>
        <w:t xml:space="preserve">1979" </w:t>
      </w:r>
      <w:r>
        <w:rPr>
          <w:rStyle w:val="default"/>
          <w:rFonts w:cs="FrankRuehl" w:hint="cs"/>
          <w:rtl/>
        </w:rPr>
        <w:t>בתוספת ציון שם הסדרה, מספר הסדרה והאות.</w:t>
      </w:r>
    </w:p>
    <w:p w14:paraId="4CCF67CC" w14:textId="77777777" w:rsidR="00CC22FD" w:rsidRDefault="00CC22FD">
      <w:pPr>
        <w:pStyle w:val="P00"/>
        <w:spacing w:before="72"/>
        <w:ind w:left="0" w:right="1134"/>
        <w:rPr>
          <w:rStyle w:val="default"/>
          <w:rFonts w:cs="FrankRuehl"/>
          <w:rtl/>
        </w:rPr>
      </w:pPr>
      <w:bookmarkStart w:id="3" w:name="Seif1"/>
      <w:bookmarkEnd w:id="3"/>
      <w:r>
        <w:rPr>
          <w:lang w:val="he-IL"/>
        </w:rPr>
        <w:pict w14:anchorId="16BD817F">
          <v:rect id="_x0000_s1028" style="position:absolute;left:0;text-align:left;margin-left:464.5pt;margin-top:8.05pt;width:75.05pt;height:16pt;z-index:251646976" o:allowincell="f" filled="f" stroked="f" strokecolor="lime" strokeweight=".25pt">
            <v:textbox inset="0,0,0,0">
              <w:txbxContent>
                <w:p w14:paraId="20FE4359" w14:textId="77777777" w:rsidR="00CC22FD" w:rsidRDefault="00CC22FD" w:rsidP="004A0CF1">
                  <w:pPr>
                    <w:spacing w:line="160" w:lineRule="exact"/>
                    <w:jc w:val="left"/>
                    <w:rPr>
                      <w:rFonts w:cs="Miriam"/>
                      <w:noProof/>
                      <w:sz w:val="18"/>
                      <w:szCs w:val="18"/>
                      <w:rtl/>
                    </w:rPr>
                  </w:pPr>
                  <w:r>
                    <w:rPr>
                      <w:rFonts w:cs="Miriam"/>
                      <w:sz w:val="18"/>
                      <w:szCs w:val="18"/>
                      <w:rtl/>
                    </w:rPr>
                    <w:t>אי</w:t>
                  </w:r>
                  <w:r>
                    <w:rPr>
                      <w:rFonts w:cs="Miriam" w:hint="cs"/>
                      <w:sz w:val="18"/>
                      <w:szCs w:val="18"/>
                      <w:rtl/>
                    </w:rPr>
                    <w:t>גרות חוב</w:t>
                  </w:r>
                  <w:r w:rsidR="004A0CF1">
                    <w:rPr>
                      <w:rFonts w:cs="Miriam" w:hint="cs"/>
                      <w:sz w:val="18"/>
                      <w:szCs w:val="18"/>
                      <w:rtl/>
                    </w:rPr>
                    <w:t xml:space="preserve"> </w:t>
                  </w:r>
                  <w:r>
                    <w:rPr>
                      <w:rFonts w:cs="Miriam"/>
                      <w:sz w:val="18"/>
                      <w:szCs w:val="18"/>
                      <w:rtl/>
                    </w:rPr>
                    <w:t>על</w:t>
                  </w:r>
                  <w:r>
                    <w:rPr>
                      <w:rFonts w:cs="Miriam" w:hint="cs"/>
                      <w:sz w:val="18"/>
                      <w:szCs w:val="18"/>
                      <w:rtl/>
                    </w:rPr>
                    <w:t xml:space="preserve"> שם</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w:t>
      </w:r>
      <w:r>
        <w:rPr>
          <w:rStyle w:val="default"/>
          <w:rFonts w:cs="FrankRuehl"/>
          <w:rtl/>
        </w:rPr>
        <w:t>וב</w:t>
      </w:r>
      <w:r>
        <w:rPr>
          <w:rStyle w:val="default"/>
          <w:rFonts w:cs="FrankRuehl" w:hint="cs"/>
          <w:rtl/>
        </w:rPr>
        <w:t xml:space="preserve"> יוצאו כאיגרות חוב רשומות על שם.</w:t>
      </w:r>
    </w:p>
    <w:p w14:paraId="4BCDEC27" w14:textId="77777777" w:rsidR="00CC22FD" w:rsidRDefault="00CC22FD">
      <w:pPr>
        <w:pStyle w:val="P00"/>
        <w:spacing w:before="72"/>
        <w:ind w:left="0" w:right="1134"/>
        <w:rPr>
          <w:rStyle w:val="default"/>
          <w:rFonts w:cs="FrankRuehl"/>
          <w:rtl/>
        </w:rPr>
      </w:pPr>
      <w:bookmarkStart w:id="4" w:name="Seif2"/>
      <w:bookmarkEnd w:id="4"/>
      <w:r>
        <w:rPr>
          <w:lang w:val="he-IL"/>
        </w:rPr>
        <w:pict w14:anchorId="7F1DAB0B">
          <v:rect id="_x0000_s1029" style="position:absolute;left:0;text-align:left;margin-left:464.5pt;margin-top:8.05pt;width:75.05pt;height:10.6pt;z-index:251648000" o:allowincell="f" filled="f" stroked="f" strokecolor="lime" strokeweight=".25pt">
            <v:textbox inset="0,0,0,0">
              <w:txbxContent>
                <w:p w14:paraId="6F441D85" w14:textId="77777777" w:rsidR="00CC22FD" w:rsidRDefault="00CC22FD">
                  <w:pPr>
                    <w:spacing w:line="160" w:lineRule="exact"/>
                    <w:jc w:val="left"/>
                    <w:rPr>
                      <w:rFonts w:cs="Miriam"/>
                      <w:noProof/>
                      <w:sz w:val="18"/>
                      <w:szCs w:val="18"/>
                      <w:rtl/>
                    </w:rPr>
                  </w:pPr>
                  <w:r>
                    <w:rPr>
                      <w:rFonts w:cs="Miriam"/>
                      <w:sz w:val="18"/>
                      <w:szCs w:val="18"/>
                      <w:rtl/>
                    </w:rPr>
                    <w:t>הש</w:t>
                  </w:r>
                  <w:r>
                    <w:rPr>
                      <w:rFonts w:cs="Miriam" w:hint="cs"/>
                      <w:sz w:val="18"/>
                      <w:szCs w:val="18"/>
                      <w:rtl/>
                    </w:rPr>
                    <w:t>ווי הנקוב</w:t>
                  </w:r>
                </w:p>
              </w:txbxContent>
            </v:textbox>
            <w10:anchorlock/>
          </v:rect>
        </w:pict>
      </w:r>
      <w:r>
        <w:rPr>
          <w:rStyle w:val="big-number"/>
          <w:rFonts w:cs="Miriam"/>
          <w:rtl/>
        </w:rPr>
        <w:t>4.</w:t>
      </w:r>
      <w:r>
        <w:rPr>
          <w:rStyle w:val="big-number"/>
          <w:rFonts w:cs="Miriam"/>
          <w:rtl/>
        </w:rPr>
        <w:tab/>
      </w:r>
      <w:r>
        <w:rPr>
          <w:rStyle w:val="default"/>
          <w:rFonts w:cs="FrankRuehl"/>
          <w:rtl/>
        </w:rPr>
        <w:t>אי</w:t>
      </w:r>
      <w:r>
        <w:rPr>
          <w:rStyle w:val="default"/>
          <w:rFonts w:cs="FrankRuehl" w:hint="cs"/>
          <w:rtl/>
        </w:rPr>
        <w:t>גרות החוב יוצאו בשווי נקוב של 1,000 שקלים חדשים או כפולה של 1,000 שקלים חדשים.</w:t>
      </w:r>
    </w:p>
    <w:p w14:paraId="35E9755A" w14:textId="77777777" w:rsidR="00CC22FD" w:rsidRDefault="00CC22FD">
      <w:pPr>
        <w:pStyle w:val="P00"/>
        <w:spacing w:before="72"/>
        <w:ind w:left="0" w:right="1134"/>
        <w:rPr>
          <w:rStyle w:val="default"/>
          <w:rFonts w:cs="FrankRuehl" w:hint="cs"/>
          <w:rtl/>
        </w:rPr>
      </w:pPr>
      <w:bookmarkStart w:id="5" w:name="Seif3"/>
      <w:bookmarkEnd w:id="5"/>
      <w:r>
        <w:rPr>
          <w:lang w:val="he-IL"/>
        </w:rPr>
        <w:pict w14:anchorId="3037B0E5">
          <v:rect id="_x0000_s1030" style="position:absolute;left:0;text-align:left;margin-left:464.5pt;margin-top:8.05pt;width:75.05pt;height:16.9pt;z-index:251649024" o:allowincell="f" filled="f" stroked="f" strokecolor="lime" strokeweight=".25pt">
            <v:textbox inset="0,0,0,0">
              <w:txbxContent>
                <w:p w14:paraId="21ED3F76" w14:textId="77777777" w:rsidR="00CC22FD" w:rsidRDefault="00CC22FD">
                  <w:pPr>
                    <w:spacing w:line="160" w:lineRule="exact"/>
                    <w:jc w:val="left"/>
                    <w:rPr>
                      <w:rFonts w:cs="Miriam" w:hint="cs"/>
                      <w:sz w:val="18"/>
                      <w:szCs w:val="18"/>
                      <w:rtl/>
                    </w:rPr>
                  </w:pPr>
                  <w:r>
                    <w:rPr>
                      <w:rFonts w:cs="Miriam" w:hint="cs"/>
                      <w:sz w:val="18"/>
                      <w:szCs w:val="18"/>
                      <w:rtl/>
                    </w:rPr>
                    <w:t>מכירת איגרות החוב</w:t>
                  </w:r>
                </w:p>
                <w:p w14:paraId="25A864E4" w14:textId="77777777" w:rsidR="00CC22FD" w:rsidRDefault="00CC22FD">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5.</w:t>
      </w:r>
      <w:r>
        <w:rPr>
          <w:rStyle w:val="big-number"/>
          <w:rFonts w:cs="Miriam"/>
          <w:rtl/>
        </w:rPr>
        <w:tab/>
      </w:r>
      <w:r>
        <w:rPr>
          <w:rStyle w:val="default"/>
          <w:rFonts w:cs="FrankRuehl"/>
          <w:rtl/>
        </w:rPr>
        <w:t>איגרות החוב יימכרו לעושי השוק הראשיים ולכלל הציבור במכרז</w:t>
      </w:r>
      <w:r>
        <w:rPr>
          <w:rStyle w:val="default"/>
          <w:rFonts w:cs="FrankRuehl" w:hint="cs"/>
          <w:rtl/>
        </w:rPr>
        <w:t xml:space="preserve"> </w:t>
      </w:r>
      <w:r>
        <w:rPr>
          <w:rStyle w:val="default"/>
          <w:rFonts w:cs="FrankRuehl"/>
          <w:rtl/>
        </w:rPr>
        <w:t>או בהליך תחרותי ושוויוני אחר; מכירה לכלל הציבור תיעשה באמצעות</w:t>
      </w:r>
      <w:r>
        <w:rPr>
          <w:rStyle w:val="default"/>
          <w:rFonts w:cs="FrankRuehl" w:hint="cs"/>
          <w:rtl/>
        </w:rPr>
        <w:t xml:space="preserve"> </w:t>
      </w:r>
      <w:r>
        <w:rPr>
          <w:rStyle w:val="default"/>
          <w:rFonts w:cs="FrankRuehl"/>
          <w:rtl/>
        </w:rPr>
        <w:t>תאגידים בנקאיים, חברי הבורסה וגופים נוספים שיאשר החשב הכללי במשרד האוצר.</w:t>
      </w:r>
    </w:p>
    <w:p w14:paraId="5847C7B9"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6" w:name="Rov21"/>
      <w:r w:rsidRPr="00992654">
        <w:rPr>
          <w:rStyle w:val="default"/>
          <w:rFonts w:cs="FrankRuehl" w:hint="cs"/>
          <w:vanish/>
          <w:color w:val="FF0000"/>
          <w:sz w:val="20"/>
          <w:szCs w:val="20"/>
          <w:shd w:val="clear" w:color="auto" w:fill="FFFF99"/>
          <w:rtl/>
        </w:rPr>
        <w:t>מיום 29.2.2006</w:t>
      </w:r>
    </w:p>
    <w:p w14:paraId="54C5EFBA"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488AA583"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7"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09FC5E7F" w14:textId="77777777" w:rsidR="00CC22FD" w:rsidRPr="00992654" w:rsidRDefault="00CC22FD">
      <w:pPr>
        <w:pStyle w:val="P00"/>
        <w:spacing w:before="0"/>
        <w:ind w:left="0" w:right="1134"/>
        <w:rPr>
          <w:rStyle w:val="default"/>
          <w:rFonts w:cs="FrankRuehl" w:hint="cs"/>
          <w:vanish/>
          <w:sz w:val="20"/>
          <w:szCs w:val="20"/>
          <w:shd w:val="clear" w:color="auto" w:fill="FFFF99"/>
          <w:rtl/>
        </w:rPr>
      </w:pPr>
      <w:r w:rsidRPr="00992654">
        <w:rPr>
          <w:rStyle w:val="default"/>
          <w:rFonts w:cs="FrankRuehl" w:hint="cs"/>
          <w:b/>
          <w:bCs/>
          <w:vanish/>
          <w:sz w:val="20"/>
          <w:szCs w:val="20"/>
          <w:shd w:val="clear" w:color="auto" w:fill="FFFF99"/>
          <w:rtl/>
        </w:rPr>
        <w:t>החלפת תקנה 5</w:t>
      </w:r>
    </w:p>
    <w:p w14:paraId="31C1E1B0" w14:textId="77777777" w:rsidR="00CC22FD" w:rsidRPr="00992654" w:rsidRDefault="00CC22FD" w:rsidP="00451A4A">
      <w:pPr>
        <w:pStyle w:val="P00"/>
        <w:ind w:left="0" w:right="1134"/>
        <w:rPr>
          <w:rStyle w:val="default"/>
          <w:rFonts w:cs="FrankRuehl" w:hint="cs"/>
          <w:vanish/>
          <w:sz w:val="20"/>
          <w:szCs w:val="20"/>
          <w:shd w:val="clear" w:color="auto" w:fill="FFFF99"/>
          <w:rtl/>
        </w:rPr>
      </w:pPr>
      <w:r w:rsidRPr="00992654">
        <w:rPr>
          <w:rStyle w:val="default"/>
          <w:rFonts w:cs="FrankRuehl" w:hint="cs"/>
          <w:vanish/>
          <w:sz w:val="20"/>
          <w:szCs w:val="20"/>
          <w:shd w:val="clear" w:color="auto" w:fill="FFFF99"/>
          <w:rtl/>
        </w:rPr>
        <w:t>הנוסח הקודם:</w:t>
      </w:r>
    </w:p>
    <w:p w14:paraId="75FBF593" w14:textId="77777777" w:rsidR="00CC22FD" w:rsidRPr="00992654" w:rsidRDefault="00CC22FD" w:rsidP="00CB018C">
      <w:pPr>
        <w:pStyle w:val="P00"/>
        <w:spacing w:before="0"/>
        <w:ind w:left="0" w:right="1134"/>
        <w:rPr>
          <w:rStyle w:val="default"/>
          <w:rFonts w:cs="Miriam" w:hint="cs"/>
          <w:strike/>
          <w:vanish/>
          <w:sz w:val="16"/>
          <w:szCs w:val="16"/>
          <w:shd w:val="clear" w:color="auto" w:fill="FFFF99"/>
          <w:rtl/>
        </w:rPr>
      </w:pPr>
      <w:r w:rsidRPr="00992654">
        <w:rPr>
          <w:rStyle w:val="default"/>
          <w:rFonts w:cs="Miriam" w:hint="cs"/>
          <w:strike/>
          <w:vanish/>
          <w:sz w:val="16"/>
          <w:szCs w:val="16"/>
          <w:shd w:val="clear" w:color="auto" w:fill="FFFF99"/>
          <w:rtl/>
        </w:rPr>
        <w:t>מכירה במכרז</w:t>
      </w:r>
    </w:p>
    <w:p w14:paraId="5E090408" w14:textId="77777777" w:rsidR="00CC22FD" w:rsidRDefault="00CC22FD" w:rsidP="00992654">
      <w:pPr>
        <w:pStyle w:val="P00"/>
        <w:spacing w:before="0"/>
        <w:ind w:left="0" w:right="1134"/>
        <w:rPr>
          <w:rStyle w:val="default"/>
          <w:rFonts w:cs="FrankRuehl"/>
          <w:strike/>
          <w:sz w:val="2"/>
          <w:szCs w:val="2"/>
          <w:rtl/>
        </w:rPr>
      </w:pPr>
      <w:r w:rsidRPr="00992654">
        <w:rPr>
          <w:rStyle w:val="big-number"/>
          <w:rFonts w:cs="FrankRuehl"/>
          <w:strike/>
          <w:vanish/>
          <w:sz w:val="22"/>
          <w:szCs w:val="22"/>
          <w:shd w:val="clear" w:color="auto" w:fill="FFFF99"/>
          <w:rtl/>
        </w:rPr>
        <w:t>5.</w:t>
      </w:r>
      <w:r w:rsidRPr="00992654">
        <w:rPr>
          <w:rStyle w:val="big-number"/>
          <w:rFonts w:cs="FrankRuehl"/>
          <w:strike/>
          <w:vanish/>
          <w:sz w:val="22"/>
          <w:szCs w:val="22"/>
          <w:shd w:val="clear" w:color="auto" w:fill="FFFF99"/>
          <w:rtl/>
        </w:rPr>
        <w:tab/>
      </w:r>
      <w:r w:rsidRPr="00992654">
        <w:rPr>
          <w:rStyle w:val="default"/>
          <w:rFonts w:cs="FrankRuehl"/>
          <w:strike/>
          <w:vanish/>
          <w:sz w:val="22"/>
          <w:szCs w:val="22"/>
          <w:shd w:val="clear" w:color="auto" w:fill="FFFF99"/>
          <w:rtl/>
        </w:rPr>
        <w:t>אי</w:t>
      </w:r>
      <w:r w:rsidRPr="00992654">
        <w:rPr>
          <w:rStyle w:val="default"/>
          <w:rFonts w:cs="FrankRuehl" w:hint="cs"/>
          <w:strike/>
          <w:vanish/>
          <w:sz w:val="22"/>
          <w:szCs w:val="22"/>
          <w:shd w:val="clear" w:color="auto" w:fill="FFFF99"/>
          <w:rtl/>
        </w:rPr>
        <w:t>גרות החוב יימכרו במכרז ויחולו על המכירה תקנות מילווה המדינה (מכרזים), תשמ"ד-</w:t>
      </w:r>
      <w:r w:rsidRPr="00992654">
        <w:rPr>
          <w:rStyle w:val="default"/>
          <w:rFonts w:cs="FrankRuehl"/>
          <w:strike/>
          <w:vanish/>
          <w:sz w:val="22"/>
          <w:szCs w:val="22"/>
          <w:shd w:val="clear" w:color="auto" w:fill="FFFF99"/>
          <w:rtl/>
        </w:rPr>
        <w:t>1984.</w:t>
      </w:r>
      <w:bookmarkEnd w:id="6"/>
    </w:p>
    <w:p w14:paraId="1AEC9C06" w14:textId="77777777" w:rsidR="00CC22FD" w:rsidRDefault="00CC22FD">
      <w:pPr>
        <w:pStyle w:val="P00"/>
        <w:spacing w:before="72"/>
        <w:ind w:left="0" w:right="1134"/>
        <w:rPr>
          <w:rStyle w:val="default"/>
          <w:rFonts w:cs="FrankRuehl" w:hint="cs"/>
          <w:rtl/>
        </w:rPr>
      </w:pPr>
      <w:bookmarkStart w:id="7" w:name="Seif4"/>
      <w:bookmarkEnd w:id="7"/>
      <w:r>
        <w:rPr>
          <w:lang w:val="he-IL"/>
        </w:rPr>
        <w:pict w14:anchorId="638A0A3F">
          <v:rect id="_x0000_s1031" style="position:absolute;left:0;text-align:left;margin-left:464.5pt;margin-top:8.05pt;width:75.05pt;height:10.8pt;z-index:251650048" o:allowincell="f" filled="f" stroked="f" strokecolor="lime" strokeweight=".25pt">
            <v:textbox inset="0,0,0,0">
              <w:txbxContent>
                <w:p w14:paraId="70991AEF" w14:textId="77777777" w:rsidR="00CC22FD" w:rsidRDefault="00CC22FD">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6.</w:t>
      </w:r>
      <w:r>
        <w:rPr>
          <w:rStyle w:val="big-number"/>
          <w:rFonts w:cs="Miriam"/>
          <w:rtl/>
        </w:rPr>
        <w:tab/>
      </w:r>
      <w:r>
        <w:rPr>
          <w:rStyle w:val="default"/>
          <w:rFonts w:cs="FrankRuehl" w:hint="cs"/>
          <w:rtl/>
        </w:rPr>
        <w:t>(בוטלה).</w:t>
      </w:r>
    </w:p>
    <w:p w14:paraId="022A41FD"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8" w:name="Rov22"/>
      <w:r w:rsidRPr="00992654">
        <w:rPr>
          <w:rStyle w:val="default"/>
          <w:rFonts w:cs="FrankRuehl" w:hint="cs"/>
          <w:vanish/>
          <w:color w:val="FF0000"/>
          <w:sz w:val="20"/>
          <w:szCs w:val="20"/>
          <w:shd w:val="clear" w:color="auto" w:fill="FFFF99"/>
          <w:rtl/>
        </w:rPr>
        <w:t>מיום 29.2.2006</w:t>
      </w:r>
    </w:p>
    <w:p w14:paraId="2A32360B"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63500123"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8"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0F4894F4" w14:textId="77777777" w:rsidR="00CC22FD" w:rsidRPr="00992654" w:rsidRDefault="00CC22FD">
      <w:pPr>
        <w:pStyle w:val="P00"/>
        <w:spacing w:before="0"/>
        <w:ind w:left="0" w:right="1134"/>
        <w:rPr>
          <w:rStyle w:val="default"/>
          <w:rFonts w:cs="FrankRuehl" w:hint="cs"/>
          <w:vanish/>
          <w:sz w:val="20"/>
          <w:szCs w:val="20"/>
          <w:shd w:val="clear" w:color="auto" w:fill="FFFF99"/>
          <w:rtl/>
        </w:rPr>
      </w:pPr>
      <w:r w:rsidRPr="00992654">
        <w:rPr>
          <w:rStyle w:val="default"/>
          <w:rFonts w:cs="FrankRuehl" w:hint="cs"/>
          <w:b/>
          <w:bCs/>
          <w:vanish/>
          <w:sz w:val="20"/>
          <w:szCs w:val="20"/>
          <w:shd w:val="clear" w:color="auto" w:fill="FFFF99"/>
          <w:rtl/>
        </w:rPr>
        <w:t>ביטול תקנה 6</w:t>
      </w:r>
    </w:p>
    <w:p w14:paraId="6E870411" w14:textId="77777777" w:rsidR="00CC22FD" w:rsidRPr="00992654" w:rsidRDefault="00CC22FD">
      <w:pPr>
        <w:pStyle w:val="P00"/>
        <w:ind w:left="0" w:right="1134"/>
        <w:rPr>
          <w:rStyle w:val="default"/>
          <w:rFonts w:cs="FrankRuehl" w:hint="cs"/>
          <w:vanish/>
          <w:sz w:val="20"/>
          <w:szCs w:val="20"/>
          <w:shd w:val="clear" w:color="auto" w:fill="FFFF99"/>
          <w:rtl/>
        </w:rPr>
      </w:pPr>
      <w:r w:rsidRPr="00992654">
        <w:rPr>
          <w:rStyle w:val="default"/>
          <w:rFonts w:cs="FrankRuehl" w:hint="cs"/>
          <w:vanish/>
          <w:sz w:val="20"/>
          <w:szCs w:val="20"/>
          <w:shd w:val="clear" w:color="auto" w:fill="FFFF99"/>
          <w:rtl/>
        </w:rPr>
        <w:t>הנוסח הקודם:</w:t>
      </w:r>
    </w:p>
    <w:p w14:paraId="4CB3FF8E" w14:textId="77777777" w:rsidR="00CC22FD" w:rsidRPr="00992654" w:rsidRDefault="00CC22FD" w:rsidP="00CB018C">
      <w:pPr>
        <w:pStyle w:val="P00"/>
        <w:spacing w:before="20"/>
        <w:ind w:left="0" w:right="1134"/>
        <w:rPr>
          <w:rStyle w:val="default"/>
          <w:rFonts w:cs="Miriam" w:hint="cs"/>
          <w:strike/>
          <w:vanish/>
          <w:sz w:val="16"/>
          <w:szCs w:val="16"/>
          <w:shd w:val="clear" w:color="auto" w:fill="FFFF99"/>
          <w:rtl/>
        </w:rPr>
      </w:pPr>
      <w:r w:rsidRPr="00992654">
        <w:rPr>
          <w:rStyle w:val="default"/>
          <w:rFonts w:cs="Miriam" w:hint="cs"/>
          <w:strike/>
          <w:vanish/>
          <w:sz w:val="16"/>
          <w:szCs w:val="16"/>
          <w:shd w:val="clear" w:color="auto" w:fill="FFFF99"/>
          <w:rtl/>
        </w:rPr>
        <w:t>נוסח איגרות החוב</w:t>
      </w:r>
    </w:p>
    <w:p w14:paraId="305FBC56" w14:textId="77777777" w:rsidR="00CC22FD" w:rsidRDefault="00CC22FD">
      <w:pPr>
        <w:pStyle w:val="P00"/>
        <w:spacing w:before="0"/>
        <w:ind w:left="0" w:right="1134"/>
        <w:rPr>
          <w:rStyle w:val="default"/>
          <w:rFonts w:cs="FrankRuehl" w:hint="cs"/>
          <w:strike/>
          <w:sz w:val="2"/>
          <w:szCs w:val="2"/>
          <w:rtl/>
        </w:rPr>
      </w:pPr>
      <w:r w:rsidRPr="00992654">
        <w:rPr>
          <w:rStyle w:val="big-number"/>
          <w:rFonts w:cs="FrankRuehl"/>
          <w:strike/>
          <w:vanish/>
          <w:sz w:val="22"/>
          <w:szCs w:val="22"/>
          <w:shd w:val="clear" w:color="auto" w:fill="FFFF99"/>
          <w:rtl/>
        </w:rPr>
        <w:t>6.</w:t>
      </w:r>
      <w:r w:rsidRPr="00992654">
        <w:rPr>
          <w:rStyle w:val="big-number"/>
          <w:rFonts w:cs="FrankRuehl"/>
          <w:strike/>
          <w:vanish/>
          <w:sz w:val="22"/>
          <w:szCs w:val="22"/>
          <w:shd w:val="clear" w:color="auto" w:fill="FFFF99"/>
          <w:rtl/>
        </w:rPr>
        <w:tab/>
      </w:r>
      <w:r w:rsidRPr="00992654">
        <w:rPr>
          <w:rStyle w:val="default"/>
          <w:rFonts w:cs="FrankRuehl"/>
          <w:strike/>
          <w:vanish/>
          <w:sz w:val="22"/>
          <w:szCs w:val="22"/>
          <w:shd w:val="clear" w:color="auto" w:fill="FFFF99"/>
          <w:rtl/>
        </w:rPr>
        <w:t>אי</w:t>
      </w:r>
      <w:r w:rsidRPr="00992654">
        <w:rPr>
          <w:rStyle w:val="default"/>
          <w:rFonts w:cs="FrankRuehl" w:hint="cs"/>
          <w:strike/>
          <w:vanish/>
          <w:sz w:val="22"/>
          <w:szCs w:val="22"/>
          <w:shd w:val="clear" w:color="auto" w:fill="FFFF99"/>
          <w:rtl/>
        </w:rPr>
        <w:t>גרות החוב יהיו</w:t>
      </w:r>
      <w:r w:rsidRPr="00992654">
        <w:rPr>
          <w:rStyle w:val="default"/>
          <w:rFonts w:cs="FrankRuehl"/>
          <w:strike/>
          <w:vanish/>
          <w:sz w:val="22"/>
          <w:szCs w:val="22"/>
          <w:shd w:val="clear" w:color="auto" w:fill="FFFF99"/>
          <w:rtl/>
        </w:rPr>
        <w:t xml:space="preserve"> ב</w:t>
      </w:r>
      <w:r w:rsidRPr="00992654">
        <w:rPr>
          <w:rStyle w:val="default"/>
          <w:rFonts w:cs="FrankRuehl" w:hint="cs"/>
          <w:strike/>
          <w:vanish/>
          <w:sz w:val="22"/>
          <w:szCs w:val="22"/>
          <w:shd w:val="clear" w:color="auto" w:fill="FFFF99"/>
          <w:rtl/>
        </w:rPr>
        <w:t>נוסח שבתוספת הראשונה.</w:t>
      </w:r>
      <w:bookmarkEnd w:id="8"/>
    </w:p>
    <w:p w14:paraId="63C8E93C" w14:textId="77777777" w:rsidR="00CC22FD" w:rsidRDefault="00CC22FD">
      <w:pPr>
        <w:pStyle w:val="P00"/>
        <w:spacing w:before="72"/>
        <w:ind w:left="0" w:right="1134"/>
        <w:rPr>
          <w:rStyle w:val="default"/>
          <w:rFonts w:cs="FrankRuehl"/>
          <w:rtl/>
        </w:rPr>
      </w:pPr>
      <w:bookmarkStart w:id="9" w:name="Seif5"/>
      <w:bookmarkEnd w:id="9"/>
      <w:r>
        <w:rPr>
          <w:lang w:val="he-IL"/>
        </w:rPr>
        <w:pict w14:anchorId="41B7F08C">
          <v:rect id="_x0000_s1032" style="position:absolute;left:0;text-align:left;margin-left:464.5pt;margin-top:8.05pt;width:75.05pt;height:12.95pt;z-index:251651072" o:allowincell="f" filled="f" stroked="f" strokecolor="lime" strokeweight=".25pt">
            <v:textbox inset="0,0,0,0">
              <w:txbxContent>
                <w:p w14:paraId="101D81F8" w14:textId="77777777" w:rsidR="00CC22FD" w:rsidRDefault="00CC22FD">
                  <w:pPr>
                    <w:spacing w:line="160" w:lineRule="exact"/>
                    <w:jc w:val="left"/>
                    <w:rPr>
                      <w:rFonts w:cs="Miriam"/>
                      <w:noProof/>
                      <w:sz w:val="18"/>
                      <w:szCs w:val="18"/>
                      <w:rtl/>
                    </w:rPr>
                  </w:pPr>
                  <w:r>
                    <w:rPr>
                      <w:rFonts w:cs="Miriam"/>
                      <w:sz w:val="18"/>
                      <w:szCs w:val="18"/>
                      <w:rtl/>
                    </w:rPr>
                    <w:t>רי</w:t>
                  </w:r>
                  <w:r>
                    <w:rPr>
                      <w:rFonts w:cs="Miriam" w:hint="cs"/>
                      <w:sz w:val="18"/>
                      <w:szCs w:val="18"/>
                      <w:rtl/>
                    </w:rPr>
                    <w:t>בית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ישאו ריבית בהתאם למספר ימי הריבית בכל תקופת ריבית, בשיעורים המפורטים בתקנות משנה (ג) ו-(ד).</w:t>
      </w:r>
    </w:p>
    <w:p w14:paraId="2DA89344" w14:textId="77777777" w:rsidR="00CC22FD" w:rsidRDefault="00CC22FD">
      <w:pPr>
        <w:pStyle w:val="P00"/>
        <w:spacing w:before="72"/>
        <w:ind w:left="0" w:right="1134"/>
        <w:rPr>
          <w:rStyle w:val="default"/>
          <w:rFonts w:cs="FrankRuehl"/>
          <w:rtl/>
        </w:rPr>
      </w:pPr>
      <w:r>
        <w:rPr>
          <w:lang w:val="he-IL"/>
        </w:rPr>
        <w:pict w14:anchorId="489406A5">
          <v:rect id="_x0000_s1033" style="position:absolute;left:0;text-align:left;margin-left:464.5pt;margin-top:8.05pt;width:75.05pt;height:13.6pt;z-index:251652096" o:allowincell="f" filled="f" stroked="f" strokecolor="lime" strokeweight=".25pt">
            <v:textbox inset="0,0,0,0">
              <w:txbxContent>
                <w:p w14:paraId="0FB7B8C2" w14:textId="77777777" w:rsidR="00CC22FD" w:rsidRDefault="00CC22FD">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ריבית בעד כל אחת מתקופות הריבית תשולם במועד תשלום הריבית; נמכרה סדרת משנה לאחר מועד תשלום הריבית, לא תשולם בשלה ר</w:t>
      </w:r>
      <w:r>
        <w:rPr>
          <w:rStyle w:val="default"/>
          <w:rFonts w:cs="FrankRuehl"/>
          <w:rtl/>
        </w:rPr>
        <w:t>יב</w:t>
      </w:r>
      <w:r>
        <w:rPr>
          <w:rStyle w:val="default"/>
          <w:rFonts w:cs="FrankRuehl" w:hint="cs"/>
          <w:rtl/>
        </w:rPr>
        <w:t>ית בעד תקופות ריבית שנסתיימו לפני מועד מכירתה. נמכרה סדרת משנה אחרי ה-19 בחודש שבו עומדת להסתיים תקופת ריבית, לא תשולם ריבית בעד תקופת ריבית זו בשל אותה סדרת משנה.</w:t>
      </w:r>
    </w:p>
    <w:p w14:paraId="372663D5" w14:textId="77777777" w:rsidR="00CC22FD" w:rsidRDefault="00CC22F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תקו</w:t>
      </w:r>
      <w:r>
        <w:rPr>
          <w:rStyle w:val="default"/>
          <w:rFonts w:cs="FrankRuehl"/>
          <w:rtl/>
        </w:rPr>
        <w:t>פ</w:t>
      </w:r>
      <w:r>
        <w:rPr>
          <w:rStyle w:val="default"/>
          <w:rFonts w:cs="FrankRuehl" w:hint="cs"/>
          <w:rtl/>
        </w:rPr>
        <w:t xml:space="preserve">ת הריבית הראשונה ישאו איגרות החוב ריבית בשיעור הריבית הראשונה כשהוא מעוגל לאחוז </w:t>
      </w:r>
      <w:r>
        <w:rPr>
          <w:rStyle w:val="default"/>
          <w:rFonts w:cs="FrankRuehl"/>
          <w:rtl/>
        </w:rPr>
        <w:t>הק</w:t>
      </w:r>
      <w:r>
        <w:rPr>
          <w:rStyle w:val="default"/>
          <w:rFonts w:cs="FrankRuehl" w:hint="cs"/>
          <w:rtl/>
        </w:rPr>
        <w:t>רוב ביותר</w:t>
      </w:r>
      <w:r w:rsidR="00992654">
        <w:rPr>
          <w:rStyle w:val="default"/>
          <w:rFonts w:cs="FrankRuehl" w:hint="cs"/>
          <w:rtl/>
        </w:rPr>
        <w:t>, ובלבד ששיעור זה לא יפחת מ-0%.</w:t>
      </w:r>
    </w:p>
    <w:p w14:paraId="56D0AAD5" w14:textId="77777777" w:rsidR="00CC22FD" w:rsidRDefault="00CC22FD">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 בתקופת הריבית השניה יישאו איגרות החוב ריבית שתיקבע לכל אחת מתקופות הריבית לפי שיעור הריבית המשתנה, ובלבד ששיעור זה לא יפחת</w:t>
      </w:r>
      <w:r>
        <w:rPr>
          <w:rStyle w:val="default"/>
          <w:rFonts w:cs="FrankRuehl"/>
          <w:rtl/>
        </w:rPr>
        <w:t xml:space="preserve"> </w:t>
      </w:r>
      <w:r w:rsidR="00992654">
        <w:rPr>
          <w:rStyle w:val="default"/>
          <w:rFonts w:cs="FrankRuehl" w:hint="cs"/>
          <w:rtl/>
        </w:rPr>
        <w:t>מ-0%.</w:t>
      </w:r>
    </w:p>
    <w:p w14:paraId="1E36A006" w14:textId="77777777" w:rsidR="00CC22FD" w:rsidRDefault="00CC22FD">
      <w:pPr>
        <w:pStyle w:val="P00"/>
        <w:spacing w:before="72"/>
        <w:ind w:left="0" w:right="1134"/>
        <w:rPr>
          <w:rStyle w:val="default"/>
          <w:rFonts w:cs="FrankRuehl" w:hint="cs"/>
          <w:rtl/>
        </w:rPr>
      </w:pPr>
      <w:r>
        <w:rPr>
          <w:rFonts w:cs="FrankRuehl"/>
          <w:rtl/>
          <w:lang w:val="he-IL"/>
        </w:rPr>
        <w:pict w14:anchorId="71CFD556">
          <v:shape id="_x0000_s1045" type="#_x0000_t202" style="position:absolute;left:0;text-align:left;margin-left:470.25pt;margin-top:7.1pt;width:1in;height:11.2pt;z-index:251663360" filled="f" stroked="f">
            <v:textbox inset="1mm,0,1mm,0">
              <w:txbxContent>
                <w:p w14:paraId="6B44E2C2" w14:textId="77777777" w:rsidR="00CC22FD" w:rsidRDefault="00CC22FD">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ישוב הריבית לכל תקופת ריבית ייעשה על פי הנוסחה שבתוספת.</w:t>
      </w:r>
    </w:p>
    <w:p w14:paraId="30A5B636" w14:textId="77777777" w:rsidR="00CC22FD" w:rsidRDefault="00CC22F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יבית בעד תקופת הריבית האחרונה תשולם במועד פדיון איגרות החוב.</w:t>
      </w:r>
    </w:p>
    <w:p w14:paraId="604BF9A7" w14:textId="77777777" w:rsidR="000F5CB0" w:rsidRPr="00992654" w:rsidRDefault="000F5CB0" w:rsidP="000F5CB0">
      <w:pPr>
        <w:pStyle w:val="P00"/>
        <w:spacing w:before="0"/>
        <w:ind w:left="0" w:right="1134"/>
        <w:rPr>
          <w:rStyle w:val="default"/>
          <w:rFonts w:cs="FrankRuehl" w:hint="cs"/>
          <w:vanish/>
          <w:color w:val="FF0000"/>
          <w:sz w:val="20"/>
          <w:szCs w:val="20"/>
          <w:shd w:val="clear" w:color="auto" w:fill="FFFF99"/>
          <w:rtl/>
        </w:rPr>
      </w:pPr>
      <w:bookmarkStart w:id="10" w:name="Rov37"/>
      <w:r w:rsidRPr="00992654">
        <w:rPr>
          <w:rStyle w:val="default"/>
          <w:rFonts w:cs="FrankRuehl" w:hint="cs"/>
          <w:vanish/>
          <w:color w:val="FF0000"/>
          <w:sz w:val="20"/>
          <w:szCs w:val="20"/>
          <w:shd w:val="clear" w:color="auto" w:fill="FFFF99"/>
          <w:rtl/>
        </w:rPr>
        <w:t>מיום 30.11.2000</w:t>
      </w:r>
    </w:p>
    <w:p w14:paraId="5DB552CF" w14:textId="77777777" w:rsidR="000F5CB0" w:rsidRPr="00992654" w:rsidRDefault="000F5CB0" w:rsidP="000F5CB0">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תשס"א-2000</w:t>
      </w:r>
    </w:p>
    <w:p w14:paraId="1036B28F" w14:textId="77777777" w:rsidR="000F5CB0" w:rsidRPr="00992654" w:rsidRDefault="000F5CB0" w:rsidP="000F5CB0">
      <w:pPr>
        <w:pStyle w:val="P00"/>
        <w:spacing w:before="0"/>
        <w:ind w:left="0" w:right="1134"/>
        <w:rPr>
          <w:rStyle w:val="default"/>
          <w:rFonts w:cs="FrankRuehl" w:hint="cs"/>
          <w:vanish/>
          <w:sz w:val="20"/>
          <w:szCs w:val="20"/>
          <w:shd w:val="clear" w:color="auto" w:fill="FFFF99"/>
          <w:rtl/>
        </w:rPr>
      </w:pPr>
      <w:hyperlink r:id="rId9" w:history="1">
        <w:r w:rsidRPr="00992654">
          <w:rPr>
            <w:rStyle w:val="Hyperlink"/>
            <w:rFonts w:cs="FrankRuehl" w:hint="cs"/>
            <w:vanish/>
            <w:szCs w:val="20"/>
            <w:shd w:val="clear" w:color="auto" w:fill="FFFF99"/>
            <w:rtl/>
          </w:rPr>
          <w:t>ק"ת תשס"א מס' 6069</w:t>
        </w:r>
      </w:hyperlink>
      <w:r w:rsidRPr="00992654">
        <w:rPr>
          <w:rStyle w:val="default"/>
          <w:rFonts w:cs="FrankRuehl" w:hint="cs"/>
          <w:vanish/>
          <w:sz w:val="20"/>
          <w:szCs w:val="20"/>
          <w:shd w:val="clear" w:color="auto" w:fill="FFFF99"/>
          <w:rtl/>
        </w:rPr>
        <w:t xml:space="preserve"> מיום 30.11.2000 עמ' 163</w:t>
      </w:r>
    </w:p>
    <w:p w14:paraId="1D6CC5E2" w14:textId="77777777" w:rsidR="00B12F2D" w:rsidRPr="00992654" w:rsidRDefault="00B12F2D" w:rsidP="00B12F2D">
      <w:pPr>
        <w:pStyle w:val="P00"/>
        <w:ind w:left="0" w:right="1134"/>
        <w:rPr>
          <w:rStyle w:val="default"/>
          <w:rFonts w:cs="FrankRuehl" w:hint="cs"/>
          <w:vanish/>
          <w:sz w:val="22"/>
          <w:szCs w:val="22"/>
          <w:u w:val="single"/>
          <w:shd w:val="clear" w:color="auto" w:fill="FFFF99"/>
          <w:rtl/>
        </w:rPr>
      </w:pPr>
      <w:r w:rsidRPr="00992654">
        <w:rPr>
          <w:rStyle w:val="default"/>
          <w:rFonts w:cs="FrankRuehl" w:hint="cs"/>
          <w:vanish/>
          <w:sz w:val="22"/>
          <w:szCs w:val="22"/>
          <w:shd w:val="clear" w:color="auto" w:fill="FFFF99"/>
          <w:rtl/>
        </w:rPr>
        <w:tab/>
      </w:r>
      <w:r w:rsidRPr="00992654">
        <w:rPr>
          <w:rStyle w:val="default"/>
          <w:rFonts w:cs="FrankRuehl"/>
          <w:vanish/>
          <w:sz w:val="22"/>
          <w:szCs w:val="22"/>
          <w:shd w:val="clear" w:color="auto" w:fill="FFFF99"/>
          <w:rtl/>
        </w:rPr>
        <w:t>(ב</w:t>
      </w:r>
      <w:r w:rsidRPr="00992654">
        <w:rPr>
          <w:rStyle w:val="default"/>
          <w:rFonts w:cs="FrankRuehl" w:hint="cs"/>
          <w:vanish/>
          <w:sz w:val="22"/>
          <w:szCs w:val="22"/>
          <w:shd w:val="clear" w:color="auto" w:fill="FFFF99"/>
          <w:rtl/>
        </w:rPr>
        <w:t>)</w:t>
      </w:r>
      <w:r w:rsidRPr="00992654">
        <w:rPr>
          <w:rStyle w:val="default"/>
          <w:rFonts w:cs="FrankRuehl"/>
          <w:vanish/>
          <w:sz w:val="22"/>
          <w:szCs w:val="22"/>
          <w:shd w:val="clear" w:color="auto" w:fill="FFFF99"/>
          <w:rtl/>
        </w:rPr>
        <w:tab/>
        <w:t>ה</w:t>
      </w:r>
      <w:r w:rsidRPr="00992654">
        <w:rPr>
          <w:rStyle w:val="default"/>
          <w:rFonts w:cs="FrankRuehl" w:hint="cs"/>
          <w:vanish/>
          <w:sz w:val="22"/>
          <w:szCs w:val="22"/>
          <w:shd w:val="clear" w:color="auto" w:fill="FFFF99"/>
          <w:rtl/>
        </w:rPr>
        <w:t>ריבית בעד כל אחת מתקופות הריבית תשולם במועד תשלום הריבית; נמכרה סדרת משנה לאחר מועד תשלום הריבית, לא תשולם בשלה ר</w:t>
      </w:r>
      <w:r w:rsidRPr="00992654">
        <w:rPr>
          <w:rStyle w:val="default"/>
          <w:rFonts w:cs="FrankRuehl"/>
          <w:vanish/>
          <w:sz w:val="22"/>
          <w:szCs w:val="22"/>
          <w:shd w:val="clear" w:color="auto" w:fill="FFFF99"/>
          <w:rtl/>
        </w:rPr>
        <w:t>יב</w:t>
      </w:r>
      <w:r w:rsidRPr="00992654">
        <w:rPr>
          <w:rStyle w:val="default"/>
          <w:rFonts w:cs="FrankRuehl" w:hint="cs"/>
          <w:vanish/>
          <w:sz w:val="22"/>
          <w:szCs w:val="22"/>
          <w:shd w:val="clear" w:color="auto" w:fill="FFFF99"/>
          <w:rtl/>
        </w:rPr>
        <w:t xml:space="preserve">ית בעד תקופות ריבית שנסתיימו לפני מועד מכירתה. </w:t>
      </w:r>
      <w:r w:rsidRPr="00992654">
        <w:rPr>
          <w:rStyle w:val="default"/>
          <w:rFonts w:cs="FrankRuehl" w:hint="cs"/>
          <w:vanish/>
          <w:sz w:val="22"/>
          <w:szCs w:val="22"/>
          <w:u w:val="single"/>
          <w:shd w:val="clear" w:color="auto" w:fill="FFFF99"/>
          <w:rtl/>
        </w:rPr>
        <w:t>נמכרה סדרת משנה אחרי ה-19 בחודש שבו עומדת להסתיים תקופת ריבית, לא תשולם ריבית בעד תקופת ריבית זו בשל אותה סדרת משנה.</w:t>
      </w:r>
    </w:p>
    <w:p w14:paraId="70F02FD6" w14:textId="77777777" w:rsidR="00B12F2D" w:rsidRPr="00992654" w:rsidRDefault="00B12F2D" w:rsidP="00451A4A">
      <w:pPr>
        <w:pStyle w:val="P00"/>
        <w:spacing w:before="0"/>
        <w:ind w:left="0" w:right="1134"/>
        <w:rPr>
          <w:rStyle w:val="default"/>
          <w:rFonts w:cs="FrankRuehl" w:hint="cs"/>
          <w:vanish/>
          <w:color w:val="FF0000"/>
          <w:sz w:val="20"/>
          <w:szCs w:val="20"/>
          <w:shd w:val="clear" w:color="auto" w:fill="FFFF99"/>
          <w:rtl/>
        </w:rPr>
      </w:pPr>
    </w:p>
    <w:p w14:paraId="4968228C" w14:textId="77777777" w:rsidR="00B12F2D" w:rsidRPr="00992654" w:rsidRDefault="00B12F2D" w:rsidP="00451A4A">
      <w:pPr>
        <w:pStyle w:val="P00"/>
        <w:spacing w:before="0"/>
        <w:ind w:left="0" w:right="1134"/>
        <w:rPr>
          <w:rStyle w:val="default"/>
          <w:rFonts w:cs="FrankRuehl" w:hint="cs"/>
          <w:vanish/>
          <w:color w:val="FF0000"/>
          <w:sz w:val="20"/>
          <w:szCs w:val="20"/>
          <w:shd w:val="clear" w:color="auto" w:fill="FFFF99"/>
          <w:rtl/>
        </w:rPr>
      </w:pPr>
      <w:r w:rsidRPr="00992654">
        <w:rPr>
          <w:rStyle w:val="default"/>
          <w:rFonts w:cs="FrankRuehl" w:hint="cs"/>
          <w:vanish/>
          <w:color w:val="FF0000"/>
          <w:sz w:val="20"/>
          <w:szCs w:val="20"/>
          <w:shd w:val="clear" w:color="auto" w:fill="FFFF99"/>
          <w:rtl/>
        </w:rPr>
        <w:t>מיום 29.2.2006</w:t>
      </w:r>
    </w:p>
    <w:p w14:paraId="3B022DCD" w14:textId="77777777" w:rsidR="00B12F2D" w:rsidRPr="00992654" w:rsidRDefault="00B12F2D" w:rsidP="00B12F2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5DA3DC40" w14:textId="77777777" w:rsidR="00B12F2D" w:rsidRPr="00992654" w:rsidRDefault="00B12F2D" w:rsidP="00B12F2D">
      <w:pPr>
        <w:pStyle w:val="P00"/>
        <w:spacing w:before="0"/>
        <w:ind w:left="0" w:right="1134"/>
        <w:rPr>
          <w:rStyle w:val="default"/>
          <w:rFonts w:cs="FrankRuehl" w:hint="cs"/>
          <w:vanish/>
          <w:sz w:val="20"/>
          <w:szCs w:val="20"/>
          <w:shd w:val="clear" w:color="auto" w:fill="FFFF99"/>
          <w:rtl/>
        </w:rPr>
      </w:pPr>
      <w:hyperlink r:id="rId10"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724567BA" w14:textId="77777777" w:rsidR="00B12F2D" w:rsidRPr="000E427F" w:rsidRDefault="00B12F2D" w:rsidP="00CB018C">
      <w:pPr>
        <w:pStyle w:val="P00"/>
        <w:ind w:left="0" w:right="1134"/>
        <w:rPr>
          <w:rStyle w:val="default"/>
          <w:rFonts w:cs="FrankRuehl" w:hint="cs"/>
          <w:sz w:val="2"/>
          <w:szCs w:val="2"/>
          <w:shd w:val="clear" w:color="auto" w:fill="FFFF99"/>
          <w:rtl/>
        </w:rPr>
      </w:pPr>
      <w:r w:rsidRPr="00992654">
        <w:rPr>
          <w:rFonts w:cs="FrankRuehl"/>
          <w:vanish/>
          <w:sz w:val="22"/>
          <w:szCs w:val="22"/>
          <w:shd w:val="clear" w:color="auto" w:fill="FFFF99"/>
          <w:rtl/>
        </w:rPr>
        <w:tab/>
      </w:r>
      <w:r w:rsidRPr="00992654">
        <w:rPr>
          <w:rStyle w:val="default"/>
          <w:rFonts w:cs="FrankRuehl"/>
          <w:vanish/>
          <w:sz w:val="22"/>
          <w:szCs w:val="22"/>
          <w:shd w:val="clear" w:color="auto" w:fill="FFFF99"/>
          <w:rtl/>
        </w:rPr>
        <w:t>(ה</w:t>
      </w:r>
      <w:r w:rsidRPr="00992654">
        <w:rPr>
          <w:rStyle w:val="default"/>
          <w:rFonts w:cs="FrankRuehl" w:hint="cs"/>
          <w:vanish/>
          <w:sz w:val="22"/>
          <w:szCs w:val="22"/>
          <w:shd w:val="clear" w:color="auto" w:fill="FFFF99"/>
          <w:rtl/>
        </w:rPr>
        <w:t>)</w:t>
      </w:r>
      <w:r w:rsidRPr="00992654">
        <w:rPr>
          <w:rStyle w:val="default"/>
          <w:rFonts w:cs="FrankRuehl"/>
          <w:vanish/>
          <w:sz w:val="22"/>
          <w:szCs w:val="22"/>
          <w:shd w:val="clear" w:color="auto" w:fill="FFFF99"/>
          <w:rtl/>
        </w:rPr>
        <w:tab/>
        <w:t>ח</w:t>
      </w:r>
      <w:r w:rsidRPr="00992654">
        <w:rPr>
          <w:rStyle w:val="default"/>
          <w:rFonts w:cs="FrankRuehl" w:hint="cs"/>
          <w:vanish/>
          <w:sz w:val="22"/>
          <w:szCs w:val="22"/>
          <w:shd w:val="clear" w:color="auto" w:fill="FFFF99"/>
          <w:rtl/>
        </w:rPr>
        <w:t>ישוב הריבית לכל תקופת ריבית ייעשה על פי הנוסחה שבתוספת</w:t>
      </w:r>
      <w:r w:rsidRPr="00992654">
        <w:rPr>
          <w:rStyle w:val="default"/>
          <w:rFonts w:cs="FrankRuehl" w:hint="cs"/>
          <w:strike/>
          <w:vanish/>
          <w:sz w:val="22"/>
          <w:szCs w:val="22"/>
          <w:shd w:val="clear" w:color="auto" w:fill="FFFF99"/>
          <w:rtl/>
        </w:rPr>
        <w:t xml:space="preserve"> השניה</w:t>
      </w:r>
      <w:r w:rsidRPr="00992654">
        <w:rPr>
          <w:rStyle w:val="default"/>
          <w:rFonts w:cs="FrankRuehl" w:hint="cs"/>
          <w:vanish/>
          <w:sz w:val="22"/>
          <w:szCs w:val="22"/>
          <w:shd w:val="clear" w:color="auto" w:fill="FFFF99"/>
          <w:rtl/>
        </w:rPr>
        <w:t>.</w:t>
      </w:r>
      <w:bookmarkEnd w:id="10"/>
    </w:p>
    <w:p w14:paraId="6BA93AA9" w14:textId="77777777" w:rsidR="00CC22FD" w:rsidRDefault="00CC22FD">
      <w:pPr>
        <w:pStyle w:val="P00"/>
        <w:spacing w:before="72"/>
        <w:ind w:left="0" w:right="1134"/>
        <w:rPr>
          <w:rStyle w:val="default"/>
          <w:rFonts w:cs="FrankRuehl"/>
          <w:rtl/>
        </w:rPr>
      </w:pPr>
      <w:bookmarkStart w:id="11" w:name="Seif6"/>
      <w:bookmarkEnd w:id="11"/>
      <w:r>
        <w:rPr>
          <w:lang w:val="he-IL"/>
        </w:rPr>
        <w:pict w14:anchorId="4D382593">
          <v:rect id="_x0000_s1034" style="position:absolute;left:0;text-align:left;margin-left:464.5pt;margin-top:8.05pt;width:75.05pt;height:14.4pt;z-index:251653120" o:allowincell="f" filled="f" stroked="f" strokecolor="lime" strokeweight=".25pt">
            <v:textbox style="mso-next-textbox:#_x0000_s1034" inset="0,0,0,0">
              <w:txbxContent>
                <w:p w14:paraId="725F6105" w14:textId="77777777" w:rsidR="00CC22FD" w:rsidRDefault="00CC22FD">
                  <w:pPr>
                    <w:spacing w:line="160" w:lineRule="exact"/>
                    <w:jc w:val="left"/>
                    <w:rPr>
                      <w:rFonts w:cs="Miriam"/>
                      <w:noProof/>
                      <w:sz w:val="18"/>
                      <w:szCs w:val="18"/>
                      <w:rtl/>
                    </w:rPr>
                  </w:pPr>
                  <w:r>
                    <w:rPr>
                      <w:rFonts w:cs="Miriam"/>
                      <w:sz w:val="18"/>
                      <w:szCs w:val="18"/>
                      <w:rtl/>
                    </w:rPr>
                    <w:t>תש</w:t>
                  </w:r>
                  <w:r>
                    <w:rPr>
                      <w:rFonts w:cs="Miriam" w:hint="cs"/>
                      <w:sz w:val="18"/>
                      <w:szCs w:val="18"/>
                      <w:rtl/>
                    </w:rPr>
                    <w:t>לום הריבית</w:t>
                  </w:r>
                </w:p>
              </w:txbxContent>
            </v:textbox>
            <w10:anchorlock/>
          </v:rect>
        </w:pict>
      </w:r>
      <w:r>
        <w:rPr>
          <w:rStyle w:val="big-number"/>
          <w:rFonts w:cs="Miriam"/>
          <w:rtl/>
        </w:rPr>
        <w:t>8.</w:t>
      </w:r>
      <w:r>
        <w:rPr>
          <w:rStyle w:val="big-number"/>
          <w:rFonts w:cs="Miriam"/>
          <w:rtl/>
        </w:rPr>
        <w:tab/>
      </w:r>
      <w:r>
        <w:rPr>
          <w:rStyle w:val="default"/>
          <w:rFonts w:cs="FrankRuehl"/>
          <w:rtl/>
        </w:rPr>
        <w:t>סכ</w:t>
      </w:r>
      <w:r>
        <w:rPr>
          <w:rStyle w:val="default"/>
          <w:rFonts w:cs="FrankRuehl" w:hint="cs"/>
          <w:rtl/>
        </w:rPr>
        <w:t xml:space="preserve">ום הריבית על איגרות החוב, כפי שישתנה עקב שינוי שיעור הריבית, ישולם לבעל איגרות החוב על ידי זיכוי חשבונו בבנק כפי שהורה בעת רכישת האיגרת או כפי שהורה עד מועד שלא יהיה מאוחר מ-30 ימים לפני </w:t>
      </w:r>
      <w:r>
        <w:rPr>
          <w:rStyle w:val="default"/>
          <w:rFonts w:cs="FrankRuehl"/>
          <w:rtl/>
        </w:rPr>
        <w:t>מו</w:t>
      </w:r>
      <w:r>
        <w:rPr>
          <w:rStyle w:val="default"/>
          <w:rFonts w:cs="FrankRuehl" w:hint="cs"/>
          <w:rtl/>
        </w:rPr>
        <w:t>עד תשלום הריבית.</w:t>
      </w:r>
    </w:p>
    <w:p w14:paraId="563C5B68" w14:textId="77777777" w:rsidR="00CC22FD" w:rsidRDefault="00CC22FD">
      <w:pPr>
        <w:pStyle w:val="P00"/>
        <w:spacing w:before="72"/>
        <w:ind w:left="0" w:right="1134"/>
        <w:rPr>
          <w:rStyle w:val="default"/>
          <w:rFonts w:cs="FrankRuehl" w:hint="cs"/>
          <w:rtl/>
        </w:rPr>
      </w:pPr>
      <w:bookmarkStart w:id="12" w:name="Seif7"/>
      <w:bookmarkEnd w:id="12"/>
      <w:r>
        <w:rPr>
          <w:lang w:val="he-IL"/>
        </w:rPr>
        <w:pict w14:anchorId="7E065071">
          <v:rect id="_x0000_s1035" style="position:absolute;left:0;text-align:left;margin-left:464.5pt;margin-top:8.05pt;width:75.05pt;height:13.3pt;z-index:251654144" o:allowincell="f" filled="f" stroked="f" strokecolor="lime" strokeweight=".25pt">
            <v:textbox inset="0,0,0,0">
              <w:txbxContent>
                <w:p w14:paraId="0F4063AC" w14:textId="77777777" w:rsidR="00CC22FD" w:rsidRDefault="00CC22FD">
                  <w:pPr>
                    <w:spacing w:line="160" w:lineRule="exact"/>
                    <w:jc w:val="left"/>
                    <w:rPr>
                      <w:rFonts w:cs="Miriam"/>
                      <w:noProof/>
                      <w:sz w:val="18"/>
                      <w:szCs w:val="18"/>
                      <w:rtl/>
                    </w:rPr>
                  </w:pPr>
                  <w:r>
                    <w:rPr>
                      <w:rFonts w:cs="Miriam"/>
                      <w:sz w:val="18"/>
                      <w:szCs w:val="18"/>
                      <w:rtl/>
                    </w:rPr>
                    <w:t>פד</w:t>
                  </w:r>
                  <w:r>
                    <w:rPr>
                      <w:rFonts w:cs="Miriam" w:hint="cs"/>
                      <w:sz w:val="18"/>
                      <w:szCs w:val="18"/>
                      <w:rtl/>
                    </w:rPr>
                    <w:t>יון</w:t>
                  </w:r>
                </w:p>
              </w:txbxContent>
            </v:textbox>
            <w10:anchorlock/>
          </v:rect>
        </w:pict>
      </w:r>
      <w:r>
        <w:rPr>
          <w:rStyle w:val="big-number"/>
          <w:rFonts w:cs="Miriam"/>
          <w:rtl/>
        </w:rPr>
        <w:t>9.</w:t>
      </w:r>
      <w:r>
        <w:rPr>
          <w:rStyle w:val="big-number"/>
          <w:rFonts w:cs="Miriam"/>
          <w:rtl/>
        </w:rPr>
        <w:tab/>
      </w:r>
      <w:r>
        <w:rPr>
          <w:rStyle w:val="default"/>
          <w:rFonts w:cs="FrankRuehl"/>
          <w:rtl/>
        </w:rPr>
        <w:t>אי</w:t>
      </w:r>
      <w:r>
        <w:rPr>
          <w:rStyle w:val="default"/>
          <w:rFonts w:cs="FrankRuehl" w:hint="cs"/>
          <w:rtl/>
        </w:rPr>
        <w:t>גרות החוב יוצאו לתקופה של שנה או לתקופה ארוכה יותר שלא תעלה על עשרים וחמש שנים מיום הוצאת סדרת המשנה הראשונה של כל סדרה, וייפדו</w:t>
      </w:r>
      <w:r>
        <w:rPr>
          <w:rStyle w:val="default"/>
          <w:rFonts w:cs="FrankRuehl"/>
          <w:rtl/>
        </w:rPr>
        <w:t xml:space="preserve"> </w:t>
      </w:r>
      <w:r>
        <w:rPr>
          <w:rStyle w:val="default"/>
          <w:rFonts w:cs="FrankRuehl" w:hint="cs"/>
          <w:rtl/>
        </w:rPr>
        <w:t xml:space="preserve">במלואן ביום הקובע בחודש שבו תמה תקופת הריבית האחרונה, לפי הקבוע לאותה סדרה וכמצוין באיגרת החוב; מהמועד </w:t>
      </w:r>
      <w:r>
        <w:rPr>
          <w:rStyle w:val="default"/>
          <w:rFonts w:cs="FrankRuehl"/>
          <w:rtl/>
        </w:rPr>
        <w:t>שנ</w:t>
      </w:r>
      <w:r>
        <w:rPr>
          <w:rStyle w:val="default"/>
          <w:rFonts w:cs="FrankRuehl" w:hint="cs"/>
          <w:rtl/>
        </w:rPr>
        <w:t>קבע לפדיונן ואילך לא ישאו איגרות החוב ריבית.</w:t>
      </w:r>
    </w:p>
    <w:p w14:paraId="648B81EA" w14:textId="77777777" w:rsidR="00CC22FD" w:rsidRDefault="00CC22FD">
      <w:pPr>
        <w:pStyle w:val="P00"/>
        <w:spacing w:before="72"/>
        <w:ind w:left="0" w:right="1134"/>
        <w:rPr>
          <w:rStyle w:val="default"/>
          <w:rFonts w:cs="FrankRuehl" w:hint="cs"/>
          <w:rtl/>
        </w:rPr>
      </w:pPr>
      <w:bookmarkStart w:id="13" w:name="Seif14"/>
      <w:bookmarkEnd w:id="13"/>
      <w:r>
        <w:rPr>
          <w:lang w:val="he-IL"/>
        </w:rPr>
        <w:pict w14:anchorId="5348E94C">
          <v:rect id="_x0000_s1047" style="position:absolute;left:0;text-align:left;margin-left:464.5pt;margin-top:8.05pt;width:75.05pt;height:27.15pt;z-index:251664384" o:allowincell="f" filled="f" stroked="f" strokecolor="lime" strokeweight=".25pt">
            <v:textbox inset="0,0,0,0">
              <w:txbxContent>
                <w:p w14:paraId="68BA9029" w14:textId="77777777" w:rsidR="00CC22FD" w:rsidRDefault="00CC22FD">
                  <w:pPr>
                    <w:spacing w:line="160" w:lineRule="exact"/>
                    <w:jc w:val="left"/>
                    <w:rPr>
                      <w:rFonts w:cs="Miriam" w:hint="cs"/>
                      <w:sz w:val="18"/>
                      <w:szCs w:val="18"/>
                      <w:rtl/>
                    </w:rPr>
                  </w:pPr>
                  <w:r>
                    <w:rPr>
                      <w:rFonts w:cs="Miriam"/>
                      <w:sz w:val="18"/>
                      <w:szCs w:val="18"/>
                      <w:rtl/>
                    </w:rPr>
                    <w:t>פד</w:t>
                  </w:r>
                  <w:r>
                    <w:rPr>
                      <w:rFonts w:cs="Miriam" w:hint="cs"/>
                      <w:sz w:val="18"/>
                      <w:szCs w:val="18"/>
                      <w:rtl/>
                    </w:rPr>
                    <w:t>יון מוקדם</w:t>
                  </w:r>
                </w:p>
                <w:p w14:paraId="58397206" w14:textId="77777777" w:rsidR="00CC22FD" w:rsidRDefault="00CC22FD">
                  <w:pPr>
                    <w:spacing w:line="160" w:lineRule="exact"/>
                    <w:jc w:val="left"/>
                    <w:rPr>
                      <w:rFonts w:cs="Miriam" w:hint="cs"/>
                      <w:sz w:val="18"/>
                      <w:szCs w:val="18"/>
                      <w:rtl/>
                    </w:rPr>
                  </w:pPr>
                  <w:r>
                    <w:rPr>
                      <w:rFonts w:cs="Miriam" w:hint="cs"/>
                      <w:sz w:val="18"/>
                      <w:szCs w:val="18"/>
                      <w:rtl/>
                    </w:rPr>
                    <w:t>תק' תשס"ו-2006</w:t>
                  </w:r>
                </w:p>
                <w:p w14:paraId="2ED8370F" w14:textId="77777777" w:rsidR="00CC22FD" w:rsidRDefault="00CC22FD">
                  <w:pPr>
                    <w:spacing w:line="160" w:lineRule="exact"/>
                    <w:jc w:val="left"/>
                    <w:rPr>
                      <w:rFonts w:cs="Miriam"/>
                      <w:noProof/>
                      <w:sz w:val="18"/>
                      <w:szCs w:val="18"/>
                      <w:rtl/>
                    </w:rPr>
                  </w:pPr>
                  <w:r>
                    <w:rPr>
                      <w:rFonts w:cs="Miriam" w:hint="cs"/>
                      <w:sz w:val="18"/>
                      <w:szCs w:val="18"/>
                      <w:rtl/>
                    </w:rPr>
                    <w:t>תק' תשס"ז-2007</w:t>
                  </w:r>
                </w:p>
              </w:txbxContent>
            </v:textbox>
            <w10:anchorlock/>
          </v:rect>
        </w:pict>
      </w:r>
      <w:r>
        <w:rPr>
          <w:rStyle w:val="big-number"/>
          <w:rFonts w:cs="Miriam"/>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פדיון מוקדם של איגרות חוב מסדרה כלשהי שהוצאה לפי תקנות</w:t>
      </w:r>
      <w:r>
        <w:rPr>
          <w:rStyle w:val="default"/>
          <w:rFonts w:cs="FrankRuehl" w:hint="cs"/>
          <w:rtl/>
        </w:rPr>
        <w:t xml:space="preserve"> </w:t>
      </w:r>
      <w:r>
        <w:rPr>
          <w:rStyle w:val="default"/>
          <w:rFonts w:cs="FrankRuehl"/>
          <w:rtl/>
        </w:rPr>
        <w:t>אלה ייעשה בהליך תחרותי ושוויוני, במשך תקופה מסוימת ובמועדים</w:t>
      </w:r>
      <w:r>
        <w:rPr>
          <w:rStyle w:val="default"/>
          <w:rFonts w:cs="FrankRuehl" w:hint="cs"/>
          <w:rtl/>
        </w:rPr>
        <w:t xml:space="preserve"> </w:t>
      </w:r>
      <w:r>
        <w:rPr>
          <w:rStyle w:val="default"/>
          <w:rFonts w:cs="FrankRuehl"/>
          <w:rtl/>
        </w:rPr>
        <w:t>שייקבעו לענין זה, שיפורסמו לציבור</w:t>
      </w:r>
      <w:r>
        <w:rPr>
          <w:rStyle w:val="default"/>
          <w:rFonts w:cs="FrankRuehl" w:hint="cs"/>
          <w:rtl/>
        </w:rPr>
        <w:t xml:space="preserve"> </w:t>
      </w:r>
      <w:r>
        <w:rPr>
          <w:rStyle w:val="default"/>
          <w:rFonts w:cs="FrankRuehl"/>
          <w:rtl/>
        </w:rPr>
        <w:t>שמיועד לו ההליך כאמור בתקנת משנה (ב)</w:t>
      </w:r>
      <w:r>
        <w:rPr>
          <w:rStyle w:val="default"/>
          <w:rFonts w:cs="FrankRuehl" w:hint="cs"/>
          <w:rtl/>
        </w:rPr>
        <w:t>.</w:t>
      </w:r>
    </w:p>
    <w:p w14:paraId="5703E5BE" w14:textId="77777777" w:rsidR="00CC22FD" w:rsidRDefault="00CC22FD">
      <w:pPr>
        <w:pStyle w:val="P00"/>
        <w:spacing w:before="72"/>
        <w:ind w:left="0" w:right="1134"/>
        <w:rPr>
          <w:rStyle w:val="default"/>
          <w:rFonts w:cs="FrankRuehl" w:hint="cs"/>
          <w:rtl/>
        </w:rPr>
      </w:pPr>
      <w:r>
        <w:rPr>
          <w:rFonts w:cs="FrankRuehl"/>
          <w:rtl/>
          <w:lang w:val="he-IL"/>
        </w:rPr>
        <w:pict w14:anchorId="2F2AF854">
          <v:shape id="_x0000_s1053" type="#_x0000_t202" style="position:absolute;left:0;text-align:left;margin-left:470.25pt;margin-top:7.1pt;width:1in;height:11.2pt;z-index:251668480" filled="f" stroked="f">
            <v:textbox inset="1mm,0,1mm,0">
              <w:txbxContent>
                <w:p w14:paraId="34F9CBD7" w14:textId="77777777" w:rsidR="00CC22FD" w:rsidRDefault="00CC22FD">
                  <w:pPr>
                    <w:spacing w:line="160" w:lineRule="exact"/>
                    <w:jc w:val="left"/>
                    <w:rPr>
                      <w:rFonts w:cs="Miriam"/>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בהליך הפדיון המוקדם ייקבע ממי יירכשו איגרות החוב: מכלל הציבור, מכלל עושי השוק הראשיים או מחלק מהם.</w:t>
      </w:r>
    </w:p>
    <w:p w14:paraId="4B918DE7" w14:textId="77777777" w:rsidR="00CC22FD" w:rsidRDefault="00CC22FD">
      <w:pPr>
        <w:pStyle w:val="P00"/>
        <w:spacing w:before="72"/>
        <w:ind w:left="0" w:right="1134"/>
        <w:rPr>
          <w:rStyle w:val="default"/>
          <w:rFonts w:cs="FrankRuehl" w:hint="cs"/>
          <w:rtl/>
        </w:rPr>
      </w:pPr>
      <w:r>
        <w:rPr>
          <w:rFonts w:cs="FrankRuehl"/>
          <w:rtl/>
          <w:lang w:val="he-IL"/>
        </w:rPr>
        <w:pict w14:anchorId="1E8581B0">
          <v:shape id="_x0000_s1054" type="#_x0000_t202" style="position:absolute;left:0;text-align:left;margin-left:470.25pt;margin-top:7.1pt;width:1in;height:11.2pt;z-index:251669504" filled="f" stroked="f">
            <v:textbox style="mso-next-textbox:#_x0000_s1054" inset="1mm,0,1mm,0">
              <w:txbxContent>
                <w:p w14:paraId="2149BA48" w14:textId="77777777" w:rsidR="00CC22FD" w:rsidRDefault="00CC22FD">
                  <w:pPr>
                    <w:spacing w:line="160" w:lineRule="exact"/>
                    <w:jc w:val="left"/>
                    <w:rPr>
                      <w:rFonts w:cs="Miriam"/>
                      <w:noProof/>
                      <w:sz w:val="18"/>
                      <w:szCs w:val="18"/>
                      <w:rtl/>
                    </w:rPr>
                  </w:pPr>
                  <w:r>
                    <w:rPr>
                      <w:rFonts w:cs="Miriam" w:hint="cs"/>
                      <w:sz w:val="18"/>
                      <w:szCs w:val="18"/>
                      <w:rtl/>
                    </w:rPr>
                    <w:t>תק' תשס"ז-2007</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רכישת איגרות החוב מכלל הציבור תיעשה באמצעות תאגידים בנקאיים, חברי הבורסה וגופים נוספים שיאשר החשב הכללי במשרד האוצר.</w:t>
      </w:r>
    </w:p>
    <w:p w14:paraId="29FDB5A1"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14" w:name="Rov35"/>
      <w:r w:rsidRPr="00992654">
        <w:rPr>
          <w:rStyle w:val="default"/>
          <w:rFonts w:cs="FrankRuehl" w:hint="cs"/>
          <w:vanish/>
          <w:color w:val="FF0000"/>
          <w:sz w:val="20"/>
          <w:szCs w:val="20"/>
          <w:shd w:val="clear" w:color="auto" w:fill="FFFF99"/>
          <w:rtl/>
        </w:rPr>
        <w:t>מיום 29.2.2006</w:t>
      </w:r>
    </w:p>
    <w:p w14:paraId="052DABBF"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44227216"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11"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787F9C91" w14:textId="77777777" w:rsidR="00CC22FD" w:rsidRPr="00992654" w:rsidRDefault="00CC22FD">
      <w:pPr>
        <w:pStyle w:val="P00"/>
        <w:spacing w:before="0"/>
        <w:ind w:left="0" w:right="1134"/>
        <w:rPr>
          <w:rStyle w:val="default"/>
          <w:rFonts w:cs="FrankRuehl" w:hint="cs"/>
          <w:vanish/>
          <w:sz w:val="20"/>
          <w:szCs w:val="20"/>
          <w:shd w:val="clear" w:color="auto" w:fill="FFFF99"/>
          <w:rtl/>
        </w:rPr>
      </w:pPr>
      <w:r w:rsidRPr="00992654">
        <w:rPr>
          <w:rStyle w:val="default"/>
          <w:rFonts w:cs="FrankRuehl" w:hint="cs"/>
          <w:b/>
          <w:bCs/>
          <w:vanish/>
          <w:sz w:val="20"/>
          <w:szCs w:val="20"/>
          <w:shd w:val="clear" w:color="auto" w:fill="FFFF99"/>
          <w:rtl/>
        </w:rPr>
        <w:t>הוספת תקנה 9א</w:t>
      </w:r>
    </w:p>
    <w:p w14:paraId="52A65A11" w14:textId="77777777" w:rsidR="00CC22FD" w:rsidRPr="00992654" w:rsidRDefault="00CC22FD">
      <w:pPr>
        <w:pStyle w:val="P00"/>
        <w:spacing w:before="0"/>
        <w:ind w:left="0" w:right="1134"/>
        <w:rPr>
          <w:rStyle w:val="default"/>
          <w:rFonts w:cs="FrankRuehl" w:hint="cs"/>
          <w:vanish/>
          <w:sz w:val="20"/>
          <w:szCs w:val="20"/>
          <w:shd w:val="clear" w:color="auto" w:fill="FFFF99"/>
          <w:rtl/>
        </w:rPr>
      </w:pPr>
    </w:p>
    <w:p w14:paraId="52DA0D86"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r w:rsidRPr="00992654">
        <w:rPr>
          <w:rStyle w:val="default"/>
          <w:rFonts w:cs="FrankRuehl" w:hint="cs"/>
          <w:vanish/>
          <w:color w:val="FF0000"/>
          <w:sz w:val="20"/>
          <w:szCs w:val="20"/>
          <w:shd w:val="clear" w:color="auto" w:fill="FFFF99"/>
          <w:rtl/>
        </w:rPr>
        <w:t>מיום 28.7.2007</w:t>
      </w:r>
    </w:p>
    <w:p w14:paraId="1245B53C"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תשס"ז-2007</w:t>
      </w:r>
    </w:p>
    <w:p w14:paraId="17467353" w14:textId="77777777" w:rsidR="00CC22FD" w:rsidRPr="00992654" w:rsidRDefault="00CC22FD" w:rsidP="00C7769C">
      <w:pPr>
        <w:pStyle w:val="P00"/>
        <w:spacing w:before="0"/>
        <w:ind w:left="0" w:right="1134"/>
        <w:rPr>
          <w:rStyle w:val="default"/>
          <w:rFonts w:cs="FrankRuehl" w:hint="cs"/>
          <w:vanish/>
          <w:sz w:val="20"/>
          <w:szCs w:val="20"/>
          <w:shd w:val="clear" w:color="auto" w:fill="FFFF99"/>
          <w:rtl/>
        </w:rPr>
      </w:pPr>
      <w:hyperlink r:id="rId12" w:history="1">
        <w:r w:rsidRPr="00992654">
          <w:rPr>
            <w:rStyle w:val="Hyperlink"/>
            <w:rFonts w:cs="FrankRuehl" w:hint="cs"/>
            <w:vanish/>
            <w:szCs w:val="20"/>
            <w:shd w:val="clear" w:color="auto" w:fill="FFFF99"/>
            <w:rtl/>
          </w:rPr>
          <w:t>ק"ת תשס"ז מס' 6597</w:t>
        </w:r>
      </w:hyperlink>
      <w:r w:rsidRPr="00992654">
        <w:rPr>
          <w:rStyle w:val="default"/>
          <w:rFonts w:cs="FrankRuehl" w:hint="cs"/>
          <w:vanish/>
          <w:sz w:val="20"/>
          <w:szCs w:val="20"/>
          <w:shd w:val="clear" w:color="auto" w:fill="FFFF99"/>
          <w:rtl/>
        </w:rPr>
        <w:t xml:space="preserve"> מיום 28.6.2007 עמ' </w:t>
      </w:r>
      <w:r w:rsidR="00C7769C" w:rsidRPr="00992654">
        <w:rPr>
          <w:rStyle w:val="default"/>
          <w:rFonts w:cs="FrankRuehl" w:hint="cs"/>
          <w:vanish/>
          <w:sz w:val="20"/>
          <w:szCs w:val="20"/>
          <w:shd w:val="clear" w:color="auto" w:fill="FFFF99"/>
          <w:rtl/>
        </w:rPr>
        <w:t>800</w:t>
      </w:r>
    </w:p>
    <w:p w14:paraId="04C2F74B" w14:textId="77777777" w:rsidR="00CC22FD" w:rsidRPr="00992654" w:rsidRDefault="00CC22FD">
      <w:pPr>
        <w:pStyle w:val="P00"/>
        <w:ind w:left="0" w:right="1134"/>
        <w:rPr>
          <w:rStyle w:val="default"/>
          <w:rFonts w:cs="FrankRuehl" w:hint="cs"/>
          <w:vanish/>
          <w:sz w:val="22"/>
          <w:szCs w:val="22"/>
          <w:shd w:val="clear" w:color="auto" w:fill="FFFF99"/>
          <w:rtl/>
        </w:rPr>
      </w:pPr>
      <w:r w:rsidRPr="00992654">
        <w:rPr>
          <w:rStyle w:val="big-number"/>
          <w:rFonts w:cs="FrankRuehl"/>
          <w:vanish/>
          <w:sz w:val="22"/>
          <w:szCs w:val="22"/>
          <w:shd w:val="clear" w:color="auto" w:fill="FFFF99"/>
          <w:rtl/>
        </w:rPr>
        <w:t>9</w:t>
      </w:r>
      <w:r w:rsidRPr="00992654">
        <w:rPr>
          <w:rStyle w:val="default"/>
          <w:rFonts w:cs="FrankRuehl" w:hint="cs"/>
          <w:vanish/>
          <w:sz w:val="22"/>
          <w:szCs w:val="22"/>
          <w:shd w:val="clear" w:color="auto" w:fill="FFFF99"/>
          <w:rtl/>
        </w:rPr>
        <w:t>א</w:t>
      </w:r>
      <w:r w:rsidRPr="00992654">
        <w:rPr>
          <w:rStyle w:val="default"/>
          <w:rFonts w:cs="FrankRuehl"/>
          <w:vanish/>
          <w:sz w:val="22"/>
          <w:szCs w:val="22"/>
          <w:shd w:val="clear" w:color="auto" w:fill="FFFF99"/>
          <w:rtl/>
        </w:rPr>
        <w:t>.</w:t>
      </w:r>
      <w:r w:rsidRPr="00992654">
        <w:rPr>
          <w:rStyle w:val="default"/>
          <w:rFonts w:cs="FrankRuehl"/>
          <w:vanish/>
          <w:sz w:val="22"/>
          <w:szCs w:val="22"/>
          <w:shd w:val="clear" w:color="auto" w:fill="FFFF99"/>
          <w:rtl/>
        </w:rPr>
        <w:tab/>
      </w:r>
      <w:r w:rsidRPr="00992654">
        <w:rPr>
          <w:rStyle w:val="default"/>
          <w:rFonts w:cs="FrankRuehl" w:hint="cs"/>
          <w:vanish/>
          <w:sz w:val="22"/>
          <w:szCs w:val="22"/>
          <w:u w:val="single"/>
          <w:shd w:val="clear" w:color="auto" w:fill="FFFF99"/>
          <w:rtl/>
        </w:rPr>
        <w:t>(א)</w:t>
      </w:r>
      <w:r w:rsidRPr="00992654">
        <w:rPr>
          <w:rStyle w:val="default"/>
          <w:rFonts w:cs="FrankRuehl" w:hint="cs"/>
          <w:vanish/>
          <w:sz w:val="22"/>
          <w:szCs w:val="22"/>
          <w:shd w:val="clear" w:color="auto" w:fill="FFFF99"/>
          <w:rtl/>
        </w:rPr>
        <w:tab/>
      </w:r>
      <w:r w:rsidRPr="00992654">
        <w:rPr>
          <w:rStyle w:val="default"/>
          <w:rFonts w:cs="FrankRuehl"/>
          <w:vanish/>
          <w:sz w:val="22"/>
          <w:szCs w:val="22"/>
          <w:shd w:val="clear" w:color="auto" w:fill="FFFF99"/>
          <w:rtl/>
        </w:rPr>
        <w:t>פדיון מוקדם של איגרות חוב מסדרה כלשהי שהוצאה לפי תקנות</w:t>
      </w:r>
      <w:r w:rsidRPr="00992654">
        <w:rPr>
          <w:rStyle w:val="default"/>
          <w:rFonts w:cs="FrankRuehl" w:hint="cs"/>
          <w:vanish/>
          <w:sz w:val="22"/>
          <w:szCs w:val="22"/>
          <w:shd w:val="clear" w:color="auto" w:fill="FFFF99"/>
          <w:rtl/>
        </w:rPr>
        <w:t xml:space="preserve"> </w:t>
      </w:r>
      <w:r w:rsidRPr="00992654">
        <w:rPr>
          <w:rStyle w:val="default"/>
          <w:rFonts w:cs="FrankRuehl"/>
          <w:vanish/>
          <w:sz w:val="22"/>
          <w:szCs w:val="22"/>
          <w:shd w:val="clear" w:color="auto" w:fill="FFFF99"/>
          <w:rtl/>
        </w:rPr>
        <w:t>אלה ייעשה בהליך תחרותי ושוויוני, במשך תקופה מסוימת ובמועדים</w:t>
      </w:r>
      <w:r w:rsidRPr="00992654">
        <w:rPr>
          <w:rStyle w:val="default"/>
          <w:rFonts w:cs="FrankRuehl" w:hint="cs"/>
          <w:vanish/>
          <w:sz w:val="22"/>
          <w:szCs w:val="22"/>
          <w:shd w:val="clear" w:color="auto" w:fill="FFFF99"/>
          <w:rtl/>
        </w:rPr>
        <w:t xml:space="preserve"> </w:t>
      </w:r>
      <w:r w:rsidRPr="00992654">
        <w:rPr>
          <w:rStyle w:val="default"/>
          <w:rFonts w:cs="FrankRuehl"/>
          <w:vanish/>
          <w:sz w:val="22"/>
          <w:szCs w:val="22"/>
          <w:shd w:val="clear" w:color="auto" w:fill="FFFF99"/>
          <w:rtl/>
        </w:rPr>
        <w:t>שייקבעו לענין זה, שיפורסמו לציבור</w:t>
      </w:r>
      <w:r w:rsidRPr="00992654">
        <w:rPr>
          <w:rStyle w:val="default"/>
          <w:rFonts w:cs="FrankRuehl"/>
          <w:strike/>
          <w:vanish/>
          <w:sz w:val="22"/>
          <w:szCs w:val="22"/>
          <w:shd w:val="clear" w:color="auto" w:fill="FFFF99"/>
          <w:rtl/>
        </w:rPr>
        <w:t>, ובמחיר השוק של האיגרת במועד שבו יתבצע הפדיון בפועל</w:t>
      </w:r>
      <w:r w:rsidRPr="00992654">
        <w:rPr>
          <w:rStyle w:val="default"/>
          <w:rFonts w:cs="FrankRuehl" w:hint="cs"/>
          <w:vanish/>
          <w:sz w:val="22"/>
          <w:szCs w:val="22"/>
          <w:shd w:val="clear" w:color="auto" w:fill="FFFF99"/>
          <w:rtl/>
        </w:rPr>
        <w:t xml:space="preserve"> </w:t>
      </w:r>
      <w:r w:rsidRPr="00992654">
        <w:rPr>
          <w:rStyle w:val="default"/>
          <w:rFonts w:cs="FrankRuehl"/>
          <w:vanish/>
          <w:sz w:val="22"/>
          <w:szCs w:val="22"/>
          <w:u w:val="single"/>
          <w:shd w:val="clear" w:color="auto" w:fill="FFFF99"/>
          <w:rtl/>
        </w:rPr>
        <w:t>שמיועד לו ההליך כאמור בתקנת משנה (ב)</w:t>
      </w:r>
      <w:r w:rsidRPr="00992654">
        <w:rPr>
          <w:rStyle w:val="default"/>
          <w:rFonts w:cs="FrankRuehl"/>
          <w:vanish/>
          <w:sz w:val="22"/>
          <w:szCs w:val="22"/>
          <w:shd w:val="clear" w:color="auto" w:fill="FFFF99"/>
          <w:rtl/>
        </w:rPr>
        <w:t>.</w:t>
      </w:r>
    </w:p>
    <w:p w14:paraId="4695BE4E" w14:textId="77777777" w:rsidR="00CC22FD" w:rsidRPr="00992654" w:rsidRDefault="00CC22FD">
      <w:pPr>
        <w:pStyle w:val="P00"/>
        <w:spacing w:before="0"/>
        <w:ind w:left="0" w:right="1134"/>
        <w:rPr>
          <w:rStyle w:val="default"/>
          <w:rFonts w:cs="FrankRuehl" w:hint="cs"/>
          <w:vanish/>
          <w:sz w:val="22"/>
          <w:szCs w:val="22"/>
          <w:u w:val="single"/>
          <w:shd w:val="clear" w:color="auto" w:fill="FFFF99"/>
          <w:rtl/>
        </w:rPr>
      </w:pPr>
      <w:r w:rsidRPr="00992654">
        <w:rPr>
          <w:rStyle w:val="default"/>
          <w:rFonts w:cs="FrankRuehl" w:hint="cs"/>
          <w:vanish/>
          <w:sz w:val="22"/>
          <w:szCs w:val="22"/>
          <w:shd w:val="clear" w:color="auto" w:fill="FFFF99"/>
          <w:rtl/>
        </w:rPr>
        <w:tab/>
      </w:r>
      <w:r w:rsidRPr="00992654">
        <w:rPr>
          <w:rStyle w:val="default"/>
          <w:rFonts w:cs="FrankRuehl"/>
          <w:vanish/>
          <w:sz w:val="22"/>
          <w:szCs w:val="22"/>
          <w:u w:val="single"/>
          <w:shd w:val="clear" w:color="auto" w:fill="FFFF99"/>
          <w:rtl/>
        </w:rPr>
        <w:t>(ב)</w:t>
      </w:r>
      <w:r w:rsidRPr="00992654">
        <w:rPr>
          <w:rStyle w:val="default"/>
          <w:rFonts w:cs="FrankRuehl" w:hint="cs"/>
          <w:vanish/>
          <w:sz w:val="22"/>
          <w:szCs w:val="22"/>
          <w:u w:val="single"/>
          <w:shd w:val="clear" w:color="auto" w:fill="FFFF99"/>
          <w:rtl/>
        </w:rPr>
        <w:tab/>
      </w:r>
      <w:r w:rsidRPr="00992654">
        <w:rPr>
          <w:rStyle w:val="default"/>
          <w:rFonts w:cs="FrankRuehl"/>
          <w:vanish/>
          <w:sz w:val="22"/>
          <w:szCs w:val="22"/>
          <w:u w:val="single"/>
          <w:shd w:val="clear" w:color="auto" w:fill="FFFF99"/>
          <w:rtl/>
        </w:rPr>
        <w:t>בהליך הפדיון המוקדם ייקבע ממי יירכשו איגרות החוב: מכלל הציבור, מכלל עושי השוק הראשיים או מחלק מהם.</w:t>
      </w:r>
    </w:p>
    <w:p w14:paraId="79B289CE" w14:textId="77777777" w:rsidR="00CC22FD" w:rsidRDefault="00CC22FD">
      <w:pPr>
        <w:pStyle w:val="P00"/>
        <w:spacing w:before="0"/>
        <w:ind w:left="0" w:right="1134"/>
        <w:rPr>
          <w:rStyle w:val="default"/>
          <w:rFonts w:cs="FrankRuehl" w:hint="cs"/>
          <w:sz w:val="2"/>
          <w:szCs w:val="2"/>
          <w:u w:val="single"/>
          <w:rtl/>
        </w:rPr>
      </w:pPr>
      <w:r w:rsidRPr="00992654">
        <w:rPr>
          <w:rStyle w:val="default"/>
          <w:rFonts w:cs="FrankRuehl" w:hint="cs"/>
          <w:vanish/>
          <w:sz w:val="22"/>
          <w:szCs w:val="22"/>
          <w:shd w:val="clear" w:color="auto" w:fill="FFFF99"/>
          <w:rtl/>
        </w:rPr>
        <w:tab/>
      </w:r>
      <w:r w:rsidRPr="00992654">
        <w:rPr>
          <w:rStyle w:val="default"/>
          <w:rFonts w:cs="FrankRuehl"/>
          <w:vanish/>
          <w:sz w:val="22"/>
          <w:szCs w:val="22"/>
          <w:u w:val="single"/>
          <w:shd w:val="clear" w:color="auto" w:fill="FFFF99"/>
          <w:rtl/>
        </w:rPr>
        <w:t>(ג)</w:t>
      </w:r>
      <w:r w:rsidRPr="00992654">
        <w:rPr>
          <w:rStyle w:val="default"/>
          <w:rFonts w:cs="FrankRuehl" w:hint="cs"/>
          <w:vanish/>
          <w:sz w:val="22"/>
          <w:szCs w:val="22"/>
          <w:u w:val="single"/>
          <w:shd w:val="clear" w:color="auto" w:fill="FFFF99"/>
          <w:rtl/>
        </w:rPr>
        <w:tab/>
      </w:r>
      <w:r w:rsidRPr="00992654">
        <w:rPr>
          <w:rStyle w:val="default"/>
          <w:rFonts w:cs="FrankRuehl"/>
          <w:vanish/>
          <w:sz w:val="22"/>
          <w:szCs w:val="22"/>
          <w:u w:val="single"/>
          <w:shd w:val="clear" w:color="auto" w:fill="FFFF99"/>
          <w:rtl/>
        </w:rPr>
        <w:t>רכישת איגרות החוב מכלל הציבור תיעשה באמצעות תאגידים בנקאיים, חברי הבורסה וגופים נוספים שיאשר החשב הכללי במשרד האוצר.</w:t>
      </w:r>
      <w:bookmarkEnd w:id="14"/>
    </w:p>
    <w:p w14:paraId="515D8B03" w14:textId="77777777" w:rsidR="00CC22FD" w:rsidRDefault="00CC22FD">
      <w:pPr>
        <w:pStyle w:val="P00"/>
        <w:spacing w:before="72"/>
        <w:ind w:left="0" w:right="1134"/>
        <w:rPr>
          <w:rStyle w:val="default"/>
          <w:rFonts w:cs="FrankRuehl"/>
          <w:rtl/>
        </w:rPr>
      </w:pPr>
      <w:bookmarkStart w:id="15" w:name="Seif8"/>
      <w:bookmarkEnd w:id="15"/>
      <w:r>
        <w:rPr>
          <w:lang w:val="he-IL"/>
        </w:rPr>
        <w:pict w14:anchorId="02CD083F">
          <v:rect id="_x0000_s1036" style="position:absolute;left:0;text-align:left;margin-left:464.5pt;margin-top:8.05pt;width:75.05pt;height:14.05pt;z-index:251655168" o:allowincell="f" filled="f" stroked="f" strokecolor="lime" strokeweight=".25pt">
            <v:textbox inset="0,0,0,0">
              <w:txbxContent>
                <w:p w14:paraId="114FD64E" w14:textId="77777777" w:rsidR="00CC22FD" w:rsidRDefault="00CC22FD">
                  <w:pPr>
                    <w:spacing w:line="160" w:lineRule="exact"/>
                    <w:jc w:val="left"/>
                    <w:rPr>
                      <w:rFonts w:cs="Miriam"/>
                      <w:noProof/>
                      <w:sz w:val="18"/>
                      <w:szCs w:val="18"/>
                      <w:rtl/>
                    </w:rPr>
                  </w:pPr>
                  <w:r>
                    <w:rPr>
                      <w:rFonts w:cs="Miriam"/>
                      <w:sz w:val="18"/>
                      <w:szCs w:val="18"/>
                      <w:rtl/>
                    </w:rPr>
                    <w:t>דר</w:t>
                  </w:r>
                  <w:r>
                    <w:rPr>
                      <w:rFonts w:cs="Miriam" w:hint="cs"/>
                      <w:sz w:val="18"/>
                      <w:szCs w:val="18"/>
                      <w:rtl/>
                    </w:rPr>
                    <w:t>כי תשלום</w:t>
                  </w:r>
                </w:p>
              </w:txbxContent>
            </v:textbox>
            <w10:anchorlock/>
          </v:rect>
        </w:pict>
      </w:r>
      <w:r>
        <w:rPr>
          <w:rStyle w:val="big-number"/>
          <w:rFonts w:cs="Miriam"/>
          <w:rtl/>
        </w:rPr>
        <w:t>10.</w:t>
      </w:r>
      <w:r>
        <w:rPr>
          <w:rStyle w:val="big-number"/>
          <w:rFonts w:cs="Miriam"/>
          <w:rtl/>
        </w:rPr>
        <w:tab/>
      </w:r>
      <w:r>
        <w:rPr>
          <w:rStyle w:val="default"/>
          <w:rFonts w:cs="FrankRuehl"/>
          <w:rtl/>
        </w:rPr>
        <w:t>סכ</w:t>
      </w:r>
      <w:r>
        <w:rPr>
          <w:rStyle w:val="default"/>
          <w:rFonts w:cs="FrankRuehl" w:hint="cs"/>
          <w:rtl/>
        </w:rPr>
        <w:t>ום הפדיון של איגרת החוב ישולם לבעל הרשום בדרך האמורה בתקנה 8; הוצאו לבעל הרשום איגרות</w:t>
      </w:r>
      <w:r>
        <w:rPr>
          <w:rStyle w:val="default"/>
          <w:rFonts w:cs="FrankRuehl"/>
          <w:rtl/>
        </w:rPr>
        <w:t xml:space="preserve"> </w:t>
      </w:r>
      <w:r>
        <w:rPr>
          <w:rStyle w:val="default"/>
          <w:rFonts w:cs="FrankRuehl" w:hint="cs"/>
          <w:rtl/>
        </w:rPr>
        <w:t>החוב, ישולם הסכום כאמור לאחר שימסור אותן למינהלה, במישרין או באמצעות בנק.</w:t>
      </w:r>
    </w:p>
    <w:p w14:paraId="0CAAD094" w14:textId="77777777" w:rsidR="00CC22FD" w:rsidRDefault="00CC22FD" w:rsidP="004A0CF1">
      <w:pPr>
        <w:pStyle w:val="P00"/>
        <w:spacing w:before="72"/>
        <w:ind w:left="0" w:right="1134"/>
        <w:rPr>
          <w:rStyle w:val="default"/>
          <w:rFonts w:cs="FrankRuehl"/>
          <w:rtl/>
        </w:rPr>
      </w:pPr>
      <w:bookmarkStart w:id="16" w:name="Seif10"/>
      <w:bookmarkEnd w:id="16"/>
      <w:r>
        <w:rPr>
          <w:lang w:val="he-IL"/>
        </w:rPr>
        <w:pict w14:anchorId="0EC1FB0F">
          <v:rect id="_x0000_s1037" style="position:absolute;left:0;text-align:left;margin-left:464.5pt;margin-top:8.05pt;width:75.05pt;height:12.9pt;z-index:251657216" o:allowincell="f" filled="f" stroked="f" strokecolor="lime" strokeweight=".25pt">
            <v:textbox inset="0,0,0,0">
              <w:txbxContent>
                <w:p w14:paraId="45445047" w14:textId="77777777" w:rsidR="00CC22FD" w:rsidRDefault="00CC22FD">
                  <w:pPr>
                    <w:spacing w:line="160" w:lineRule="exact"/>
                    <w:jc w:val="left"/>
                    <w:rPr>
                      <w:rFonts w:cs="Miriam"/>
                      <w:noProof/>
                      <w:sz w:val="18"/>
                      <w:szCs w:val="18"/>
                      <w:rtl/>
                    </w:rPr>
                  </w:pPr>
                  <w:r>
                    <w:rPr>
                      <w:rFonts w:cs="Miriam"/>
                      <w:sz w:val="18"/>
                      <w:szCs w:val="18"/>
                      <w:rtl/>
                    </w:rPr>
                    <w:t>פט</w:t>
                  </w:r>
                  <w:r>
                    <w:rPr>
                      <w:rFonts w:cs="Miriam" w:hint="cs"/>
                      <w:sz w:val="18"/>
                      <w:szCs w:val="18"/>
                      <w:rtl/>
                    </w:rPr>
                    <w:t>ו</w:t>
                  </w:r>
                  <w:r>
                    <w:rPr>
                      <w:rFonts w:cs="Miriam"/>
                      <w:sz w:val="18"/>
                      <w:szCs w:val="18"/>
                      <w:rtl/>
                    </w:rPr>
                    <w:t xml:space="preserve">ר </w:t>
                  </w:r>
                  <w:r>
                    <w:rPr>
                      <w:rFonts w:cs="Miriam" w:hint="cs"/>
                      <w:sz w:val="18"/>
                      <w:szCs w:val="18"/>
                      <w:rtl/>
                    </w:rPr>
                    <w:t>ממס</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הכנסה מריבית המשתלמת על איגרות החוב לקרן להשקעות משותפות בנאמנות כמשמעותה בחוק השקעות משותפות בנאמנות, תשנ"ד</w:t>
      </w:r>
      <w:r w:rsidR="004A0CF1">
        <w:rPr>
          <w:rStyle w:val="default"/>
          <w:rFonts w:cs="FrankRuehl" w:hint="cs"/>
          <w:rtl/>
        </w:rPr>
        <w:t>-</w:t>
      </w:r>
      <w:r>
        <w:rPr>
          <w:rStyle w:val="default"/>
          <w:rFonts w:cs="FrankRuehl"/>
          <w:rtl/>
        </w:rPr>
        <w:t xml:space="preserve">1994, </w:t>
      </w:r>
      <w:r>
        <w:rPr>
          <w:rStyle w:val="default"/>
          <w:rFonts w:cs="FrankRuehl" w:hint="cs"/>
          <w:rtl/>
        </w:rPr>
        <w:t>או ליחיד שההכנסה בידיו אינה הכנסה לפי סעיף 2(1) לפקודת מס הכנס</w:t>
      </w:r>
      <w:r>
        <w:rPr>
          <w:rStyle w:val="default"/>
          <w:rFonts w:cs="FrankRuehl"/>
          <w:rtl/>
        </w:rPr>
        <w:t xml:space="preserve">ה, </w:t>
      </w:r>
      <w:r>
        <w:rPr>
          <w:rStyle w:val="default"/>
          <w:rFonts w:cs="FrankRuehl" w:hint="cs"/>
          <w:rtl/>
        </w:rPr>
        <w:t>ואיגרת החוב אינה חייבת ברישום בספרי העסק שלו, תהיה פטורה מן המס המוטל על הכנסה.</w:t>
      </w:r>
    </w:p>
    <w:p w14:paraId="1010731E" w14:textId="77777777" w:rsidR="00CC22FD" w:rsidRDefault="00CC22FD">
      <w:pPr>
        <w:pStyle w:val="P00"/>
        <w:spacing w:before="72"/>
        <w:ind w:left="0" w:right="1134"/>
        <w:rPr>
          <w:rStyle w:val="default"/>
          <w:rFonts w:cs="FrankRuehl" w:hint="cs"/>
          <w:rtl/>
        </w:rPr>
      </w:pPr>
      <w:r>
        <w:rPr>
          <w:lang w:val="he-IL"/>
        </w:rPr>
        <w:pict w14:anchorId="42C91B55">
          <v:rect id="_x0000_s1038" style="position:absolute;left:0;text-align:left;margin-left:464.5pt;margin-top:8.05pt;width:75.05pt;height:15.6pt;z-index:251658240" o:allowincell="f" filled="f" stroked="f" strokecolor="lime" strokeweight=".25pt">
            <v:textbox inset="0,0,0,0">
              <w:txbxContent>
                <w:p w14:paraId="6F4D8446" w14:textId="77777777" w:rsidR="004A0CF1" w:rsidRDefault="00CC22FD" w:rsidP="004A0CF1">
                  <w:pPr>
                    <w:spacing w:line="160" w:lineRule="exact"/>
                    <w:jc w:val="left"/>
                    <w:rPr>
                      <w:rFonts w:cs="Miriam" w:hint="cs"/>
                      <w:sz w:val="18"/>
                      <w:szCs w:val="18"/>
                      <w:rtl/>
                    </w:rPr>
                  </w:pPr>
                  <w:r>
                    <w:rPr>
                      <w:rFonts w:cs="Miriam"/>
                      <w:sz w:val="18"/>
                      <w:szCs w:val="18"/>
                      <w:rtl/>
                    </w:rPr>
                    <w:t>תק</w:t>
                  </w:r>
                  <w:r>
                    <w:rPr>
                      <w:rFonts w:cs="Miriam" w:hint="cs"/>
                      <w:sz w:val="18"/>
                      <w:szCs w:val="18"/>
                      <w:rtl/>
                    </w:rPr>
                    <w:t>' תש"ס</w:t>
                  </w:r>
                  <w:r w:rsidR="004A0CF1">
                    <w:rPr>
                      <w:rFonts w:cs="Miriam" w:hint="cs"/>
                      <w:sz w:val="18"/>
                      <w:szCs w:val="18"/>
                      <w:rtl/>
                    </w:rPr>
                    <w:t>-</w:t>
                  </w:r>
                  <w:r w:rsidR="004A0CF1">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איגרות חוב שהוצאו אחרי יום ב' באייר תש"ס (7 במאי 2000).</w:t>
      </w:r>
    </w:p>
    <w:p w14:paraId="621D05F6" w14:textId="77777777" w:rsidR="00433893" w:rsidRPr="00992654" w:rsidRDefault="00433893" w:rsidP="00433893">
      <w:pPr>
        <w:pStyle w:val="P00"/>
        <w:tabs>
          <w:tab w:val="clear" w:pos="6259"/>
        </w:tabs>
        <w:spacing w:before="0"/>
        <w:ind w:left="0" w:right="1134"/>
        <w:rPr>
          <w:rFonts w:cs="FrankRuehl" w:hint="cs"/>
          <w:vanish/>
          <w:szCs w:val="20"/>
          <w:shd w:val="clear" w:color="auto" w:fill="FFFF99"/>
          <w:rtl/>
        </w:rPr>
      </w:pPr>
      <w:bookmarkStart w:id="17" w:name="Rov38"/>
      <w:r w:rsidRPr="00992654">
        <w:rPr>
          <w:rFonts w:cs="FrankRuehl" w:hint="cs"/>
          <w:vanish/>
          <w:color w:val="FF0000"/>
          <w:szCs w:val="20"/>
          <w:shd w:val="clear" w:color="auto" w:fill="FFFF99"/>
          <w:rtl/>
        </w:rPr>
        <w:t>מיום 8.5.2000</w:t>
      </w:r>
    </w:p>
    <w:p w14:paraId="0E7A93D3" w14:textId="77777777" w:rsidR="00433893" w:rsidRPr="00992654" w:rsidRDefault="00433893" w:rsidP="00433893">
      <w:pPr>
        <w:pStyle w:val="P00"/>
        <w:spacing w:before="0"/>
        <w:ind w:left="0" w:right="1134"/>
        <w:rPr>
          <w:rFonts w:cs="FrankRuehl" w:hint="cs"/>
          <w:b/>
          <w:bCs/>
          <w:vanish/>
          <w:szCs w:val="20"/>
          <w:shd w:val="clear" w:color="auto" w:fill="FFFF99"/>
          <w:rtl/>
        </w:rPr>
      </w:pPr>
      <w:r w:rsidRPr="00992654">
        <w:rPr>
          <w:rFonts w:cs="FrankRuehl" w:hint="cs"/>
          <w:b/>
          <w:bCs/>
          <w:vanish/>
          <w:szCs w:val="20"/>
          <w:shd w:val="clear" w:color="auto" w:fill="FFFF99"/>
          <w:rtl/>
        </w:rPr>
        <w:t>תק' תש"ס-2000</w:t>
      </w:r>
    </w:p>
    <w:p w14:paraId="0F85B6E2" w14:textId="77777777" w:rsidR="00433893" w:rsidRPr="00992654" w:rsidRDefault="00433893" w:rsidP="00433893">
      <w:pPr>
        <w:pStyle w:val="P00"/>
        <w:spacing w:before="0"/>
        <w:ind w:left="0" w:right="1134"/>
        <w:rPr>
          <w:rFonts w:cs="FrankRuehl" w:hint="cs"/>
          <w:vanish/>
          <w:szCs w:val="20"/>
          <w:shd w:val="clear" w:color="auto" w:fill="FFFF99"/>
          <w:rtl/>
        </w:rPr>
      </w:pPr>
      <w:hyperlink r:id="rId13" w:history="1">
        <w:r w:rsidRPr="00992654">
          <w:rPr>
            <w:rStyle w:val="Hyperlink"/>
            <w:rFonts w:cs="FrankRuehl" w:hint="cs"/>
            <w:vanish/>
            <w:szCs w:val="20"/>
            <w:shd w:val="clear" w:color="auto" w:fill="FFFF99"/>
            <w:rtl/>
          </w:rPr>
          <w:t>ק"ת תש"</w:t>
        </w:r>
        <w:r w:rsidRPr="00992654">
          <w:rPr>
            <w:rStyle w:val="Hyperlink"/>
            <w:rFonts w:cs="FrankRuehl" w:hint="cs"/>
            <w:vanish/>
            <w:szCs w:val="20"/>
            <w:shd w:val="clear" w:color="auto" w:fill="FFFF99"/>
            <w:rtl/>
          </w:rPr>
          <w:t>ס</w:t>
        </w:r>
        <w:r w:rsidRPr="00992654">
          <w:rPr>
            <w:rStyle w:val="Hyperlink"/>
            <w:rFonts w:cs="FrankRuehl" w:hint="cs"/>
            <w:vanish/>
            <w:szCs w:val="20"/>
            <w:shd w:val="clear" w:color="auto" w:fill="FFFF99"/>
            <w:rtl/>
          </w:rPr>
          <w:t xml:space="preserve"> מס' 6033</w:t>
        </w:r>
      </w:hyperlink>
      <w:r w:rsidRPr="00992654">
        <w:rPr>
          <w:rFonts w:cs="FrankRuehl" w:hint="cs"/>
          <w:vanish/>
          <w:szCs w:val="20"/>
          <w:shd w:val="clear" w:color="auto" w:fill="FFFF99"/>
          <w:rtl/>
        </w:rPr>
        <w:t xml:space="preserve"> מיום 8.5.2000 עמ' 564</w:t>
      </w:r>
    </w:p>
    <w:p w14:paraId="17C5BC8B" w14:textId="77777777" w:rsidR="00433893" w:rsidRPr="00992654" w:rsidRDefault="00433893" w:rsidP="00433893">
      <w:pPr>
        <w:pStyle w:val="P00"/>
        <w:ind w:left="0" w:right="1134"/>
        <w:rPr>
          <w:rFonts w:cs="FrankRuehl" w:hint="cs"/>
          <w:vanish/>
          <w:sz w:val="22"/>
          <w:szCs w:val="22"/>
          <w:shd w:val="clear" w:color="auto" w:fill="FFFF99"/>
          <w:rtl/>
        </w:rPr>
      </w:pPr>
      <w:r w:rsidRPr="00992654">
        <w:rPr>
          <w:rFonts w:cs="FrankRuehl" w:hint="cs"/>
          <w:vanish/>
          <w:sz w:val="22"/>
          <w:szCs w:val="22"/>
          <w:shd w:val="clear" w:color="auto" w:fill="FFFF99"/>
          <w:rtl/>
        </w:rPr>
        <w:t>11.</w:t>
      </w:r>
      <w:r w:rsidRPr="00992654">
        <w:rPr>
          <w:rFonts w:cs="FrankRuehl" w:hint="cs"/>
          <w:vanish/>
          <w:sz w:val="22"/>
          <w:szCs w:val="22"/>
          <w:shd w:val="clear" w:color="auto" w:fill="FFFF99"/>
          <w:rtl/>
        </w:rPr>
        <w:tab/>
      </w:r>
      <w:r w:rsidRPr="00992654">
        <w:rPr>
          <w:rFonts w:cs="FrankRuehl" w:hint="cs"/>
          <w:vanish/>
          <w:sz w:val="22"/>
          <w:szCs w:val="22"/>
          <w:u w:val="single"/>
          <w:shd w:val="clear" w:color="auto" w:fill="FFFF99"/>
          <w:rtl/>
        </w:rPr>
        <w:t>(א)</w:t>
      </w:r>
      <w:r w:rsidRPr="00992654">
        <w:rPr>
          <w:rFonts w:cs="FrankRuehl" w:hint="cs"/>
          <w:vanish/>
          <w:sz w:val="22"/>
          <w:szCs w:val="22"/>
          <w:shd w:val="clear" w:color="auto" w:fill="FFFF99"/>
          <w:rtl/>
        </w:rPr>
        <w:tab/>
        <w:t>ההכנסה מריבית המשתלמת על איגרות החוב לקרן להשקעות משותפות בנאמנות כמשמעותה בחוק השקעות משותפות בנאמנות, התשנ"ד-1994, או ליחיד שההכנסה בידיו אינה הכנסה לפי סעיף 2(1) לפקודת מס הכנסה ואיגרת החוב אינה חייבת ברישום בספרי העסק שלו, תהיה פטורה מן המס המוטל על הכנסה.</w:t>
      </w:r>
    </w:p>
    <w:p w14:paraId="17DEDC11" w14:textId="77777777" w:rsidR="00433893" w:rsidRPr="004A0CF1" w:rsidRDefault="00433893" w:rsidP="004A0CF1">
      <w:pPr>
        <w:pStyle w:val="P00"/>
        <w:spacing w:before="0"/>
        <w:ind w:left="0" w:right="1134"/>
        <w:rPr>
          <w:rStyle w:val="default"/>
          <w:rFonts w:cs="FrankRuehl"/>
          <w:sz w:val="2"/>
          <w:szCs w:val="2"/>
          <w:highlight w:val="yellow"/>
          <w:u w:val="single"/>
          <w:rtl/>
        </w:rPr>
      </w:pPr>
      <w:r w:rsidRPr="00992654">
        <w:rPr>
          <w:rStyle w:val="default"/>
          <w:rFonts w:cs="FrankRuehl" w:hint="cs"/>
          <w:vanish/>
          <w:sz w:val="22"/>
          <w:szCs w:val="22"/>
          <w:shd w:val="clear" w:color="auto" w:fill="FFFF99"/>
          <w:rtl/>
        </w:rPr>
        <w:tab/>
      </w:r>
      <w:r w:rsidRPr="00992654">
        <w:rPr>
          <w:rStyle w:val="default"/>
          <w:rFonts w:cs="FrankRuehl"/>
          <w:vanish/>
          <w:sz w:val="22"/>
          <w:szCs w:val="22"/>
          <w:u w:val="single"/>
          <w:shd w:val="clear" w:color="auto" w:fill="FFFF99"/>
          <w:rtl/>
        </w:rPr>
        <w:t>(ב</w:t>
      </w:r>
      <w:r w:rsidRPr="00992654">
        <w:rPr>
          <w:rStyle w:val="default"/>
          <w:rFonts w:cs="FrankRuehl" w:hint="cs"/>
          <w:vanish/>
          <w:sz w:val="22"/>
          <w:szCs w:val="22"/>
          <w:u w:val="single"/>
          <w:shd w:val="clear" w:color="auto" w:fill="FFFF99"/>
          <w:rtl/>
        </w:rPr>
        <w:t>)</w:t>
      </w:r>
      <w:r w:rsidRPr="00992654">
        <w:rPr>
          <w:rStyle w:val="default"/>
          <w:rFonts w:cs="FrankRuehl"/>
          <w:vanish/>
          <w:sz w:val="22"/>
          <w:szCs w:val="22"/>
          <w:u w:val="single"/>
          <w:shd w:val="clear" w:color="auto" w:fill="FFFF99"/>
          <w:rtl/>
        </w:rPr>
        <w:tab/>
        <w:t>ה</w:t>
      </w:r>
      <w:r w:rsidRPr="00992654">
        <w:rPr>
          <w:rStyle w:val="default"/>
          <w:rFonts w:cs="FrankRuehl" w:hint="cs"/>
          <w:vanish/>
          <w:sz w:val="22"/>
          <w:szCs w:val="22"/>
          <w:u w:val="single"/>
          <w:shd w:val="clear" w:color="auto" w:fill="FFFF99"/>
          <w:rtl/>
        </w:rPr>
        <w:t>וראות תקנת משנה (א) לא יחולו על איגרות חוב שהוצאו</w:t>
      </w:r>
      <w:r w:rsidRPr="00992654">
        <w:rPr>
          <w:rStyle w:val="default"/>
          <w:rFonts w:cs="FrankRuehl"/>
          <w:vanish/>
          <w:sz w:val="22"/>
          <w:szCs w:val="22"/>
          <w:u w:val="single"/>
          <w:shd w:val="clear" w:color="auto" w:fill="FFFF99"/>
          <w:rtl/>
        </w:rPr>
        <w:t xml:space="preserve"> </w:t>
      </w:r>
      <w:r w:rsidRPr="00992654">
        <w:rPr>
          <w:rStyle w:val="default"/>
          <w:rFonts w:cs="FrankRuehl" w:hint="cs"/>
          <w:vanish/>
          <w:sz w:val="22"/>
          <w:szCs w:val="22"/>
          <w:u w:val="single"/>
          <w:shd w:val="clear" w:color="auto" w:fill="FFFF99"/>
          <w:rtl/>
        </w:rPr>
        <w:t>אחרי יום ב' באייר תש"ס (7 במאי 2000).</w:t>
      </w:r>
      <w:bookmarkEnd w:id="17"/>
    </w:p>
    <w:p w14:paraId="5BAD3B29" w14:textId="77777777" w:rsidR="00CC22FD" w:rsidRDefault="00CC22FD">
      <w:pPr>
        <w:pStyle w:val="P00"/>
        <w:spacing w:before="72"/>
        <w:ind w:left="0" w:right="1134"/>
        <w:rPr>
          <w:rStyle w:val="default"/>
          <w:rFonts w:cs="FrankRuehl" w:hint="cs"/>
          <w:rtl/>
        </w:rPr>
      </w:pPr>
      <w:bookmarkStart w:id="18" w:name="Seif11"/>
      <w:bookmarkEnd w:id="18"/>
      <w:r>
        <w:rPr>
          <w:lang w:val="he-IL"/>
        </w:rPr>
        <w:pict w14:anchorId="382A7527">
          <v:rect id="_x0000_s1039" style="position:absolute;left:0;text-align:left;margin-left:464.5pt;margin-top:8.05pt;width:75.05pt;height:13.15pt;z-index:251659264" o:allowincell="f" filled="f" stroked="f" strokecolor="lime" strokeweight=".25pt">
            <v:textbox inset="0,0,0,0">
              <w:txbxContent>
                <w:p w14:paraId="070B225E" w14:textId="77777777" w:rsidR="00CC22FD" w:rsidRDefault="00CC22FD">
                  <w:pPr>
                    <w:spacing w:line="160" w:lineRule="exact"/>
                    <w:jc w:val="left"/>
                    <w:rPr>
                      <w:rFonts w:cs="Miriam"/>
                      <w:noProof/>
                      <w:sz w:val="18"/>
                      <w:szCs w:val="18"/>
                      <w:rtl/>
                    </w:rPr>
                  </w:pPr>
                  <w:r>
                    <w:rPr>
                      <w:rFonts w:cs="Miriam"/>
                      <w:sz w:val="18"/>
                      <w:szCs w:val="18"/>
                      <w:rtl/>
                    </w:rPr>
                    <w:t>סג</w:t>
                  </w:r>
                  <w:r>
                    <w:rPr>
                      <w:rFonts w:cs="Miriam" w:hint="cs"/>
                      <w:sz w:val="18"/>
                      <w:szCs w:val="18"/>
                      <w:rtl/>
                    </w:rPr>
                    <w:t>ירת הפנקס</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 xml:space="preserve">ינהלה רשאית לסגור את פנקס איגרות החוב שלושים ימים לפני מועד הפרעון של </w:t>
      </w:r>
      <w:r>
        <w:rPr>
          <w:rStyle w:val="default"/>
          <w:rFonts w:cs="FrankRuehl"/>
          <w:rtl/>
        </w:rPr>
        <w:t>כל</w:t>
      </w:r>
      <w:r>
        <w:rPr>
          <w:rStyle w:val="default"/>
          <w:rFonts w:cs="FrankRuehl" w:hint="cs"/>
          <w:rtl/>
        </w:rPr>
        <w:t xml:space="preserve"> סכום קרן או ריבית ולא לרשום בו כל העברת איגרות חוב.</w:t>
      </w:r>
    </w:p>
    <w:p w14:paraId="1FC37C92" w14:textId="77777777" w:rsidR="00CC22FD" w:rsidRDefault="00CC22FD">
      <w:pPr>
        <w:pStyle w:val="P00"/>
        <w:spacing w:before="72"/>
        <w:ind w:left="0" w:right="1134"/>
        <w:rPr>
          <w:rStyle w:val="default"/>
          <w:rFonts w:cs="FrankRuehl" w:hint="cs"/>
          <w:rtl/>
        </w:rPr>
      </w:pPr>
      <w:bookmarkStart w:id="19" w:name="Seif15"/>
      <w:bookmarkEnd w:id="19"/>
      <w:r>
        <w:rPr>
          <w:lang w:val="he-IL"/>
        </w:rPr>
        <w:pict w14:anchorId="4FDD3AE0">
          <v:rect id="_x0000_s1052" style="position:absolute;left:0;text-align:left;margin-left:464.5pt;margin-top:8.05pt;width:75.05pt;height:23.15pt;z-index:251667456" o:allowincell="f" filled="f" stroked="f" strokecolor="lime" strokeweight=".25pt">
            <v:textbox style="mso-next-textbox:#_x0000_s1052" inset="0,0,0,0">
              <w:txbxContent>
                <w:p w14:paraId="59C6CD9C" w14:textId="77777777" w:rsidR="00CC22FD" w:rsidRDefault="00CC22FD">
                  <w:pPr>
                    <w:spacing w:line="160" w:lineRule="exact"/>
                    <w:jc w:val="left"/>
                    <w:rPr>
                      <w:rFonts w:cs="Miriam" w:hint="cs"/>
                      <w:sz w:val="18"/>
                      <w:szCs w:val="18"/>
                      <w:rtl/>
                    </w:rPr>
                  </w:pPr>
                  <w:r>
                    <w:rPr>
                      <w:rFonts w:cs="Miriam" w:hint="cs"/>
                      <w:sz w:val="18"/>
                      <w:szCs w:val="18"/>
                      <w:rtl/>
                    </w:rPr>
                    <w:t>שינוי מועד תשלום</w:t>
                  </w:r>
                </w:p>
                <w:p w14:paraId="3ACAB370" w14:textId="77777777" w:rsidR="00CC22FD" w:rsidRDefault="00CC22FD">
                  <w:pPr>
                    <w:spacing w:line="160" w:lineRule="exact"/>
                    <w:jc w:val="left"/>
                    <w:rPr>
                      <w:rFonts w:cs="Miriam" w:hint="cs"/>
                      <w:noProof/>
                      <w:sz w:val="18"/>
                      <w:szCs w:val="18"/>
                      <w:rtl/>
                    </w:rPr>
                  </w:pPr>
                  <w:r>
                    <w:rPr>
                      <w:rFonts w:cs="Miriam" w:hint="cs"/>
                      <w:sz w:val="18"/>
                      <w:szCs w:val="18"/>
                      <w:rtl/>
                    </w:rPr>
                    <w:t>תק' תשס"ז-2007</w:t>
                  </w:r>
                </w:p>
              </w:txbxContent>
            </v:textbox>
            <w10:anchorlock/>
          </v:rect>
        </w:pict>
      </w:r>
      <w:r>
        <w:rPr>
          <w:rStyle w:val="big-number"/>
          <w:rFonts w:cs="Miriam"/>
          <w:rtl/>
        </w:rPr>
        <w:t>12</w:t>
      </w:r>
      <w:r>
        <w:rPr>
          <w:rStyle w:val="default"/>
          <w:rFonts w:cs="FrankRuehl" w:hint="cs"/>
          <w:rtl/>
        </w:rPr>
        <w:t>א</w:t>
      </w:r>
      <w:r>
        <w:rPr>
          <w:rStyle w:val="default"/>
          <w:rFonts w:cs="FrankRuehl"/>
          <w:rtl/>
        </w:rPr>
        <w:t>.</w:t>
      </w:r>
      <w:r>
        <w:rPr>
          <w:rStyle w:val="default"/>
          <w:rFonts w:cs="FrankRuehl"/>
          <w:rtl/>
        </w:rPr>
        <w:tab/>
        <w:t>נבצר מהמינהלה לבצע תשלום קרן או ריבית, יבוצע התשלום</w:t>
      </w:r>
      <w:r>
        <w:rPr>
          <w:rStyle w:val="default"/>
          <w:rFonts w:cs="FrankRuehl" w:hint="cs"/>
          <w:rtl/>
        </w:rPr>
        <w:t xml:space="preserve"> </w:t>
      </w:r>
      <w:r>
        <w:rPr>
          <w:rStyle w:val="default"/>
          <w:rFonts w:cs="FrankRuehl"/>
          <w:rtl/>
        </w:rPr>
        <w:t>ביום העסקים הבנקאי שלאחריו, ואולם תקופת הריבית שבשלה מבוצע</w:t>
      </w:r>
      <w:r>
        <w:rPr>
          <w:rStyle w:val="default"/>
          <w:rFonts w:cs="FrankRuehl" w:hint="cs"/>
          <w:rtl/>
        </w:rPr>
        <w:t xml:space="preserve"> </w:t>
      </w:r>
      <w:r>
        <w:rPr>
          <w:rStyle w:val="default"/>
          <w:rFonts w:cs="FrankRuehl"/>
          <w:rtl/>
        </w:rPr>
        <w:t>התשלום תוארך עד מועד התשלום בפועל ותקופת הריבית שלאחריה תקוצר בהתאמה.</w:t>
      </w:r>
    </w:p>
    <w:p w14:paraId="298EBD5D"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20" w:name="Rov36"/>
      <w:r w:rsidRPr="00992654">
        <w:rPr>
          <w:rStyle w:val="default"/>
          <w:rFonts w:cs="FrankRuehl" w:hint="cs"/>
          <w:vanish/>
          <w:color w:val="FF0000"/>
          <w:sz w:val="20"/>
          <w:szCs w:val="20"/>
          <w:shd w:val="clear" w:color="auto" w:fill="FFFF99"/>
          <w:rtl/>
        </w:rPr>
        <w:t>מיום 28.7.2007</w:t>
      </w:r>
    </w:p>
    <w:p w14:paraId="640367D5"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תשס"ז-2007</w:t>
      </w:r>
    </w:p>
    <w:p w14:paraId="71B3486B" w14:textId="77777777" w:rsidR="00CC22FD" w:rsidRPr="00992654" w:rsidRDefault="00CC22FD" w:rsidP="00C7769C">
      <w:pPr>
        <w:pStyle w:val="P00"/>
        <w:spacing w:before="0"/>
        <w:ind w:left="0" w:right="1134"/>
        <w:rPr>
          <w:rStyle w:val="default"/>
          <w:rFonts w:cs="FrankRuehl" w:hint="cs"/>
          <w:vanish/>
          <w:sz w:val="20"/>
          <w:szCs w:val="20"/>
          <w:shd w:val="clear" w:color="auto" w:fill="FFFF99"/>
          <w:rtl/>
        </w:rPr>
      </w:pPr>
      <w:hyperlink r:id="rId14" w:history="1">
        <w:r w:rsidRPr="00992654">
          <w:rPr>
            <w:rStyle w:val="Hyperlink"/>
            <w:rFonts w:cs="FrankRuehl" w:hint="cs"/>
            <w:vanish/>
            <w:szCs w:val="20"/>
            <w:shd w:val="clear" w:color="auto" w:fill="FFFF99"/>
            <w:rtl/>
          </w:rPr>
          <w:t>ק"ת תשס"ז מס' 6597</w:t>
        </w:r>
      </w:hyperlink>
      <w:r w:rsidRPr="00992654">
        <w:rPr>
          <w:rStyle w:val="default"/>
          <w:rFonts w:cs="FrankRuehl" w:hint="cs"/>
          <w:vanish/>
          <w:sz w:val="20"/>
          <w:szCs w:val="20"/>
          <w:shd w:val="clear" w:color="auto" w:fill="FFFF99"/>
          <w:rtl/>
        </w:rPr>
        <w:t xml:space="preserve"> מיום 28.6.2007 עמ' </w:t>
      </w:r>
      <w:r w:rsidR="00C7769C" w:rsidRPr="00992654">
        <w:rPr>
          <w:rStyle w:val="default"/>
          <w:rFonts w:cs="FrankRuehl" w:hint="cs"/>
          <w:vanish/>
          <w:sz w:val="20"/>
          <w:szCs w:val="20"/>
          <w:shd w:val="clear" w:color="auto" w:fill="FFFF99"/>
          <w:rtl/>
        </w:rPr>
        <w:t>801</w:t>
      </w:r>
    </w:p>
    <w:p w14:paraId="05EE1C3F" w14:textId="77777777" w:rsidR="00CC22FD" w:rsidRDefault="00CC22FD">
      <w:pPr>
        <w:pStyle w:val="P00"/>
        <w:spacing w:before="0"/>
        <w:ind w:left="0" w:right="1134"/>
        <w:rPr>
          <w:rStyle w:val="default"/>
          <w:rFonts w:cs="FrankRuehl" w:hint="cs"/>
          <w:b/>
          <w:bCs/>
          <w:sz w:val="2"/>
          <w:szCs w:val="2"/>
          <w:shd w:val="clear" w:color="auto" w:fill="FFFF99"/>
          <w:rtl/>
        </w:rPr>
      </w:pPr>
      <w:r w:rsidRPr="00992654">
        <w:rPr>
          <w:rStyle w:val="default"/>
          <w:rFonts w:cs="FrankRuehl" w:hint="cs"/>
          <w:b/>
          <w:bCs/>
          <w:vanish/>
          <w:sz w:val="20"/>
          <w:szCs w:val="20"/>
          <w:shd w:val="clear" w:color="auto" w:fill="FFFF99"/>
          <w:rtl/>
        </w:rPr>
        <w:t>הוספת תקנה 12א</w:t>
      </w:r>
      <w:bookmarkEnd w:id="20"/>
    </w:p>
    <w:p w14:paraId="1ABE5B9B" w14:textId="77777777" w:rsidR="00CC22FD" w:rsidRDefault="00CC22FD">
      <w:pPr>
        <w:pStyle w:val="P00"/>
        <w:spacing w:before="72"/>
        <w:ind w:left="0" w:right="1134"/>
        <w:rPr>
          <w:rStyle w:val="default"/>
          <w:rFonts w:cs="FrankRuehl" w:hint="cs"/>
          <w:rtl/>
        </w:rPr>
      </w:pPr>
      <w:bookmarkStart w:id="21" w:name="Seif12"/>
      <w:bookmarkEnd w:id="21"/>
      <w:r>
        <w:rPr>
          <w:lang w:val="he-IL"/>
        </w:rPr>
        <w:pict w14:anchorId="752877D1">
          <v:rect id="_x0000_s1040" style="position:absolute;left:0;text-align:left;margin-left:464.5pt;margin-top:8.05pt;width:75.05pt;height:15.95pt;z-index:251660288" o:allowincell="f" filled="f" stroked="f" strokecolor="lime" strokeweight=".25pt">
            <v:textbox inset="0,0,0,0">
              <w:txbxContent>
                <w:p w14:paraId="0B3A268D" w14:textId="77777777" w:rsidR="00CC22FD" w:rsidRDefault="00CC22FD">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big-number"/>
          <w:rFonts w:cs="Miriam"/>
          <w:rtl/>
        </w:rPr>
        <w:t>13.</w:t>
      </w:r>
      <w:r>
        <w:rPr>
          <w:rStyle w:val="big-number"/>
          <w:rFonts w:cs="Miriam"/>
          <w:rtl/>
        </w:rPr>
        <w:tab/>
      </w:r>
      <w:r>
        <w:rPr>
          <w:rStyle w:val="default"/>
          <w:rFonts w:cs="FrankRuehl" w:hint="cs"/>
          <w:rtl/>
        </w:rPr>
        <w:t>(בוטלה).</w:t>
      </w:r>
    </w:p>
    <w:p w14:paraId="13CCFE10"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22" w:name="Rov25"/>
      <w:r w:rsidRPr="00992654">
        <w:rPr>
          <w:rStyle w:val="default"/>
          <w:rFonts w:cs="FrankRuehl" w:hint="cs"/>
          <w:vanish/>
          <w:color w:val="FF0000"/>
          <w:sz w:val="20"/>
          <w:szCs w:val="20"/>
          <w:shd w:val="clear" w:color="auto" w:fill="FFFF99"/>
          <w:rtl/>
        </w:rPr>
        <w:t>מיום 29.2.2006</w:t>
      </w:r>
    </w:p>
    <w:p w14:paraId="3A3B5A7E"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120B73D6"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15"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5C6786F9" w14:textId="77777777" w:rsidR="00CC22FD" w:rsidRPr="00992654" w:rsidRDefault="00CC22FD">
      <w:pPr>
        <w:pStyle w:val="P00"/>
        <w:spacing w:before="0"/>
        <w:ind w:left="0" w:right="1134"/>
        <w:rPr>
          <w:rStyle w:val="default"/>
          <w:rFonts w:cs="FrankRuehl" w:hint="cs"/>
          <w:vanish/>
          <w:sz w:val="20"/>
          <w:szCs w:val="20"/>
          <w:shd w:val="clear" w:color="auto" w:fill="FFFF99"/>
          <w:rtl/>
        </w:rPr>
      </w:pPr>
      <w:r w:rsidRPr="00992654">
        <w:rPr>
          <w:rStyle w:val="default"/>
          <w:rFonts w:cs="FrankRuehl" w:hint="cs"/>
          <w:b/>
          <w:bCs/>
          <w:vanish/>
          <w:sz w:val="20"/>
          <w:szCs w:val="20"/>
          <w:shd w:val="clear" w:color="auto" w:fill="FFFF99"/>
          <w:rtl/>
        </w:rPr>
        <w:t>ביטול תקנה 13</w:t>
      </w:r>
    </w:p>
    <w:p w14:paraId="0AB1DB12" w14:textId="77777777" w:rsidR="00CC22FD" w:rsidRPr="00992654" w:rsidRDefault="00CC22FD">
      <w:pPr>
        <w:pStyle w:val="P00"/>
        <w:ind w:left="0" w:right="1134"/>
        <w:rPr>
          <w:rStyle w:val="default"/>
          <w:rFonts w:cs="FrankRuehl" w:hint="cs"/>
          <w:vanish/>
          <w:sz w:val="20"/>
          <w:szCs w:val="20"/>
          <w:shd w:val="clear" w:color="auto" w:fill="FFFF99"/>
          <w:rtl/>
        </w:rPr>
      </w:pPr>
      <w:r w:rsidRPr="00992654">
        <w:rPr>
          <w:rStyle w:val="default"/>
          <w:rFonts w:cs="FrankRuehl" w:hint="cs"/>
          <w:vanish/>
          <w:sz w:val="20"/>
          <w:szCs w:val="20"/>
          <w:shd w:val="clear" w:color="auto" w:fill="FFFF99"/>
          <w:rtl/>
        </w:rPr>
        <w:t>הנוסח הקודם:</w:t>
      </w:r>
    </w:p>
    <w:p w14:paraId="642E087F" w14:textId="77777777" w:rsidR="00CC22FD" w:rsidRPr="00992654" w:rsidRDefault="00CC22FD" w:rsidP="00CB018C">
      <w:pPr>
        <w:pStyle w:val="P00"/>
        <w:spacing w:before="20"/>
        <w:ind w:left="0" w:right="1134"/>
        <w:rPr>
          <w:rStyle w:val="default"/>
          <w:rFonts w:cs="Miriam" w:hint="cs"/>
          <w:strike/>
          <w:vanish/>
          <w:sz w:val="16"/>
          <w:szCs w:val="16"/>
          <w:shd w:val="clear" w:color="auto" w:fill="FFFF99"/>
          <w:rtl/>
        </w:rPr>
      </w:pPr>
      <w:r w:rsidRPr="00992654">
        <w:rPr>
          <w:rStyle w:val="default"/>
          <w:rFonts w:cs="Miriam" w:hint="cs"/>
          <w:strike/>
          <w:vanish/>
          <w:sz w:val="16"/>
          <w:szCs w:val="16"/>
          <w:shd w:val="clear" w:color="auto" w:fill="FFFF99"/>
          <w:rtl/>
        </w:rPr>
        <w:t>מכירת איגרות החוב</w:t>
      </w:r>
    </w:p>
    <w:p w14:paraId="5508CA80" w14:textId="77777777" w:rsidR="00CC22FD" w:rsidRDefault="00CC22FD">
      <w:pPr>
        <w:pStyle w:val="P00"/>
        <w:spacing w:before="0"/>
        <w:ind w:left="0" w:right="1134"/>
        <w:rPr>
          <w:rStyle w:val="default"/>
          <w:rFonts w:cs="FrankRuehl" w:hint="cs"/>
          <w:sz w:val="2"/>
          <w:szCs w:val="2"/>
          <w:rtl/>
        </w:rPr>
      </w:pPr>
      <w:r w:rsidRPr="00992654">
        <w:rPr>
          <w:rStyle w:val="big-number"/>
          <w:rFonts w:cs="FrankRuehl"/>
          <w:strike/>
          <w:vanish/>
          <w:sz w:val="22"/>
          <w:szCs w:val="22"/>
          <w:shd w:val="clear" w:color="auto" w:fill="FFFF99"/>
          <w:rtl/>
        </w:rPr>
        <w:t>13.</w:t>
      </w:r>
      <w:r w:rsidRPr="00992654">
        <w:rPr>
          <w:rStyle w:val="big-number"/>
          <w:rFonts w:cs="FrankRuehl"/>
          <w:strike/>
          <w:vanish/>
          <w:sz w:val="22"/>
          <w:szCs w:val="22"/>
          <w:shd w:val="clear" w:color="auto" w:fill="FFFF99"/>
          <w:rtl/>
        </w:rPr>
        <w:tab/>
      </w:r>
      <w:r w:rsidRPr="00992654">
        <w:rPr>
          <w:rStyle w:val="default"/>
          <w:rFonts w:cs="FrankRuehl"/>
          <w:strike/>
          <w:vanish/>
          <w:sz w:val="22"/>
          <w:szCs w:val="22"/>
          <w:shd w:val="clear" w:color="auto" w:fill="FFFF99"/>
          <w:rtl/>
        </w:rPr>
        <w:t>אי</w:t>
      </w:r>
      <w:r w:rsidRPr="00992654">
        <w:rPr>
          <w:rStyle w:val="default"/>
          <w:rFonts w:cs="FrankRuehl" w:hint="cs"/>
          <w:strike/>
          <w:vanish/>
          <w:sz w:val="22"/>
          <w:szCs w:val="22"/>
          <w:shd w:val="clear" w:color="auto" w:fill="FFFF99"/>
          <w:rtl/>
        </w:rPr>
        <w:t>גרות החוב יימכרו באמצעות בנק ישראל, תאגיד בנקאי, חברי הבורסה לניירות ערך בתל אביב בע"מ וגופים נוספים כפי שיקבע בנק ישראל מפעם לפעם באישור הממונה על שוק ההון ביטוח וחסכון, ובתנאים שיקבע.</w:t>
      </w:r>
      <w:bookmarkEnd w:id="22"/>
    </w:p>
    <w:p w14:paraId="4D4D6C96" w14:textId="77777777" w:rsidR="00CC22FD" w:rsidRDefault="00CC22FD">
      <w:pPr>
        <w:pStyle w:val="P00"/>
        <w:spacing w:before="72"/>
        <w:ind w:left="0" w:right="1134"/>
        <w:rPr>
          <w:rStyle w:val="default"/>
          <w:rFonts w:cs="FrankRuehl" w:hint="cs"/>
          <w:rtl/>
        </w:rPr>
      </w:pPr>
      <w:bookmarkStart w:id="23" w:name="Seif13"/>
      <w:bookmarkEnd w:id="23"/>
      <w:r>
        <w:rPr>
          <w:lang w:val="he-IL"/>
        </w:rPr>
        <w:pict w14:anchorId="2C8981F7">
          <v:rect id="_x0000_s1041" style="position:absolute;left:0;text-align:left;margin-left:464.5pt;margin-top:8.05pt;width:75.05pt;height:12.7pt;z-index:251661312" o:allowincell="f" filled="f" stroked="f" strokecolor="lime" strokeweight=".25pt">
            <v:textbox inset="0,0,0,0">
              <w:txbxContent>
                <w:p w14:paraId="1537D7D9" w14:textId="77777777" w:rsidR="00CC22FD" w:rsidRDefault="00CC22F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14.</w:t>
      </w:r>
      <w:r>
        <w:rPr>
          <w:rStyle w:val="big-number"/>
          <w:rFonts w:cs="Miriam"/>
          <w:rtl/>
        </w:rPr>
        <w:tab/>
      </w:r>
      <w:r>
        <w:rPr>
          <w:rStyle w:val="default"/>
          <w:rFonts w:cs="FrankRuehl"/>
          <w:rtl/>
        </w:rPr>
        <w:t>תח</w:t>
      </w:r>
      <w:r>
        <w:rPr>
          <w:rStyle w:val="default"/>
          <w:rFonts w:cs="FrankRuehl" w:hint="cs"/>
          <w:rtl/>
        </w:rPr>
        <w:t>י</w:t>
      </w:r>
      <w:r>
        <w:rPr>
          <w:rStyle w:val="default"/>
          <w:rFonts w:cs="FrankRuehl"/>
          <w:rtl/>
        </w:rPr>
        <w:t>לת</w:t>
      </w:r>
      <w:r>
        <w:rPr>
          <w:rStyle w:val="default"/>
          <w:rFonts w:cs="FrankRuehl" w:hint="cs"/>
          <w:rtl/>
        </w:rPr>
        <w:t>ן של תקנות אלה 30 ימים מיום פרסומן.</w:t>
      </w:r>
    </w:p>
    <w:p w14:paraId="2E4B9966" w14:textId="77777777" w:rsidR="004A0CF1" w:rsidRDefault="004A0CF1">
      <w:pPr>
        <w:pStyle w:val="P00"/>
        <w:spacing w:before="72"/>
        <w:ind w:left="0" w:right="1134"/>
        <w:rPr>
          <w:rStyle w:val="default"/>
          <w:rFonts w:cs="FrankRuehl"/>
          <w:rtl/>
        </w:rPr>
      </w:pPr>
    </w:p>
    <w:p w14:paraId="2548AEE7" w14:textId="77777777" w:rsidR="00CC22FD" w:rsidRPr="00992654" w:rsidRDefault="00CC22FD">
      <w:pPr>
        <w:pStyle w:val="medium2-header"/>
        <w:keepLines w:val="0"/>
        <w:spacing w:before="72"/>
        <w:ind w:left="0" w:right="1134"/>
        <w:rPr>
          <w:rFonts w:cs="FrankRuehl"/>
          <w:noProof/>
          <w:rtl/>
        </w:rPr>
      </w:pPr>
      <w:bookmarkStart w:id="24" w:name="med0"/>
      <w:bookmarkEnd w:id="24"/>
      <w:r w:rsidRPr="00992654">
        <w:rPr>
          <w:rFonts w:cs="FrankRuehl"/>
          <w:noProof/>
          <w:rtl/>
          <w:lang w:val="he-IL"/>
        </w:rPr>
        <w:pict w14:anchorId="324BB015">
          <v:shape id="_x0000_s1050" type="#_x0000_t202" style="position:absolute;left:0;text-align:left;margin-left:470.25pt;margin-top:7.1pt;width:1in;height:11.2pt;z-index:251666432" filled="f" stroked="f">
            <v:textbox inset="1mm,0,1mm,0">
              <w:txbxContent>
                <w:p w14:paraId="142901FD" w14:textId="77777777" w:rsidR="00CC22FD" w:rsidRDefault="00CC22FD">
                  <w:pPr>
                    <w:spacing w:line="160" w:lineRule="exact"/>
                    <w:jc w:val="left"/>
                    <w:rPr>
                      <w:rFonts w:cs="Miriam" w:hint="cs"/>
                      <w:sz w:val="18"/>
                      <w:szCs w:val="18"/>
                      <w:rtl/>
                    </w:rPr>
                  </w:pPr>
                  <w:r>
                    <w:rPr>
                      <w:rFonts w:cs="Miriam" w:hint="cs"/>
                      <w:sz w:val="18"/>
                      <w:szCs w:val="18"/>
                      <w:rtl/>
                    </w:rPr>
                    <w:t>תק' תשס"ו-2006</w:t>
                  </w:r>
                </w:p>
              </w:txbxContent>
            </v:textbox>
            <w10:anchorlock/>
          </v:shape>
        </w:pict>
      </w:r>
      <w:r w:rsidRPr="00992654">
        <w:rPr>
          <w:rFonts w:cs="FrankRuehl"/>
          <w:noProof/>
          <w:rtl/>
        </w:rPr>
        <w:t>תו</w:t>
      </w:r>
      <w:r w:rsidRPr="00992654">
        <w:rPr>
          <w:rFonts w:cs="FrankRuehl" w:hint="cs"/>
          <w:noProof/>
          <w:rtl/>
        </w:rPr>
        <w:t>ספת ראשונה</w:t>
      </w:r>
    </w:p>
    <w:p w14:paraId="706AAD61" w14:textId="77777777" w:rsidR="00CC22FD" w:rsidRPr="00992654" w:rsidRDefault="00CC22FD" w:rsidP="00992654">
      <w:pPr>
        <w:pStyle w:val="P00"/>
        <w:spacing w:before="72"/>
        <w:ind w:left="0" w:right="1134"/>
        <w:jc w:val="center"/>
        <w:rPr>
          <w:rStyle w:val="default"/>
          <w:rFonts w:cs="FrankRuehl" w:hint="cs"/>
          <w:sz w:val="24"/>
          <w:szCs w:val="24"/>
          <w:rtl/>
        </w:rPr>
      </w:pPr>
      <w:r w:rsidRPr="00992654">
        <w:rPr>
          <w:rStyle w:val="default"/>
          <w:rFonts w:cs="FrankRuehl"/>
          <w:sz w:val="24"/>
          <w:szCs w:val="24"/>
          <w:rtl/>
        </w:rPr>
        <w:t>(</w:t>
      </w:r>
      <w:r w:rsidRPr="00992654">
        <w:rPr>
          <w:rStyle w:val="default"/>
          <w:rFonts w:cs="FrankRuehl" w:hint="cs"/>
          <w:sz w:val="24"/>
          <w:szCs w:val="24"/>
          <w:rtl/>
        </w:rPr>
        <w:t>בוטלה)</w:t>
      </w:r>
    </w:p>
    <w:p w14:paraId="478A5DCB" w14:textId="77777777" w:rsidR="00CC22FD" w:rsidRPr="004A0CF1" w:rsidRDefault="00CC22FD">
      <w:pPr>
        <w:pStyle w:val="P00"/>
        <w:spacing w:before="72"/>
        <w:ind w:left="0" w:right="1134"/>
        <w:rPr>
          <w:rStyle w:val="default"/>
          <w:rFonts w:cs="FrankRuehl"/>
          <w:rtl/>
        </w:rPr>
      </w:pPr>
    </w:p>
    <w:p w14:paraId="223D22D1" w14:textId="77777777" w:rsidR="00CC22FD" w:rsidRPr="00992654" w:rsidRDefault="00CC22FD">
      <w:pPr>
        <w:pStyle w:val="medium2-header"/>
        <w:keepLines w:val="0"/>
        <w:spacing w:before="72"/>
        <w:ind w:left="0" w:right="1134"/>
        <w:rPr>
          <w:rFonts w:cs="FrankRuehl"/>
          <w:noProof/>
          <w:rtl/>
        </w:rPr>
      </w:pPr>
      <w:bookmarkStart w:id="25" w:name="med5"/>
      <w:bookmarkEnd w:id="25"/>
      <w:r w:rsidRPr="00992654">
        <w:rPr>
          <w:rFonts w:cs="FrankRuehl"/>
          <w:noProof/>
          <w:rtl/>
        </w:rPr>
        <w:pict w14:anchorId="1CAED6D2">
          <v:shape id="_x0000_s1049" type="#_x0000_t202" style="position:absolute;left:0;text-align:left;margin-left:470.25pt;margin-top:7.1pt;width:1in;height:11.2pt;z-index:251665408" filled="f" stroked="f">
            <v:textbox inset="1mm,0,1mm,0">
              <w:txbxContent>
                <w:p w14:paraId="1B2A34C7" w14:textId="77777777" w:rsidR="00CC22FD" w:rsidRDefault="00CC22FD">
                  <w:pPr>
                    <w:spacing w:line="160" w:lineRule="exact"/>
                    <w:jc w:val="left"/>
                    <w:rPr>
                      <w:rFonts w:cs="Miriam" w:hint="cs"/>
                      <w:sz w:val="18"/>
                      <w:szCs w:val="18"/>
                      <w:rtl/>
                    </w:rPr>
                  </w:pPr>
                  <w:r>
                    <w:rPr>
                      <w:rFonts w:cs="Miriam" w:hint="cs"/>
                      <w:sz w:val="18"/>
                      <w:szCs w:val="18"/>
                      <w:rtl/>
                    </w:rPr>
                    <w:t>תק' תשס"ו-2006</w:t>
                  </w:r>
                </w:p>
              </w:txbxContent>
            </v:textbox>
            <w10:anchorlock/>
          </v:shape>
        </w:pict>
      </w:r>
      <w:r w:rsidRPr="00992654">
        <w:rPr>
          <w:rFonts w:cs="FrankRuehl"/>
          <w:noProof/>
          <w:rtl/>
        </w:rPr>
        <w:t>תו</w:t>
      </w:r>
      <w:r w:rsidRPr="00992654">
        <w:rPr>
          <w:rFonts w:cs="FrankRuehl" w:hint="cs"/>
          <w:noProof/>
          <w:rtl/>
        </w:rPr>
        <w:t>ספת</w:t>
      </w:r>
    </w:p>
    <w:p w14:paraId="1E6D7F40" w14:textId="77777777" w:rsidR="00CC22FD" w:rsidRPr="00992654" w:rsidRDefault="00CC22FD" w:rsidP="00992654">
      <w:pPr>
        <w:pStyle w:val="P00"/>
        <w:spacing w:before="72"/>
        <w:ind w:left="0" w:right="1134"/>
        <w:jc w:val="center"/>
        <w:rPr>
          <w:rStyle w:val="default"/>
          <w:rFonts w:cs="FrankRuehl" w:hint="cs"/>
          <w:sz w:val="24"/>
          <w:szCs w:val="24"/>
          <w:rtl/>
        </w:rPr>
      </w:pPr>
      <w:r w:rsidRPr="00992654">
        <w:rPr>
          <w:rStyle w:val="default"/>
          <w:rFonts w:cs="FrankRuehl"/>
          <w:sz w:val="24"/>
          <w:szCs w:val="24"/>
          <w:rtl/>
        </w:rPr>
        <w:t>(ת</w:t>
      </w:r>
      <w:r w:rsidRPr="00992654">
        <w:rPr>
          <w:rStyle w:val="default"/>
          <w:rFonts w:cs="FrankRuehl" w:hint="cs"/>
          <w:sz w:val="24"/>
          <w:szCs w:val="24"/>
          <w:rtl/>
        </w:rPr>
        <w:t>קנה 7(ד))</w:t>
      </w:r>
    </w:p>
    <w:p w14:paraId="69B76D20" w14:textId="77777777" w:rsidR="00CC22FD" w:rsidRPr="00992654" w:rsidRDefault="00CC22FD">
      <w:pPr>
        <w:pStyle w:val="P00"/>
        <w:spacing w:before="0"/>
        <w:ind w:left="0" w:right="1134"/>
        <w:rPr>
          <w:rStyle w:val="default"/>
          <w:rFonts w:cs="FrankRuehl" w:hint="cs"/>
          <w:vanish/>
          <w:color w:val="FF0000"/>
          <w:sz w:val="20"/>
          <w:szCs w:val="20"/>
          <w:shd w:val="clear" w:color="auto" w:fill="FFFF99"/>
          <w:rtl/>
        </w:rPr>
      </w:pPr>
      <w:bookmarkStart w:id="26" w:name="Rov30"/>
      <w:r w:rsidRPr="00992654">
        <w:rPr>
          <w:rStyle w:val="default"/>
          <w:rFonts w:cs="FrankRuehl" w:hint="cs"/>
          <w:vanish/>
          <w:color w:val="FF0000"/>
          <w:sz w:val="20"/>
          <w:szCs w:val="20"/>
          <w:shd w:val="clear" w:color="auto" w:fill="FFFF99"/>
          <w:rtl/>
        </w:rPr>
        <w:t>מיום 29.2.2006</w:t>
      </w:r>
    </w:p>
    <w:p w14:paraId="3CE24B47" w14:textId="77777777" w:rsidR="00CC22FD" w:rsidRPr="00992654" w:rsidRDefault="00CC22FD">
      <w:pPr>
        <w:pStyle w:val="P00"/>
        <w:spacing w:before="0"/>
        <w:ind w:left="0" w:right="1134"/>
        <w:rPr>
          <w:rStyle w:val="default"/>
          <w:rFonts w:cs="FrankRuehl" w:hint="cs"/>
          <w:b/>
          <w:bCs/>
          <w:vanish/>
          <w:sz w:val="20"/>
          <w:szCs w:val="20"/>
          <w:shd w:val="clear" w:color="auto" w:fill="FFFF99"/>
          <w:rtl/>
        </w:rPr>
      </w:pPr>
      <w:r w:rsidRPr="00992654">
        <w:rPr>
          <w:rStyle w:val="default"/>
          <w:rFonts w:cs="FrankRuehl" w:hint="cs"/>
          <w:b/>
          <w:bCs/>
          <w:vanish/>
          <w:sz w:val="20"/>
          <w:szCs w:val="20"/>
          <w:shd w:val="clear" w:color="auto" w:fill="FFFF99"/>
          <w:rtl/>
        </w:rPr>
        <w:t>תק' תשס"ו-2006</w:t>
      </w:r>
    </w:p>
    <w:p w14:paraId="506EB6C9" w14:textId="77777777" w:rsidR="00CC22FD" w:rsidRPr="00992654" w:rsidRDefault="00CC22FD">
      <w:pPr>
        <w:pStyle w:val="P00"/>
        <w:spacing w:before="0"/>
        <w:ind w:left="0" w:right="1134"/>
        <w:rPr>
          <w:rStyle w:val="default"/>
          <w:rFonts w:cs="FrankRuehl" w:hint="cs"/>
          <w:vanish/>
          <w:sz w:val="20"/>
          <w:szCs w:val="20"/>
          <w:shd w:val="clear" w:color="auto" w:fill="FFFF99"/>
          <w:rtl/>
        </w:rPr>
      </w:pPr>
      <w:hyperlink r:id="rId16" w:history="1">
        <w:r w:rsidRPr="00992654">
          <w:rPr>
            <w:rStyle w:val="Hyperlink"/>
            <w:rFonts w:cs="FrankRuehl" w:hint="cs"/>
            <w:vanish/>
            <w:szCs w:val="20"/>
            <w:shd w:val="clear" w:color="auto" w:fill="FFFF99"/>
            <w:rtl/>
          </w:rPr>
          <w:t>ק"ת תשס"ו מס' 6457</w:t>
        </w:r>
      </w:hyperlink>
      <w:r w:rsidRPr="00992654">
        <w:rPr>
          <w:rStyle w:val="default"/>
          <w:rFonts w:cs="FrankRuehl" w:hint="cs"/>
          <w:vanish/>
          <w:sz w:val="20"/>
          <w:szCs w:val="20"/>
          <w:shd w:val="clear" w:color="auto" w:fill="FFFF99"/>
          <w:rtl/>
        </w:rPr>
        <w:t xml:space="preserve"> מיום 30.1.2006 עמ' 407</w:t>
      </w:r>
    </w:p>
    <w:p w14:paraId="42672E9C" w14:textId="77777777" w:rsidR="00CC22FD" w:rsidRDefault="00CC22FD">
      <w:pPr>
        <w:pStyle w:val="P00"/>
        <w:ind w:left="0" w:right="1134"/>
        <w:rPr>
          <w:rStyle w:val="default"/>
          <w:rFonts w:cs="FrankRuehl" w:hint="cs"/>
          <w:sz w:val="2"/>
          <w:szCs w:val="2"/>
          <w:shd w:val="clear" w:color="auto" w:fill="FFFF99"/>
          <w:rtl/>
        </w:rPr>
      </w:pPr>
      <w:r w:rsidRPr="00992654">
        <w:rPr>
          <w:rStyle w:val="default"/>
          <w:rFonts w:cs="FrankRuehl" w:hint="cs"/>
          <w:strike/>
          <w:vanish/>
          <w:sz w:val="20"/>
          <w:szCs w:val="20"/>
          <w:shd w:val="clear" w:color="auto" w:fill="FFFF99"/>
          <w:rtl/>
        </w:rPr>
        <w:t>תוספת שניה</w:t>
      </w:r>
      <w:r w:rsidRPr="00992654">
        <w:rPr>
          <w:rStyle w:val="default"/>
          <w:rFonts w:cs="FrankRuehl" w:hint="cs"/>
          <w:vanish/>
          <w:sz w:val="20"/>
          <w:szCs w:val="20"/>
          <w:shd w:val="clear" w:color="auto" w:fill="FFFF99"/>
          <w:rtl/>
        </w:rPr>
        <w:t xml:space="preserve"> </w:t>
      </w:r>
      <w:r w:rsidRPr="00992654">
        <w:rPr>
          <w:rStyle w:val="default"/>
          <w:rFonts w:cs="FrankRuehl" w:hint="cs"/>
          <w:vanish/>
          <w:sz w:val="20"/>
          <w:szCs w:val="20"/>
          <w:u w:val="single"/>
          <w:shd w:val="clear" w:color="auto" w:fill="FFFF99"/>
          <w:rtl/>
        </w:rPr>
        <w:t>תוספת</w:t>
      </w:r>
      <w:bookmarkEnd w:id="26"/>
    </w:p>
    <w:p w14:paraId="0B73FE9A" w14:textId="77777777" w:rsidR="00CC22FD" w:rsidRPr="00992654" w:rsidRDefault="00CC22FD" w:rsidP="00992654">
      <w:pPr>
        <w:pStyle w:val="P00"/>
        <w:spacing w:before="72"/>
        <w:ind w:left="0" w:right="1134"/>
        <w:jc w:val="center"/>
        <w:rPr>
          <w:rStyle w:val="default"/>
          <w:rFonts w:cs="FrankRuehl"/>
          <w:b/>
          <w:bCs/>
          <w:sz w:val="22"/>
          <w:szCs w:val="22"/>
          <w:rtl/>
        </w:rPr>
      </w:pPr>
      <w:r w:rsidRPr="00992654">
        <w:rPr>
          <w:rStyle w:val="default"/>
          <w:rFonts w:cs="FrankRuehl"/>
          <w:b/>
          <w:bCs/>
          <w:sz w:val="22"/>
          <w:szCs w:val="22"/>
          <w:rtl/>
        </w:rPr>
        <w:t>נו</w:t>
      </w:r>
      <w:r w:rsidRPr="00992654">
        <w:rPr>
          <w:rStyle w:val="default"/>
          <w:rFonts w:cs="FrankRuehl" w:hint="cs"/>
          <w:b/>
          <w:bCs/>
          <w:sz w:val="22"/>
          <w:szCs w:val="22"/>
          <w:rtl/>
        </w:rPr>
        <w:t>סחה לחישוב ריבית</w:t>
      </w:r>
    </w:p>
    <w:p w14:paraId="7BFB0AF2" w14:textId="77777777" w:rsidR="00CC22FD" w:rsidRDefault="00CC22FD">
      <w:pPr>
        <w:pStyle w:val="P00"/>
        <w:spacing w:before="72"/>
        <w:ind w:left="0" w:right="1134"/>
        <w:rPr>
          <w:rFonts w:cs="FrankRuehl"/>
          <w:sz w:val="26"/>
          <w:rtl/>
        </w:rPr>
      </w:pPr>
      <w:r>
        <w:rPr>
          <w:rFonts w:cs="FrankRuehl"/>
          <w:sz w:val="26"/>
          <w:rtl/>
        </w:rPr>
        <w:t>חי</w:t>
      </w:r>
      <w:r>
        <w:rPr>
          <w:rFonts w:cs="FrankRuehl" w:hint="cs"/>
          <w:sz w:val="26"/>
          <w:rtl/>
        </w:rPr>
        <w:t>שוב הריבית לתקופת ריבית כלשהי ייעשה על פי הנוסחה הבאה:</w:t>
      </w:r>
    </w:p>
    <w:p w14:paraId="68DFDE2C" w14:textId="77777777" w:rsidR="00CC22FD" w:rsidRDefault="004A0CF1">
      <w:pPr>
        <w:ind w:right="1134"/>
        <w:jc w:val="center"/>
        <w:rPr>
          <w:rFonts w:cs="David"/>
          <w:noProof/>
          <w:sz w:val="24"/>
          <w:rtl/>
        </w:rPr>
      </w:pPr>
      <w:r w:rsidRPr="004A0CF1">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8.3pt" fillcolor="window">
            <v:imagedata r:id="rId17" o:title=""/>
          </v:shape>
        </w:pict>
      </w:r>
    </w:p>
    <w:p w14:paraId="6F5B2C5A" w14:textId="77777777" w:rsidR="00CC22FD" w:rsidRDefault="00CC22FD">
      <w:pPr>
        <w:pStyle w:val="P00"/>
        <w:spacing w:before="72"/>
        <w:ind w:left="0" w:right="1134"/>
        <w:rPr>
          <w:rFonts w:cs="FrankRuehl" w:hint="cs"/>
          <w:sz w:val="26"/>
          <w:rtl/>
        </w:rPr>
      </w:pPr>
      <w:r>
        <w:rPr>
          <w:rFonts w:cs="FrankRuehl" w:hint="cs"/>
          <w:sz w:val="26"/>
          <w:rtl/>
        </w:rPr>
        <w:t>כ</w:t>
      </w:r>
      <w:r>
        <w:rPr>
          <w:rFonts w:cs="FrankRuehl"/>
          <w:sz w:val="26"/>
          <w:rtl/>
        </w:rPr>
        <w:t>א</w:t>
      </w:r>
      <w:r>
        <w:rPr>
          <w:rFonts w:cs="FrankRuehl" w:hint="cs"/>
          <w:sz w:val="26"/>
          <w:rtl/>
        </w:rPr>
        <w:t xml:space="preserve">שר </w:t>
      </w:r>
      <w:r>
        <w:rPr>
          <w:rFonts w:cs="FrankRuehl"/>
          <w:sz w:val="26"/>
          <w:rtl/>
        </w:rPr>
        <w:t>–</w:t>
      </w:r>
    </w:p>
    <w:p w14:paraId="17C167E4" w14:textId="77777777" w:rsidR="00CC22FD" w:rsidRPr="004A0CF1" w:rsidRDefault="00CC22FD">
      <w:pPr>
        <w:pStyle w:val="P00"/>
        <w:spacing w:before="72"/>
        <w:ind w:left="0" w:right="1134"/>
        <w:rPr>
          <w:rFonts w:cs="FrankRuehl"/>
          <w:rtl/>
        </w:rPr>
      </w:pPr>
      <w:r w:rsidRPr="004A0CF1">
        <w:rPr>
          <w:rFonts w:cs="FrankRuehl"/>
        </w:rPr>
        <w:t>R</w:t>
      </w:r>
      <w:r w:rsidRPr="004A0CF1">
        <w:rPr>
          <w:rFonts w:cs="FrankRuehl"/>
          <w:rtl/>
        </w:rPr>
        <w:t xml:space="preserve"> = ש</w:t>
      </w:r>
      <w:r w:rsidRPr="004A0CF1">
        <w:rPr>
          <w:rFonts w:cs="FrankRuehl" w:hint="cs"/>
          <w:rtl/>
        </w:rPr>
        <w:t>יעור הריבית לתקופת ריבית כשהוא מעוגל לספרה החמיש</w:t>
      </w:r>
      <w:r w:rsidRPr="004A0CF1">
        <w:rPr>
          <w:rFonts w:cs="FrankRuehl"/>
          <w:rtl/>
        </w:rPr>
        <w:t>י</w:t>
      </w:r>
      <w:r w:rsidRPr="004A0CF1">
        <w:rPr>
          <w:rFonts w:cs="FrankRuehl" w:hint="cs"/>
          <w:rtl/>
        </w:rPr>
        <w:t>ת</w:t>
      </w:r>
      <w:r w:rsidRPr="004A0CF1">
        <w:rPr>
          <w:rFonts w:cs="FrankRuehl"/>
          <w:rtl/>
        </w:rPr>
        <w:t xml:space="preserve"> ש</w:t>
      </w:r>
      <w:r w:rsidRPr="004A0CF1">
        <w:rPr>
          <w:rFonts w:cs="FrankRuehl" w:hint="cs"/>
          <w:rtl/>
        </w:rPr>
        <w:t>לאחר הנקודה העשרונית;</w:t>
      </w:r>
    </w:p>
    <w:p w14:paraId="71BB5E95" w14:textId="77777777" w:rsidR="00CC22FD" w:rsidRPr="004A0CF1" w:rsidRDefault="00CC22FD" w:rsidP="004A0CF1">
      <w:pPr>
        <w:pStyle w:val="P00"/>
        <w:spacing w:before="72"/>
        <w:ind w:left="0" w:right="1134"/>
        <w:rPr>
          <w:rFonts w:cs="FrankRuehl"/>
          <w:rtl/>
        </w:rPr>
      </w:pPr>
      <w:r w:rsidRPr="004A0CF1">
        <w:rPr>
          <w:rFonts w:cs="FrankRuehl"/>
        </w:rPr>
        <w:t>r</w:t>
      </w:r>
      <w:r w:rsidRPr="004A0CF1">
        <w:rPr>
          <w:rFonts w:cs="FrankRuehl"/>
          <w:rtl/>
        </w:rPr>
        <w:t xml:space="preserve"> = ב</w:t>
      </w:r>
      <w:r w:rsidRPr="004A0CF1">
        <w:rPr>
          <w:rFonts w:cs="FrankRuehl" w:hint="cs"/>
          <w:rtl/>
        </w:rPr>
        <w:t xml:space="preserve">תקופת הריבית הראשונה </w:t>
      </w:r>
      <w:r w:rsidR="004A0CF1">
        <w:rPr>
          <w:rFonts w:cs="FrankRuehl" w:hint="cs"/>
          <w:rtl/>
        </w:rPr>
        <w:t>-</w:t>
      </w:r>
      <w:r w:rsidRPr="004A0CF1">
        <w:rPr>
          <w:rFonts w:cs="FrankRuehl"/>
          <w:rtl/>
        </w:rPr>
        <w:t xml:space="preserve"> </w:t>
      </w:r>
      <w:r w:rsidRPr="004A0CF1">
        <w:rPr>
          <w:rFonts w:cs="FrankRuehl" w:hint="cs"/>
          <w:rtl/>
        </w:rPr>
        <w:t xml:space="preserve">שיעור הריבית הראשונה; בהמשך כל סדרה </w:t>
      </w:r>
      <w:r w:rsidR="004A0CF1">
        <w:rPr>
          <w:rFonts w:cs="FrankRuehl" w:hint="cs"/>
          <w:rtl/>
        </w:rPr>
        <w:t>-</w:t>
      </w:r>
      <w:r w:rsidRPr="004A0CF1">
        <w:rPr>
          <w:rFonts w:cs="FrankRuehl"/>
          <w:rtl/>
        </w:rPr>
        <w:t xml:space="preserve"> </w:t>
      </w:r>
      <w:r w:rsidRPr="004A0CF1">
        <w:rPr>
          <w:rFonts w:cs="FrankRuehl" w:hint="cs"/>
          <w:rtl/>
        </w:rPr>
        <w:t>שיעור הריבית המשתנה;</w:t>
      </w:r>
    </w:p>
    <w:p w14:paraId="3C286248" w14:textId="77777777" w:rsidR="00CC22FD" w:rsidRPr="004A0CF1" w:rsidRDefault="00CC22FD">
      <w:pPr>
        <w:pStyle w:val="P00"/>
        <w:spacing w:before="72"/>
        <w:ind w:left="0" w:right="1134"/>
        <w:rPr>
          <w:rFonts w:cs="FrankRuehl"/>
          <w:rtl/>
        </w:rPr>
      </w:pPr>
      <w:r w:rsidRPr="004A0CF1">
        <w:rPr>
          <w:rFonts w:cs="FrankRuehl"/>
        </w:rPr>
        <w:t>T</w:t>
      </w:r>
      <w:r w:rsidRPr="004A0CF1">
        <w:rPr>
          <w:rFonts w:cs="FrankRuehl"/>
          <w:rtl/>
        </w:rPr>
        <w:t xml:space="preserve"> = מ</w:t>
      </w:r>
      <w:r w:rsidRPr="004A0CF1">
        <w:rPr>
          <w:rFonts w:cs="FrankRuehl" w:hint="cs"/>
          <w:rtl/>
        </w:rPr>
        <w:t>ספר ימי הריבית בתקופת ריבית.</w:t>
      </w:r>
    </w:p>
    <w:p w14:paraId="744F2A36" w14:textId="77777777" w:rsidR="00CC22FD" w:rsidRPr="004A0CF1" w:rsidRDefault="00CC22FD">
      <w:pPr>
        <w:pStyle w:val="P00"/>
        <w:spacing w:before="72"/>
        <w:ind w:left="0" w:right="1134"/>
        <w:rPr>
          <w:rStyle w:val="default"/>
          <w:rFonts w:cs="FrankRuehl"/>
          <w:rtl/>
        </w:rPr>
      </w:pPr>
    </w:p>
    <w:p w14:paraId="1C135374" w14:textId="77777777" w:rsidR="00CC22FD" w:rsidRPr="004A0CF1" w:rsidRDefault="00CC22FD">
      <w:pPr>
        <w:pStyle w:val="P00"/>
        <w:spacing w:before="72"/>
        <w:ind w:left="0" w:right="1134"/>
        <w:rPr>
          <w:rStyle w:val="default"/>
          <w:rFonts w:cs="FrankRuehl"/>
          <w:rtl/>
        </w:rPr>
      </w:pPr>
    </w:p>
    <w:p w14:paraId="2C754A1B" w14:textId="77777777" w:rsidR="00CC22FD" w:rsidRDefault="00CC22FD" w:rsidP="0099265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26"/>
          <w:rtl/>
        </w:rPr>
      </w:pPr>
      <w:r>
        <w:rPr>
          <w:rFonts w:cs="FrankRuehl"/>
          <w:sz w:val="26"/>
          <w:rtl/>
        </w:rPr>
        <w:t>ט"</w:t>
      </w:r>
      <w:r>
        <w:rPr>
          <w:rFonts w:cs="FrankRuehl" w:hint="cs"/>
          <w:sz w:val="26"/>
          <w:rtl/>
        </w:rPr>
        <w:t>ז בשבט תשנ"ט (2 בפברואר 1999)</w:t>
      </w:r>
      <w:r>
        <w:rPr>
          <w:rFonts w:cs="FrankRuehl"/>
          <w:sz w:val="26"/>
          <w:rtl/>
        </w:rPr>
        <w:tab/>
        <w:t>ב</w:t>
      </w:r>
      <w:r>
        <w:rPr>
          <w:rFonts w:cs="FrankRuehl" w:hint="cs"/>
          <w:sz w:val="26"/>
          <w:rtl/>
        </w:rPr>
        <w:t>נימין נתניהו</w:t>
      </w:r>
    </w:p>
    <w:p w14:paraId="2AA8B3CB" w14:textId="77777777" w:rsidR="00CC22FD" w:rsidRDefault="00CC22FD" w:rsidP="00992654">
      <w:pPr>
        <w:pStyle w:val="sig-1"/>
        <w:widowControl/>
        <w:tabs>
          <w:tab w:val="clear" w:pos="851"/>
          <w:tab w:val="clear" w:pos="2835"/>
          <w:tab w:val="clear" w:pos="4820"/>
          <w:tab w:val="center" w:pos="5670"/>
        </w:tabs>
        <w:ind w:left="0" w:right="1134"/>
        <w:rPr>
          <w:rStyle w:val="default"/>
          <w:rFonts w:cs="FrankRuehl"/>
          <w:sz w:val="22"/>
          <w:szCs w:val="22"/>
          <w:rtl/>
        </w:rPr>
      </w:pPr>
      <w:r>
        <w:rPr>
          <w:rFonts w:cs="FrankRuehl"/>
          <w:sz w:val="22"/>
          <w:rtl/>
        </w:rPr>
        <w:tab/>
      </w:r>
      <w:r>
        <w:rPr>
          <w:rStyle w:val="default"/>
          <w:rFonts w:cs="FrankRuehl"/>
          <w:sz w:val="22"/>
          <w:szCs w:val="22"/>
          <w:rtl/>
        </w:rPr>
        <w:t>שר</w:t>
      </w:r>
      <w:r>
        <w:rPr>
          <w:rStyle w:val="default"/>
          <w:rFonts w:cs="FrankRuehl" w:hint="cs"/>
          <w:sz w:val="22"/>
          <w:szCs w:val="22"/>
          <w:rtl/>
        </w:rPr>
        <w:t xml:space="preserve"> האוצר</w:t>
      </w:r>
    </w:p>
    <w:p w14:paraId="25063F40" w14:textId="77777777" w:rsidR="00CC22FD" w:rsidRDefault="00CC22FD" w:rsidP="004A0CF1">
      <w:pPr>
        <w:pStyle w:val="P00"/>
        <w:spacing w:before="72"/>
        <w:ind w:left="0" w:right="1134"/>
        <w:rPr>
          <w:rStyle w:val="default"/>
          <w:rFonts w:cs="FrankRuehl" w:hint="cs"/>
          <w:rtl/>
        </w:rPr>
      </w:pPr>
    </w:p>
    <w:p w14:paraId="7BB53F2E" w14:textId="77777777" w:rsidR="004A0CF1" w:rsidRDefault="004A0CF1" w:rsidP="004A0CF1">
      <w:pPr>
        <w:pStyle w:val="P00"/>
        <w:spacing w:before="72"/>
        <w:ind w:left="0" w:right="1134"/>
        <w:rPr>
          <w:rStyle w:val="default"/>
          <w:rFonts w:cs="FrankRuehl" w:hint="cs"/>
          <w:rtl/>
        </w:rPr>
      </w:pPr>
    </w:p>
    <w:p w14:paraId="7345CC1B" w14:textId="77777777" w:rsidR="00CC22FD" w:rsidRPr="004A0CF1" w:rsidRDefault="00CC22FD" w:rsidP="004A0CF1">
      <w:pPr>
        <w:pStyle w:val="P00"/>
        <w:spacing w:before="72"/>
        <w:ind w:left="0" w:right="1134"/>
        <w:rPr>
          <w:rStyle w:val="default"/>
          <w:rFonts w:cs="FrankRuehl"/>
          <w:rtl/>
        </w:rPr>
      </w:pPr>
    </w:p>
    <w:sectPr w:rsidR="00CC22FD" w:rsidRPr="004A0CF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FCAE2" w14:textId="77777777" w:rsidR="006006B8" w:rsidRDefault="006006B8">
      <w:pPr>
        <w:spacing w:line="240" w:lineRule="auto"/>
      </w:pPr>
      <w:r>
        <w:separator/>
      </w:r>
    </w:p>
  </w:endnote>
  <w:endnote w:type="continuationSeparator" w:id="0">
    <w:p w14:paraId="2D0A9E8D" w14:textId="77777777" w:rsidR="006006B8" w:rsidRDefault="00600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30A5" w14:textId="77777777" w:rsidR="00CC22FD" w:rsidRDefault="00CC22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050881" w14:textId="77777777" w:rsidR="00CC22FD" w:rsidRDefault="00CC22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23F92E" w14:textId="77777777" w:rsidR="00CC22FD" w:rsidRDefault="00CC22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Z:\000000000000-law\yael\07-07-01\221_031.doc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A4B48" w14:textId="77777777" w:rsidR="00CC22FD" w:rsidRDefault="00CC22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2654">
      <w:rPr>
        <w:rFonts w:hAnsi="FrankRuehl" w:cs="FrankRuehl"/>
        <w:noProof/>
        <w:sz w:val="24"/>
        <w:szCs w:val="24"/>
        <w:rtl/>
      </w:rPr>
      <w:t>2</w:t>
    </w:r>
    <w:r>
      <w:rPr>
        <w:rFonts w:hAnsi="FrankRuehl" w:cs="FrankRuehl"/>
        <w:sz w:val="24"/>
        <w:szCs w:val="24"/>
        <w:rtl/>
      </w:rPr>
      <w:fldChar w:fldCharType="end"/>
    </w:r>
  </w:p>
  <w:p w14:paraId="1C86DD4E" w14:textId="77777777" w:rsidR="00CC22FD" w:rsidRDefault="00CC22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E4AC22" w14:textId="77777777" w:rsidR="00CC22FD" w:rsidRDefault="00CC22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Z:\000000000000-law\yael\07-07-01\221_031.doc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EAD0" w14:textId="77777777" w:rsidR="006006B8" w:rsidRDefault="006006B8">
      <w:pPr>
        <w:spacing w:before="60" w:line="240" w:lineRule="auto"/>
        <w:ind w:right="1134"/>
      </w:pPr>
      <w:r>
        <w:separator/>
      </w:r>
    </w:p>
  </w:footnote>
  <w:footnote w:type="continuationSeparator" w:id="0">
    <w:p w14:paraId="5382963C" w14:textId="77777777" w:rsidR="006006B8" w:rsidRDefault="006006B8">
      <w:pPr>
        <w:spacing w:before="60" w:line="240" w:lineRule="auto"/>
        <w:ind w:right="1134"/>
      </w:pPr>
      <w:r>
        <w:separator/>
      </w:r>
    </w:p>
  </w:footnote>
  <w:footnote w:id="1">
    <w:p w14:paraId="7F6B29C8" w14:textId="77777777" w:rsidR="00CC22FD" w:rsidRDefault="00CC22FD" w:rsidP="00737A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A154C2">
          <w:rPr>
            <w:rStyle w:val="Hyperlink"/>
            <w:rFonts w:cs="FrankRuehl" w:hint="cs"/>
            <w:rtl/>
          </w:rPr>
          <w:t>ק"ת תשנ"ט מס' 5951</w:t>
        </w:r>
      </w:hyperlink>
      <w:r>
        <w:rPr>
          <w:rFonts w:cs="FrankRuehl" w:hint="cs"/>
          <w:rtl/>
        </w:rPr>
        <w:t xml:space="preserve"> מיום 12.2.1999 עמ' 346.</w:t>
      </w:r>
    </w:p>
    <w:p w14:paraId="4D2ECBF3" w14:textId="77777777" w:rsidR="00CC22FD" w:rsidRDefault="00CC22FD" w:rsidP="009926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A154C2">
          <w:rPr>
            <w:rStyle w:val="Hyperlink"/>
            <w:rFonts w:cs="FrankRuehl" w:hint="cs"/>
            <w:rtl/>
          </w:rPr>
          <w:t>ק"ת תש"ס מס' 6033</w:t>
        </w:r>
      </w:hyperlink>
      <w:r>
        <w:rPr>
          <w:rFonts w:cs="FrankRuehl" w:hint="cs"/>
          <w:rtl/>
        </w:rPr>
        <w:t xml:space="preserve"> מיום 8.5.2000 עמ' 564 </w:t>
      </w:r>
      <w:r>
        <w:rPr>
          <w:rFonts w:cs="FrankRuehl"/>
          <w:rtl/>
        </w:rPr>
        <w:t xml:space="preserve">– </w:t>
      </w:r>
      <w:r>
        <w:rPr>
          <w:rFonts w:cs="FrankRuehl" w:hint="cs"/>
          <w:rtl/>
        </w:rPr>
        <w:t>תק' תש"ס</w:t>
      </w:r>
      <w:r w:rsidR="00650C13">
        <w:rPr>
          <w:rFonts w:cs="FrankRuehl" w:hint="cs"/>
          <w:rtl/>
        </w:rPr>
        <w:t>-</w:t>
      </w:r>
      <w:r>
        <w:rPr>
          <w:rFonts w:cs="FrankRuehl"/>
          <w:rtl/>
        </w:rPr>
        <w:t>2000</w:t>
      </w:r>
      <w:r w:rsidR="00650C13">
        <w:rPr>
          <w:rFonts w:cs="FrankRuehl" w:hint="cs"/>
          <w:rtl/>
        </w:rPr>
        <w:t>; ר' תקנה 2 לענין הוראת מעבר</w:t>
      </w:r>
      <w:r w:rsidR="00992654">
        <w:rPr>
          <w:rFonts w:cs="FrankRuehl" w:hint="cs"/>
          <w:rtl/>
        </w:rPr>
        <w:t>.</w:t>
      </w:r>
      <w:r w:rsidR="00650C13">
        <w:rPr>
          <w:rFonts w:cs="FrankRuehl" w:hint="cs"/>
          <w:rtl/>
        </w:rPr>
        <w:t xml:space="preserve"> תוקנו </w:t>
      </w:r>
      <w:hyperlink r:id="rId3" w:history="1">
        <w:r w:rsidR="00650C13">
          <w:rPr>
            <w:rStyle w:val="Hyperlink"/>
            <w:rFonts w:cs="FrankRuehl" w:hint="cs"/>
            <w:rtl/>
          </w:rPr>
          <w:t>ק"ת תשס"א מ</w:t>
        </w:r>
        <w:r w:rsidR="00650C13" w:rsidRPr="00CB018C">
          <w:rPr>
            <w:rStyle w:val="Hyperlink"/>
            <w:rFonts w:cs="FrankRuehl" w:hint="cs"/>
            <w:rtl/>
          </w:rPr>
          <w:t>ס' 6073</w:t>
        </w:r>
      </w:hyperlink>
      <w:r w:rsidR="00650C13" w:rsidRPr="00CB018C">
        <w:rPr>
          <w:rFonts w:cs="FrankRuehl" w:hint="cs"/>
          <w:rtl/>
        </w:rPr>
        <w:t xml:space="preserve"> מיום 28.12.2000 עמ' 21</w:t>
      </w:r>
      <w:r w:rsidR="00650C13" w:rsidRPr="00CB018C">
        <w:rPr>
          <w:rFonts w:cs="FrankRuehl"/>
          <w:rtl/>
        </w:rPr>
        <w:t xml:space="preserve">6 – </w:t>
      </w:r>
      <w:r w:rsidR="00650C13" w:rsidRPr="00CB018C">
        <w:rPr>
          <w:rFonts w:cs="FrankRuehl" w:hint="cs"/>
          <w:rtl/>
        </w:rPr>
        <w:t xml:space="preserve">תק' </w:t>
      </w:r>
      <w:r w:rsidR="00650C13">
        <w:rPr>
          <w:rFonts w:cs="FrankRuehl" w:hint="cs"/>
          <w:rtl/>
        </w:rPr>
        <w:t xml:space="preserve">(תיקון) </w:t>
      </w:r>
      <w:r w:rsidR="00650C13" w:rsidRPr="00CB018C">
        <w:rPr>
          <w:rFonts w:cs="FrankRuehl" w:hint="cs"/>
          <w:rtl/>
        </w:rPr>
        <w:t>תשס"א</w:t>
      </w:r>
      <w:r w:rsidR="00650C13">
        <w:rPr>
          <w:rFonts w:cs="FrankRuehl" w:hint="cs"/>
          <w:rtl/>
        </w:rPr>
        <w:t>-</w:t>
      </w:r>
      <w:r w:rsidR="00650C13" w:rsidRPr="00CB018C">
        <w:rPr>
          <w:rFonts w:cs="FrankRuehl"/>
          <w:rtl/>
        </w:rPr>
        <w:t xml:space="preserve">2000. </w:t>
      </w:r>
      <w:hyperlink r:id="rId4" w:history="1">
        <w:r w:rsidR="00992654">
          <w:rPr>
            <w:rStyle w:val="Hyperlink"/>
            <w:rFonts w:cs="FrankRuehl" w:hint="cs"/>
            <w:rtl/>
          </w:rPr>
          <w:t>ק"ת תשס"א מ</w:t>
        </w:r>
        <w:r w:rsidR="00650C13" w:rsidRPr="00CB018C">
          <w:rPr>
            <w:rStyle w:val="Hyperlink"/>
            <w:rFonts w:cs="FrankRuehl" w:hint="cs"/>
            <w:rtl/>
          </w:rPr>
          <w:t>ס' 6102</w:t>
        </w:r>
      </w:hyperlink>
      <w:r w:rsidR="00650C13" w:rsidRPr="00CB018C">
        <w:rPr>
          <w:rFonts w:cs="FrankRuehl" w:hint="cs"/>
          <w:rtl/>
        </w:rPr>
        <w:t xml:space="preserve"> מיום 1.5.2001 עמ' 761 </w:t>
      </w:r>
      <w:r w:rsidR="00650C13" w:rsidRPr="00CB018C">
        <w:rPr>
          <w:rFonts w:cs="FrankRuehl"/>
          <w:rtl/>
        </w:rPr>
        <w:t xml:space="preserve">– </w:t>
      </w:r>
      <w:r w:rsidR="00650C13" w:rsidRPr="00CB018C">
        <w:rPr>
          <w:rFonts w:cs="FrankRuehl" w:hint="cs"/>
          <w:rtl/>
        </w:rPr>
        <w:t>תק' (</w:t>
      </w:r>
      <w:r w:rsidR="00650C13">
        <w:rPr>
          <w:rFonts w:cs="FrankRuehl" w:hint="cs"/>
          <w:rtl/>
        </w:rPr>
        <w:t xml:space="preserve">תיקון </w:t>
      </w:r>
      <w:r w:rsidR="00650C13" w:rsidRPr="00CB018C">
        <w:rPr>
          <w:rFonts w:cs="FrankRuehl" w:hint="cs"/>
          <w:rtl/>
        </w:rPr>
        <w:t>מס' 2) תשס"א</w:t>
      </w:r>
      <w:r w:rsidR="00650C13">
        <w:rPr>
          <w:rFonts w:cs="FrankRuehl" w:hint="cs"/>
          <w:rtl/>
        </w:rPr>
        <w:t>-</w:t>
      </w:r>
      <w:r w:rsidR="00650C13" w:rsidRPr="00CB018C">
        <w:rPr>
          <w:rFonts w:cs="FrankRuehl"/>
          <w:rtl/>
        </w:rPr>
        <w:t xml:space="preserve">2001. </w:t>
      </w:r>
      <w:hyperlink r:id="rId5" w:history="1">
        <w:r w:rsidR="00992654">
          <w:rPr>
            <w:rStyle w:val="Hyperlink"/>
            <w:rFonts w:cs="FrankRuehl" w:hint="cs"/>
            <w:rtl/>
          </w:rPr>
          <w:t>ק"ת תשס"א מ</w:t>
        </w:r>
        <w:r w:rsidR="00650C13" w:rsidRPr="00CB018C">
          <w:rPr>
            <w:rStyle w:val="Hyperlink"/>
            <w:rFonts w:cs="FrankRuehl" w:hint="cs"/>
            <w:rtl/>
          </w:rPr>
          <w:t>ס' 6125</w:t>
        </w:r>
      </w:hyperlink>
      <w:r w:rsidR="00650C13" w:rsidRPr="00CB018C">
        <w:rPr>
          <w:rFonts w:cs="FrankRuehl" w:hint="cs"/>
          <w:rtl/>
        </w:rPr>
        <w:t xml:space="preserve"> מיום 13.9.2001 עמ' 1068 </w:t>
      </w:r>
      <w:r w:rsidR="00650C13" w:rsidRPr="00CB018C">
        <w:rPr>
          <w:rFonts w:cs="FrankRuehl"/>
          <w:rtl/>
        </w:rPr>
        <w:t xml:space="preserve">– </w:t>
      </w:r>
      <w:r w:rsidR="00650C13" w:rsidRPr="00CB018C">
        <w:rPr>
          <w:rFonts w:cs="FrankRuehl" w:hint="cs"/>
          <w:rtl/>
        </w:rPr>
        <w:t>תק' (</w:t>
      </w:r>
      <w:r w:rsidR="00650C13">
        <w:rPr>
          <w:rFonts w:cs="FrankRuehl" w:hint="cs"/>
          <w:rtl/>
        </w:rPr>
        <w:t xml:space="preserve">תיקון </w:t>
      </w:r>
      <w:r w:rsidR="00650C13" w:rsidRPr="00CB018C">
        <w:rPr>
          <w:rFonts w:cs="FrankRuehl" w:hint="cs"/>
          <w:rtl/>
        </w:rPr>
        <w:t>מס' 3) תשס"א</w:t>
      </w:r>
      <w:r w:rsidR="00650C13">
        <w:rPr>
          <w:rFonts w:cs="FrankRuehl" w:hint="cs"/>
          <w:rtl/>
        </w:rPr>
        <w:t>-</w:t>
      </w:r>
      <w:r w:rsidR="00650C13" w:rsidRPr="00CB018C">
        <w:rPr>
          <w:rFonts w:cs="FrankRuehl"/>
          <w:rtl/>
        </w:rPr>
        <w:t xml:space="preserve">2001; </w:t>
      </w:r>
      <w:r w:rsidR="00650C13" w:rsidRPr="00CB018C">
        <w:rPr>
          <w:rFonts w:cs="FrankRuehl" w:hint="cs"/>
          <w:rtl/>
        </w:rPr>
        <w:t>תחילתן ביום 1.9.2001</w:t>
      </w:r>
      <w:r w:rsidR="00650C13">
        <w:rPr>
          <w:rFonts w:cs="FrankRuehl" w:hint="cs"/>
          <w:rtl/>
        </w:rPr>
        <w:t xml:space="preserve">. </w:t>
      </w:r>
      <w:hyperlink r:id="rId6" w:history="1">
        <w:r w:rsidR="00650C13" w:rsidRPr="009C55F4">
          <w:rPr>
            <w:rStyle w:val="Hyperlink"/>
            <w:rFonts w:cs="FrankRuehl" w:hint="cs"/>
            <w:rtl/>
          </w:rPr>
          <w:t>ק"ת תשס"ב מס' 6182</w:t>
        </w:r>
      </w:hyperlink>
      <w:r w:rsidR="00650C13">
        <w:rPr>
          <w:rFonts w:cs="FrankRuehl" w:hint="cs"/>
          <w:rtl/>
        </w:rPr>
        <w:t xml:space="preserve"> מיום 14.7.2002 עמ' 963 </w:t>
      </w:r>
      <w:r w:rsidR="00650C13">
        <w:rPr>
          <w:rFonts w:cs="FrankRuehl"/>
          <w:rtl/>
        </w:rPr>
        <w:t>–</w:t>
      </w:r>
      <w:r w:rsidR="00650C13">
        <w:rPr>
          <w:rFonts w:cs="FrankRuehl" w:hint="cs"/>
          <w:rtl/>
        </w:rPr>
        <w:t xml:space="preserve"> תק' (תיקון מס' 4) תשס"ב-2002; תחילתן ביום 1.7.2002</w:t>
      </w:r>
      <w:r>
        <w:rPr>
          <w:rFonts w:cs="FrankRuehl"/>
          <w:rtl/>
        </w:rPr>
        <w:t>.</w:t>
      </w:r>
    </w:p>
    <w:p w14:paraId="17531181" w14:textId="77777777" w:rsidR="00CC22FD" w:rsidRDefault="00A154C2" w:rsidP="00650C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C22FD" w:rsidRPr="00A154C2">
          <w:rPr>
            <w:rStyle w:val="Hyperlink"/>
            <w:rFonts w:cs="FrankRuehl" w:hint="cs"/>
            <w:rtl/>
          </w:rPr>
          <w:t>ק</w:t>
        </w:r>
        <w:r w:rsidR="00CC22FD" w:rsidRPr="00A154C2">
          <w:rPr>
            <w:rStyle w:val="Hyperlink"/>
            <w:rFonts w:cs="FrankRuehl"/>
            <w:rtl/>
          </w:rPr>
          <w:t>"</w:t>
        </w:r>
        <w:r w:rsidR="00650C13">
          <w:rPr>
            <w:rStyle w:val="Hyperlink"/>
            <w:rFonts w:cs="FrankRuehl" w:hint="cs"/>
            <w:rtl/>
          </w:rPr>
          <w:t>ת תשס"א</w:t>
        </w:r>
        <w:r w:rsidR="00CC22FD" w:rsidRPr="00A154C2">
          <w:rPr>
            <w:rStyle w:val="Hyperlink"/>
            <w:rFonts w:cs="FrankRuehl" w:hint="cs"/>
            <w:rtl/>
          </w:rPr>
          <w:t xml:space="preserve"> מס' 6069</w:t>
        </w:r>
      </w:hyperlink>
      <w:r w:rsidR="00CC22FD">
        <w:rPr>
          <w:rFonts w:cs="FrankRuehl" w:hint="cs"/>
          <w:rtl/>
        </w:rPr>
        <w:t xml:space="preserve"> מיום 30.11.2000 עמ' 163 </w:t>
      </w:r>
      <w:r w:rsidR="00CC22FD">
        <w:rPr>
          <w:rFonts w:cs="FrankRuehl"/>
          <w:rtl/>
        </w:rPr>
        <w:t xml:space="preserve">– </w:t>
      </w:r>
      <w:r w:rsidR="00CC22FD">
        <w:rPr>
          <w:rFonts w:cs="FrankRuehl" w:hint="cs"/>
          <w:rtl/>
        </w:rPr>
        <w:t>תק' תשס</w:t>
      </w:r>
      <w:r w:rsidR="00CC22FD" w:rsidRPr="00CB018C">
        <w:rPr>
          <w:rFonts w:cs="FrankRuehl"/>
          <w:rtl/>
        </w:rPr>
        <w:t>"א</w:t>
      </w:r>
      <w:r w:rsidR="00650C13">
        <w:rPr>
          <w:rFonts w:cs="FrankRuehl" w:hint="cs"/>
          <w:rtl/>
        </w:rPr>
        <w:t>-</w:t>
      </w:r>
      <w:r w:rsidR="00CC22FD" w:rsidRPr="00CB018C">
        <w:rPr>
          <w:rFonts w:cs="FrankRuehl"/>
          <w:rtl/>
        </w:rPr>
        <w:t>2000</w:t>
      </w:r>
      <w:r w:rsidR="00650C13">
        <w:rPr>
          <w:rFonts w:cs="FrankRuehl" w:hint="cs"/>
          <w:rtl/>
        </w:rPr>
        <w:t>; ר' תקנה 3 לענין תחולה</w:t>
      </w:r>
      <w:r w:rsidR="00CC22FD" w:rsidRPr="00CB018C">
        <w:rPr>
          <w:rFonts w:cs="FrankRuehl" w:hint="cs"/>
          <w:rtl/>
        </w:rPr>
        <w:t>.</w:t>
      </w:r>
    </w:p>
    <w:p w14:paraId="68D34EBD" w14:textId="77777777" w:rsidR="00CC22FD" w:rsidRDefault="00CC22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תשס"ו מס' 6457</w:t>
        </w:r>
      </w:hyperlink>
      <w:r>
        <w:rPr>
          <w:rFonts w:cs="FrankRuehl" w:hint="cs"/>
          <w:rtl/>
        </w:rPr>
        <w:t xml:space="preserve"> מיום 30.1.2006 עמ' 407 </w:t>
      </w:r>
      <w:r>
        <w:rPr>
          <w:rFonts w:cs="FrankRuehl"/>
          <w:rtl/>
        </w:rPr>
        <w:t>–</w:t>
      </w:r>
      <w:r>
        <w:rPr>
          <w:rFonts w:cs="FrankRuehl" w:hint="cs"/>
          <w:rtl/>
        </w:rPr>
        <w:t xml:space="preserve"> תק' תשס"ו-2006; תחילתן 30 ימים מיום פרסומן.</w:t>
      </w:r>
    </w:p>
    <w:p w14:paraId="0D809070" w14:textId="77777777" w:rsidR="00CC22FD" w:rsidRDefault="00CC22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ק"ת תשס"ז מס' 6597</w:t>
        </w:r>
      </w:hyperlink>
      <w:r>
        <w:rPr>
          <w:rFonts w:cs="FrankRuehl" w:hint="cs"/>
          <w:rtl/>
        </w:rPr>
        <w:t xml:space="preserve"> מיום 28.6.2007 עמ' 980</w:t>
      </w:r>
      <w:r w:rsidR="004A0CF1">
        <w:rPr>
          <w:rFonts w:cs="FrankRuehl" w:hint="cs"/>
          <w:rtl/>
        </w:rPr>
        <w:t xml:space="preserve"> (800)</w:t>
      </w:r>
      <w:r>
        <w:rPr>
          <w:rFonts w:cs="FrankRuehl" w:hint="cs"/>
          <w:rtl/>
        </w:rPr>
        <w:t xml:space="preserve"> </w:t>
      </w:r>
      <w:r>
        <w:rPr>
          <w:rFonts w:cs="FrankRuehl"/>
          <w:rtl/>
        </w:rPr>
        <w:t>–</w:t>
      </w:r>
      <w:r>
        <w:rPr>
          <w:rFonts w:cs="FrankRuehl" w:hint="cs"/>
          <w:rtl/>
        </w:rPr>
        <w:t xml:space="preserve"> תק' תשס"ז-2007;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99BC" w14:textId="77777777" w:rsidR="00CC22FD" w:rsidRDefault="00CC22F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"גילון חדש"), תשנ"ט–1999</w:t>
    </w:r>
  </w:p>
  <w:p w14:paraId="323B71ED" w14:textId="77777777" w:rsidR="00CC22FD" w:rsidRDefault="00CC22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8E6684" w14:textId="77777777" w:rsidR="00CC22FD" w:rsidRDefault="00CC22F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4BC3" w14:textId="77777777" w:rsidR="00CC22FD" w:rsidRDefault="00CC22F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מילווה המדינה (סדרות מסוג "גילון חדש"), תשנ"ט</w:t>
    </w:r>
    <w:r>
      <w:rPr>
        <w:rFonts w:hAnsi="FrankRuehl" w:cs="FrankRuehl" w:hint="cs"/>
        <w:color w:val="000000"/>
        <w:sz w:val="28"/>
        <w:szCs w:val="28"/>
        <w:rtl/>
      </w:rPr>
      <w:t>-</w:t>
    </w:r>
    <w:r>
      <w:rPr>
        <w:rFonts w:hAnsi="FrankRuehl" w:cs="FrankRuehl"/>
        <w:color w:val="000000"/>
        <w:sz w:val="28"/>
        <w:szCs w:val="28"/>
        <w:rtl/>
      </w:rPr>
      <w:t>1999</w:t>
    </w:r>
  </w:p>
  <w:p w14:paraId="1EBA5654" w14:textId="77777777" w:rsidR="00CC22FD" w:rsidRDefault="00CC22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8E89DD" w14:textId="77777777" w:rsidR="00CC22FD" w:rsidRDefault="00CC22F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54C2"/>
    <w:rsid w:val="000E427F"/>
    <w:rsid w:val="000F5CB0"/>
    <w:rsid w:val="001E096F"/>
    <w:rsid w:val="001E34B7"/>
    <w:rsid w:val="00433893"/>
    <w:rsid w:val="00451A4A"/>
    <w:rsid w:val="00454B7C"/>
    <w:rsid w:val="004567A2"/>
    <w:rsid w:val="004A0CF1"/>
    <w:rsid w:val="004D027D"/>
    <w:rsid w:val="006006B8"/>
    <w:rsid w:val="00650C13"/>
    <w:rsid w:val="00737A8D"/>
    <w:rsid w:val="00767B66"/>
    <w:rsid w:val="00974DBB"/>
    <w:rsid w:val="00992654"/>
    <w:rsid w:val="009C55F4"/>
    <w:rsid w:val="00A154C2"/>
    <w:rsid w:val="00B12F2D"/>
    <w:rsid w:val="00BB676E"/>
    <w:rsid w:val="00C11AF8"/>
    <w:rsid w:val="00C7769C"/>
    <w:rsid w:val="00CB018C"/>
    <w:rsid w:val="00CC22FD"/>
    <w:rsid w:val="00DD5F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F4A5E8"/>
  <w15:chartTrackingRefBased/>
  <w15:docId w15:val="{67E58D05-C8D6-45A9-B22D-045C6E7F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57.pdf" TargetMode="External"/><Relationship Id="rId13" Type="http://schemas.openxmlformats.org/officeDocument/2006/relationships/hyperlink" Target="http://www.nevo.co.il/Law_word/law06/TAK-6033.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6457.pdf" TargetMode="External"/><Relationship Id="rId12" Type="http://schemas.openxmlformats.org/officeDocument/2006/relationships/hyperlink" Target="http://www.nevo.co.il/Law_word/law06/TAK-6597.pdf"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www.nevo.co.il/Law_word/law06/TAK-6457.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457.pdf" TargetMode="External"/><Relationship Id="rId11" Type="http://schemas.openxmlformats.org/officeDocument/2006/relationships/hyperlink" Target="http://www.nevo.co.il/Law_word/law06/TAK-6457.pdf" TargetMode="External"/><Relationship Id="rId5" Type="http://schemas.openxmlformats.org/officeDocument/2006/relationships/endnotes" Target="endnotes.xml"/><Relationship Id="rId15" Type="http://schemas.openxmlformats.org/officeDocument/2006/relationships/hyperlink" Target="http://www.nevo.co.il/Law_word/law06/TAK-6457.pdf" TargetMode="External"/><Relationship Id="rId23" Type="http://schemas.openxmlformats.org/officeDocument/2006/relationships/theme" Target="theme/theme1.xml"/><Relationship Id="rId10" Type="http://schemas.openxmlformats.org/officeDocument/2006/relationships/hyperlink" Target="http://www.nevo.co.il/Law_word/law06/TAK-6457.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069.pdf" TargetMode="External"/><Relationship Id="rId14" Type="http://schemas.openxmlformats.org/officeDocument/2006/relationships/hyperlink" Target="http://www.nevo.co.il/Law_word/law06/TAK-6597.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457.pdf" TargetMode="External"/><Relationship Id="rId3" Type="http://schemas.openxmlformats.org/officeDocument/2006/relationships/hyperlink" Target="http://www.nevo.co.il/Law_word/law06/TAK-6073.pdf" TargetMode="External"/><Relationship Id="rId7" Type="http://schemas.openxmlformats.org/officeDocument/2006/relationships/hyperlink" Target="http://www.nevo.co.il/Law_word/law06/TAK-6069.pdf" TargetMode="External"/><Relationship Id="rId2" Type="http://schemas.openxmlformats.org/officeDocument/2006/relationships/hyperlink" Target="http://www.nevo.co.il/Law_word/law06/TAK-6033.pdf" TargetMode="External"/><Relationship Id="rId1" Type="http://schemas.openxmlformats.org/officeDocument/2006/relationships/hyperlink" Target="http://www.nevo.co.il/Law_word/law06/TAK-5951.pdf" TargetMode="External"/><Relationship Id="rId6" Type="http://schemas.openxmlformats.org/officeDocument/2006/relationships/hyperlink" Target="http://www.nevo.co.il/Law_word/law06/TAK-6182.pdf" TargetMode="External"/><Relationship Id="rId5" Type="http://schemas.openxmlformats.org/officeDocument/2006/relationships/hyperlink" Target="http://www.nevo.co.il/Law_word/law06/TAK-6125.pdf" TargetMode="External"/><Relationship Id="rId4" Type="http://schemas.openxmlformats.org/officeDocument/2006/relationships/hyperlink" Target="http://www.nevo.co.il/Law_word/law06/TAK-6102.pdf" TargetMode="External"/><Relationship Id="rId9" Type="http://schemas.openxmlformats.org/officeDocument/2006/relationships/hyperlink" Target="http://www.nevo.co.il/Law_word/law06/TAK-65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10834</CharactersWithSpaces>
  <SharedDoc>false</SharedDoc>
  <HLinks>
    <vt:vector size="222" baseType="variant">
      <vt:variant>
        <vt:i4>7995403</vt:i4>
      </vt:variant>
      <vt:variant>
        <vt:i4>132</vt:i4>
      </vt:variant>
      <vt:variant>
        <vt:i4>0</vt:i4>
      </vt:variant>
      <vt:variant>
        <vt:i4>5</vt:i4>
      </vt:variant>
      <vt:variant>
        <vt:lpwstr>http://www.nevo.co.il/Law_word/law06/TAK-6457.pdf</vt:lpwstr>
      </vt:variant>
      <vt:variant>
        <vt:lpwstr/>
      </vt:variant>
      <vt:variant>
        <vt:i4>7995403</vt:i4>
      </vt:variant>
      <vt:variant>
        <vt:i4>129</vt:i4>
      </vt:variant>
      <vt:variant>
        <vt:i4>0</vt:i4>
      </vt:variant>
      <vt:variant>
        <vt:i4>5</vt:i4>
      </vt:variant>
      <vt:variant>
        <vt:lpwstr>http://www.nevo.co.il/Law_word/law06/TAK-6457.pdf</vt:lpwstr>
      </vt:variant>
      <vt:variant>
        <vt:lpwstr/>
      </vt:variant>
      <vt:variant>
        <vt:i4>7733258</vt:i4>
      </vt:variant>
      <vt:variant>
        <vt:i4>126</vt:i4>
      </vt:variant>
      <vt:variant>
        <vt:i4>0</vt:i4>
      </vt:variant>
      <vt:variant>
        <vt:i4>5</vt:i4>
      </vt:variant>
      <vt:variant>
        <vt:lpwstr>http://www.nevo.co.il/Law_word/law06/TAK-6597.pdf</vt:lpwstr>
      </vt:variant>
      <vt:variant>
        <vt:lpwstr/>
      </vt:variant>
      <vt:variant>
        <vt:i4>8126475</vt:i4>
      </vt:variant>
      <vt:variant>
        <vt:i4>123</vt:i4>
      </vt:variant>
      <vt:variant>
        <vt:i4>0</vt:i4>
      </vt:variant>
      <vt:variant>
        <vt:i4>5</vt:i4>
      </vt:variant>
      <vt:variant>
        <vt:lpwstr>http://www.nevo.co.il/Law_word/law06/TAK-6033.pdf</vt:lpwstr>
      </vt:variant>
      <vt:variant>
        <vt:lpwstr/>
      </vt:variant>
      <vt:variant>
        <vt:i4>7733258</vt:i4>
      </vt:variant>
      <vt:variant>
        <vt:i4>120</vt:i4>
      </vt:variant>
      <vt:variant>
        <vt:i4>0</vt:i4>
      </vt:variant>
      <vt:variant>
        <vt:i4>5</vt:i4>
      </vt:variant>
      <vt:variant>
        <vt:lpwstr>http://www.nevo.co.il/Law_word/law06/TAK-6597.pdf</vt:lpwstr>
      </vt:variant>
      <vt:variant>
        <vt:lpwstr/>
      </vt:variant>
      <vt:variant>
        <vt:i4>7995403</vt:i4>
      </vt:variant>
      <vt:variant>
        <vt:i4>117</vt:i4>
      </vt:variant>
      <vt:variant>
        <vt:i4>0</vt:i4>
      </vt:variant>
      <vt:variant>
        <vt:i4>5</vt:i4>
      </vt:variant>
      <vt:variant>
        <vt:lpwstr>http://www.nevo.co.il/Law_word/law06/TAK-6457.pdf</vt:lpwstr>
      </vt:variant>
      <vt:variant>
        <vt:lpwstr/>
      </vt:variant>
      <vt:variant>
        <vt:i4>7995403</vt:i4>
      </vt:variant>
      <vt:variant>
        <vt:i4>114</vt:i4>
      </vt:variant>
      <vt:variant>
        <vt:i4>0</vt:i4>
      </vt:variant>
      <vt:variant>
        <vt:i4>5</vt:i4>
      </vt:variant>
      <vt:variant>
        <vt:lpwstr>http://www.nevo.co.il/Law_word/law06/TAK-6457.pdf</vt:lpwstr>
      </vt:variant>
      <vt:variant>
        <vt:lpwstr/>
      </vt:variant>
      <vt:variant>
        <vt:i4>7929857</vt:i4>
      </vt:variant>
      <vt:variant>
        <vt:i4>111</vt:i4>
      </vt:variant>
      <vt:variant>
        <vt:i4>0</vt:i4>
      </vt:variant>
      <vt:variant>
        <vt:i4>5</vt:i4>
      </vt:variant>
      <vt:variant>
        <vt:lpwstr>http://www.nevo.co.il/Law_word/law06/TAK-6069.pdf</vt:lpwstr>
      </vt:variant>
      <vt:variant>
        <vt:lpwstr/>
      </vt:variant>
      <vt:variant>
        <vt:i4>7995403</vt:i4>
      </vt:variant>
      <vt:variant>
        <vt:i4>108</vt:i4>
      </vt:variant>
      <vt:variant>
        <vt:i4>0</vt:i4>
      </vt:variant>
      <vt:variant>
        <vt:i4>5</vt:i4>
      </vt:variant>
      <vt:variant>
        <vt:lpwstr>http://www.nevo.co.il/Law_word/law06/TAK-6457.pdf</vt:lpwstr>
      </vt:variant>
      <vt:variant>
        <vt:lpwstr/>
      </vt:variant>
      <vt:variant>
        <vt:i4>7995403</vt:i4>
      </vt:variant>
      <vt:variant>
        <vt:i4>105</vt:i4>
      </vt:variant>
      <vt:variant>
        <vt:i4>0</vt:i4>
      </vt:variant>
      <vt:variant>
        <vt:i4>5</vt:i4>
      </vt:variant>
      <vt:variant>
        <vt:lpwstr>http://www.nevo.co.il/Law_word/law06/TAK-6457.pdf</vt:lpwstr>
      </vt:variant>
      <vt:variant>
        <vt:lpwstr/>
      </vt:variant>
      <vt:variant>
        <vt:i4>7995403</vt:i4>
      </vt:variant>
      <vt:variant>
        <vt:i4>102</vt:i4>
      </vt:variant>
      <vt:variant>
        <vt:i4>0</vt:i4>
      </vt:variant>
      <vt:variant>
        <vt:i4>5</vt:i4>
      </vt:variant>
      <vt:variant>
        <vt:lpwstr>http://www.nevo.co.il/Law_word/law06/TAK-6457.pdf</vt:lpwstr>
      </vt:variant>
      <vt:variant>
        <vt:lpwstr/>
      </vt:variant>
      <vt:variant>
        <vt:i4>5242889</vt:i4>
      </vt:variant>
      <vt:variant>
        <vt:i4>99</vt:i4>
      </vt:variant>
      <vt:variant>
        <vt:i4>0</vt:i4>
      </vt:variant>
      <vt:variant>
        <vt:i4>5</vt:i4>
      </vt:variant>
      <vt:variant>
        <vt:lpwstr/>
      </vt:variant>
      <vt:variant>
        <vt:lpwstr>med5</vt:lpwstr>
      </vt:variant>
      <vt:variant>
        <vt:i4>3145771</vt:i4>
      </vt:variant>
      <vt:variant>
        <vt:i4>93</vt:i4>
      </vt:variant>
      <vt:variant>
        <vt:i4>0</vt:i4>
      </vt:variant>
      <vt:variant>
        <vt:i4>5</vt:i4>
      </vt:variant>
      <vt:variant>
        <vt:lpwstr/>
      </vt:variant>
      <vt:variant>
        <vt:lpwstr>Seif13</vt:lpwstr>
      </vt:variant>
      <vt:variant>
        <vt:i4>3211307</vt:i4>
      </vt:variant>
      <vt:variant>
        <vt:i4>87</vt:i4>
      </vt:variant>
      <vt:variant>
        <vt:i4>0</vt:i4>
      </vt:variant>
      <vt:variant>
        <vt:i4>5</vt:i4>
      </vt:variant>
      <vt:variant>
        <vt:lpwstr/>
      </vt:variant>
      <vt:variant>
        <vt:lpwstr>Seif12</vt:lpwstr>
      </vt:variant>
      <vt:variant>
        <vt:i4>3538987</vt:i4>
      </vt:variant>
      <vt:variant>
        <vt:i4>81</vt:i4>
      </vt:variant>
      <vt:variant>
        <vt:i4>0</vt:i4>
      </vt:variant>
      <vt:variant>
        <vt:i4>5</vt:i4>
      </vt:variant>
      <vt:variant>
        <vt:lpwstr/>
      </vt:variant>
      <vt:variant>
        <vt:lpwstr>Seif15</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Seif8</vt:lpwstr>
      </vt:variant>
      <vt:variant>
        <vt:i4>3604523</vt:i4>
      </vt:variant>
      <vt:variant>
        <vt:i4>57</vt:i4>
      </vt:variant>
      <vt:variant>
        <vt:i4>0</vt:i4>
      </vt:variant>
      <vt:variant>
        <vt:i4>5</vt:i4>
      </vt:variant>
      <vt:variant>
        <vt:lpwstr/>
      </vt:variant>
      <vt:variant>
        <vt:lpwstr>Seif14</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196634</vt:i4>
      </vt:variant>
      <vt:variant>
        <vt:i4>3</vt:i4>
      </vt:variant>
      <vt:variant>
        <vt:i4>0</vt:i4>
      </vt:variant>
      <vt:variant>
        <vt:i4>5</vt:i4>
      </vt:variant>
      <vt:variant>
        <vt:lpwstr/>
      </vt:variant>
      <vt:variant>
        <vt:lpwstr>Seif9</vt:lpwstr>
      </vt:variant>
      <vt:variant>
        <vt:i4>7733258</vt:i4>
      </vt:variant>
      <vt:variant>
        <vt:i4>24</vt:i4>
      </vt:variant>
      <vt:variant>
        <vt:i4>0</vt:i4>
      </vt:variant>
      <vt:variant>
        <vt:i4>5</vt:i4>
      </vt:variant>
      <vt:variant>
        <vt:lpwstr>http://www.nevo.co.il/Law_word/law06/TAK-6597.pdf</vt:lpwstr>
      </vt:variant>
      <vt:variant>
        <vt:lpwstr/>
      </vt:variant>
      <vt:variant>
        <vt:i4>7995403</vt:i4>
      </vt:variant>
      <vt:variant>
        <vt:i4>21</vt:i4>
      </vt:variant>
      <vt:variant>
        <vt:i4>0</vt:i4>
      </vt:variant>
      <vt:variant>
        <vt:i4>5</vt:i4>
      </vt:variant>
      <vt:variant>
        <vt:lpwstr>http://www.nevo.co.il/Law_word/law06/tak-6457.pdf</vt:lpwstr>
      </vt:variant>
      <vt:variant>
        <vt:lpwstr/>
      </vt:variant>
      <vt:variant>
        <vt:i4>7929857</vt:i4>
      </vt:variant>
      <vt:variant>
        <vt:i4>18</vt:i4>
      </vt:variant>
      <vt:variant>
        <vt:i4>0</vt:i4>
      </vt:variant>
      <vt:variant>
        <vt:i4>5</vt:i4>
      </vt:variant>
      <vt:variant>
        <vt:lpwstr>http://www.nevo.co.il/Law_word/law06/TAK-6069.pdf</vt:lpwstr>
      </vt:variant>
      <vt:variant>
        <vt:lpwstr/>
      </vt:variant>
      <vt:variant>
        <vt:i4>7798795</vt:i4>
      </vt:variant>
      <vt:variant>
        <vt:i4>15</vt:i4>
      </vt:variant>
      <vt:variant>
        <vt:i4>0</vt:i4>
      </vt:variant>
      <vt:variant>
        <vt:i4>5</vt:i4>
      </vt:variant>
      <vt:variant>
        <vt:lpwstr>http://www.nevo.co.il/Law_word/law06/TAK-6182.pdf</vt:lpwstr>
      </vt:variant>
      <vt:variant>
        <vt:lpwstr/>
      </vt:variant>
      <vt:variant>
        <vt:i4>8192012</vt:i4>
      </vt:variant>
      <vt:variant>
        <vt:i4>12</vt:i4>
      </vt:variant>
      <vt:variant>
        <vt:i4>0</vt:i4>
      </vt:variant>
      <vt:variant>
        <vt:i4>5</vt:i4>
      </vt:variant>
      <vt:variant>
        <vt:lpwstr>http://www.nevo.co.il/Law_word/law06/TAK-6125.pdf</vt:lpwstr>
      </vt:variant>
      <vt:variant>
        <vt:lpwstr/>
      </vt:variant>
      <vt:variant>
        <vt:i4>8323083</vt:i4>
      </vt:variant>
      <vt:variant>
        <vt:i4>9</vt:i4>
      </vt:variant>
      <vt:variant>
        <vt:i4>0</vt:i4>
      </vt:variant>
      <vt:variant>
        <vt:i4>5</vt:i4>
      </vt:variant>
      <vt:variant>
        <vt:lpwstr>http://www.nevo.co.il/Law_word/law06/TAK-6102.pdf</vt:lpwstr>
      </vt:variant>
      <vt:variant>
        <vt:lpwstr/>
      </vt:variant>
      <vt:variant>
        <vt:i4>7864331</vt:i4>
      </vt:variant>
      <vt:variant>
        <vt:i4>6</vt:i4>
      </vt:variant>
      <vt:variant>
        <vt:i4>0</vt:i4>
      </vt:variant>
      <vt:variant>
        <vt:i4>5</vt:i4>
      </vt:variant>
      <vt:variant>
        <vt:lpwstr>http://www.nevo.co.il/Law_word/law06/TAK-6073.pdf</vt:lpwstr>
      </vt:variant>
      <vt:variant>
        <vt:lpwstr/>
      </vt:variant>
      <vt:variant>
        <vt:i4>8126475</vt:i4>
      </vt:variant>
      <vt:variant>
        <vt:i4>3</vt:i4>
      </vt:variant>
      <vt:variant>
        <vt:i4>0</vt:i4>
      </vt:variant>
      <vt:variant>
        <vt:i4>5</vt:i4>
      </vt:variant>
      <vt:variant>
        <vt:lpwstr>http://www.nevo.co.il/Law_word/law06/TAK-6033.pdf</vt:lpwstr>
      </vt:variant>
      <vt:variant>
        <vt:lpwstr/>
      </vt:variant>
      <vt:variant>
        <vt:i4>7929856</vt:i4>
      </vt:variant>
      <vt:variant>
        <vt:i4>0</vt:i4>
      </vt:variant>
      <vt:variant>
        <vt:i4>0</vt:i4>
      </vt:variant>
      <vt:variant>
        <vt:i4>5</vt:i4>
      </vt:variant>
      <vt:variant>
        <vt:lpwstr>http://www.nevo.co.il/Law_word/law06/TAK-5951.pdf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0221</vt:lpwstr>
  </property>
  <property fmtid="{D5CDD505-2E9C-101B-9397-08002B2CF9AE}" pid="3" name="CHNAME">
    <vt:lpwstr>מילווה המדינה</vt:lpwstr>
  </property>
  <property fmtid="{D5CDD505-2E9C-101B-9397-08002B2CF9AE}" pid="4" name="LAWNAME">
    <vt:lpwstr>תקנות מילווה המדינה (סדרות מסוג "גילון חדש"), תשנ"ט-1999</vt:lpwstr>
  </property>
  <property fmtid="{D5CDD505-2E9C-101B-9397-08002B2CF9AE}" pid="5" name="LAWNUMBER">
    <vt:lpwstr>0031</vt:lpwstr>
  </property>
  <property fmtid="{D5CDD505-2E9C-101B-9397-08002B2CF9AE}" pid="6" name="TYPE">
    <vt:lpwstr>01</vt:lpwstr>
  </property>
  <property fmtid="{D5CDD505-2E9C-101B-9397-08002B2CF9AE}" pid="7" name="LINKK1">
    <vt:lpwstr>http://www.nevo.co.il/Law_word/law06/TAK-6597.pdf;רשומות - תקנות כלליות#ק"ת תשס"ז מס' 6597 #מיום 28.6.2007 עמ' 980 – תק' תשס"ז-2007;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מילווה המדינה</vt:lpwstr>
  </property>
  <property fmtid="{D5CDD505-2E9C-101B-9397-08002B2CF9AE}" pid="23" name="MEKOR_SAIF1">
    <vt:lpwstr>3X;4X;12X;15X</vt:lpwstr>
  </property>
  <property fmtid="{D5CDD505-2E9C-101B-9397-08002B2CF9AE}" pid="24" name="MEKOR_NAME2">
    <vt:lpwstr>פקודת מס הכנסה</vt:lpwstr>
  </property>
  <property fmtid="{D5CDD505-2E9C-101B-9397-08002B2CF9AE}" pid="25" name="MEKOR_SAIF2">
    <vt:lpwstr>15X</vt:lpwstr>
  </property>
  <property fmtid="{D5CDD505-2E9C-101B-9397-08002B2CF9AE}" pid="26" name="NOSE11">
    <vt:lpwstr>משפט פרטי וכלכלה</vt:lpwstr>
  </property>
  <property fmtid="{D5CDD505-2E9C-101B-9397-08002B2CF9AE}" pid="27" name="NOSE21">
    <vt:lpwstr>כספים</vt:lpwstr>
  </property>
  <property fmtid="{D5CDD505-2E9C-101B-9397-08002B2CF9AE}" pid="28" name="NOSE31">
    <vt:lpwstr>מילווים</vt:lpwstr>
  </property>
  <property fmtid="{D5CDD505-2E9C-101B-9397-08002B2CF9AE}" pid="29" name="NOSE41">
    <vt:lpwstr>מילווה חסכון</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