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B109" w14:textId="77777777" w:rsidR="00F67FCC" w:rsidRDefault="00F67FCC">
      <w:pPr>
        <w:pStyle w:val="big-header"/>
        <w:ind w:left="0" w:right="1134"/>
        <w:rPr>
          <w:rFonts w:cs="FrankRuehl" w:hint="cs"/>
          <w:sz w:val="32"/>
          <w:rtl/>
        </w:rPr>
      </w:pPr>
      <w:r>
        <w:rPr>
          <w:rFonts w:cs="FrankRuehl"/>
          <w:sz w:val="32"/>
          <w:rtl/>
        </w:rPr>
        <w:t>תקנות מילווה ה</w:t>
      </w:r>
      <w:r w:rsidR="00AB4BC3">
        <w:rPr>
          <w:rFonts w:cs="FrankRuehl"/>
          <w:sz w:val="32"/>
          <w:rtl/>
        </w:rPr>
        <w:t>מדינה (סדרות מסוג "ערד"), תשנ"ה</w:t>
      </w:r>
      <w:r w:rsidR="00AB4BC3">
        <w:rPr>
          <w:rFonts w:cs="FrankRuehl" w:hint="cs"/>
          <w:sz w:val="32"/>
          <w:rtl/>
        </w:rPr>
        <w:t>-</w:t>
      </w:r>
      <w:r>
        <w:rPr>
          <w:rFonts w:cs="FrankRuehl"/>
          <w:sz w:val="32"/>
          <w:rtl/>
        </w:rPr>
        <w:t>1995</w:t>
      </w:r>
    </w:p>
    <w:p w14:paraId="09CE6A88" w14:textId="77777777" w:rsidR="00AB4BC3" w:rsidRPr="00AB4BC3" w:rsidRDefault="00AB4BC3">
      <w:pPr>
        <w:pStyle w:val="big-header"/>
        <w:ind w:left="0" w:right="1134"/>
        <w:rPr>
          <w:rFonts w:cs="FrankRuehl" w:hint="cs"/>
          <w:color w:val="008000"/>
          <w:sz w:val="32"/>
          <w:rtl/>
        </w:rPr>
      </w:pPr>
      <w:r w:rsidRPr="00AB4BC3">
        <w:rPr>
          <w:rFonts w:cs="FrankRuehl" w:hint="cs"/>
          <w:color w:val="008000"/>
          <w:sz w:val="32"/>
          <w:rtl/>
        </w:rPr>
        <w:t>רבדים בחקיקה</w:t>
      </w:r>
    </w:p>
    <w:p w14:paraId="4ED9A917" w14:textId="77777777" w:rsidR="00AB4BC3" w:rsidRPr="00AB4BC3" w:rsidRDefault="00AB4BC3" w:rsidP="00AB4BC3">
      <w:pPr>
        <w:spacing w:line="320" w:lineRule="auto"/>
        <w:jc w:val="left"/>
        <w:rPr>
          <w:rFonts w:cs="FrankRuehl"/>
          <w:szCs w:val="26"/>
          <w:rtl/>
        </w:rPr>
      </w:pPr>
    </w:p>
    <w:p w14:paraId="0F38AE5A" w14:textId="77777777" w:rsidR="00AB4BC3" w:rsidRDefault="00AB4BC3" w:rsidP="00AB4BC3">
      <w:pPr>
        <w:spacing w:line="320" w:lineRule="auto"/>
        <w:jc w:val="left"/>
        <w:rPr>
          <w:rtl/>
        </w:rPr>
      </w:pPr>
    </w:p>
    <w:p w14:paraId="0C8561C1" w14:textId="77777777" w:rsidR="00AB4BC3" w:rsidRPr="00AB4BC3" w:rsidRDefault="00AB4BC3" w:rsidP="00AB4BC3">
      <w:pPr>
        <w:spacing w:line="320" w:lineRule="auto"/>
        <w:jc w:val="left"/>
        <w:rPr>
          <w:rFonts w:cs="Miriam" w:hint="cs"/>
          <w:szCs w:val="22"/>
          <w:rtl/>
        </w:rPr>
      </w:pPr>
      <w:r w:rsidRPr="00AB4BC3">
        <w:rPr>
          <w:rFonts w:cs="Miriam"/>
          <w:szCs w:val="22"/>
          <w:rtl/>
        </w:rPr>
        <w:t>משפט פרטי וכלכלה</w:t>
      </w:r>
      <w:r w:rsidRPr="00AB4BC3">
        <w:rPr>
          <w:rFonts w:cs="FrankRuehl"/>
          <w:szCs w:val="26"/>
          <w:rtl/>
        </w:rPr>
        <w:t xml:space="preserve"> – כספים – מילווים – מילווה חסכון</w:t>
      </w:r>
    </w:p>
    <w:p w14:paraId="7403DF49" w14:textId="77777777" w:rsidR="00F67FCC" w:rsidRDefault="00F67FC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67FCC" w14:paraId="158A19EA" w14:textId="77777777">
        <w:tblPrEx>
          <w:tblCellMar>
            <w:top w:w="0" w:type="dxa"/>
            <w:bottom w:w="0" w:type="dxa"/>
          </w:tblCellMar>
        </w:tblPrEx>
        <w:tc>
          <w:tcPr>
            <w:tcW w:w="850" w:type="dxa"/>
          </w:tcPr>
          <w:p w14:paraId="5399D9DF"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50481EA5" w14:textId="77777777" w:rsidR="00F67FCC" w:rsidRDefault="00F67FCC">
            <w:pPr>
              <w:spacing w:line="240" w:lineRule="auto"/>
              <w:rPr>
                <w:sz w:val="24"/>
              </w:rPr>
            </w:pPr>
            <w:hyperlink w:anchor="Seif0" w:tooltip="הגדרות" w:history="1">
              <w:r>
                <w:rPr>
                  <w:rStyle w:val="Hyperlink"/>
                </w:rPr>
                <w:t>Go</w:t>
              </w:r>
            </w:hyperlink>
          </w:p>
        </w:tc>
        <w:tc>
          <w:tcPr>
            <w:tcW w:w="5669" w:type="dxa"/>
          </w:tcPr>
          <w:p w14:paraId="79CC8996" w14:textId="77777777" w:rsidR="00F67FCC" w:rsidRDefault="00F67FCC">
            <w:pPr>
              <w:spacing w:line="240" w:lineRule="auto"/>
              <w:rPr>
                <w:sz w:val="24"/>
                <w:rtl/>
              </w:rPr>
            </w:pPr>
            <w:r>
              <w:rPr>
                <w:sz w:val="24"/>
                <w:rtl/>
              </w:rPr>
              <w:t>הגדרות</w:t>
            </w:r>
          </w:p>
        </w:tc>
        <w:tc>
          <w:tcPr>
            <w:tcW w:w="1247" w:type="dxa"/>
          </w:tcPr>
          <w:p w14:paraId="36C7440B" w14:textId="77777777" w:rsidR="00F67FCC" w:rsidRDefault="00F67FCC">
            <w:pPr>
              <w:spacing w:line="240" w:lineRule="auto"/>
              <w:rPr>
                <w:sz w:val="24"/>
              </w:rPr>
            </w:pPr>
            <w:r>
              <w:rPr>
                <w:sz w:val="24"/>
                <w:rtl/>
              </w:rPr>
              <w:t xml:space="preserve">סעיף 1 </w:t>
            </w:r>
          </w:p>
        </w:tc>
      </w:tr>
      <w:tr w:rsidR="00F67FCC" w14:paraId="71E31662" w14:textId="77777777">
        <w:tblPrEx>
          <w:tblCellMar>
            <w:top w:w="0" w:type="dxa"/>
            <w:bottom w:w="0" w:type="dxa"/>
          </w:tblCellMar>
        </w:tblPrEx>
        <w:tc>
          <w:tcPr>
            <w:tcW w:w="850" w:type="dxa"/>
          </w:tcPr>
          <w:p w14:paraId="6E10D729"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171B1FBB" w14:textId="77777777" w:rsidR="00F67FCC" w:rsidRDefault="00F67FCC">
            <w:pPr>
              <w:spacing w:line="240" w:lineRule="auto"/>
              <w:rPr>
                <w:sz w:val="24"/>
              </w:rPr>
            </w:pPr>
            <w:hyperlink w:anchor="Seif1" w:tooltip="איגרות חוב מסוג ערד תט תשנה 1995" w:history="1">
              <w:r>
                <w:rPr>
                  <w:rStyle w:val="Hyperlink"/>
                </w:rPr>
                <w:t>Go</w:t>
              </w:r>
            </w:hyperlink>
          </w:p>
        </w:tc>
        <w:tc>
          <w:tcPr>
            <w:tcW w:w="5669" w:type="dxa"/>
          </w:tcPr>
          <w:p w14:paraId="069D08B4" w14:textId="77777777" w:rsidR="00F67FCC" w:rsidRDefault="00F67FCC">
            <w:pPr>
              <w:spacing w:line="240" w:lineRule="auto"/>
              <w:rPr>
                <w:rFonts w:hint="cs"/>
                <w:sz w:val="24"/>
                <w:rtl/>
              </w:rPr>
            </w:pPr>
            <w:r>
              <w:rPr>
                <w:sz w:val="24"/>
                <w:rtl/>
              </w:rPr>
              <w:t>איגרות חוב מס</w:t>
            </w:r>
            <w:r w:rsidR="00AB4BC3">
              <w:rPr>
                <w:sz w:val="24"/>
                <w:rtl/>
              </w:rPr>
              <w:t>וג ערד</w:t>
            </w:r>
          </w:p>
        </w:tc>
        <w:tc>
          <w:tcPr>
            <w:tcW w:w="1247" w:type="dxa"/>
          </w:tcPr>
          <w:p w14:paraId="5163849B" w14:textId="77777777" w:rsidR="00F67FCC" w:rsidRDefault="00F67FCC">
            <w:pPr>
              <w:spacing w:line="240" w:lineRule="auto"/>
              <w:rPr>
                <w:sz w:val="24"/>
              </w:rPr>
            </w:pPr>
            <w:r>
              <w:rPr>
                <w:sz w:val="24"/>
                <w:rtl/>
              </w:rPr>
              <w:t xml:space="preserve">סעיף 2 </w:t>
            </w:r>
          </w:p>
        </w:tc>
      </w:tr>
      <w:tr w:rsidR="00F67FCC" w14:paraId="72401068" w14:textId="77777777">
        <w:tblPrEx>
          <w:tblCellMar>
            <w:top w:w="0" w:type="dxa"/>
            <w:bottom w:w="0" w:type="dxa"/>
          </w:tblCellMar>
        </w:tblPrEx>
        <w:tc>
          <w:tcPr>
            <w:tcW w:w="850" w:type="dxa"/>
          </w:tcPr>
          <w:p w14:paraId="2FDE92E8"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08B697F1" w14:textId="77777777" w:rsidR="00F67FCC" w:rsidRDefault="00F67FCC">
            <w:pPr>
              <w:spacing w:line="240" w:lineRule="auto"/>
              <w:rPr>
                <w:sz w:val="24"/>
              </w:rPr>
            </w:pPr>
            <w:hyperlink w:anchor="Seif2" w:tooltip="איגרות חוב על שם" w:history="1">
              <w:r>
                <w:rPr>
                  <w:rStyle w:val="Hyperlink"/>
                </w:rPr>
                <w:t>Go</w:t>
              </w:r>
            </w:hyperlink>
          </w:p>
        </w:tc>
        <w:tc>
          <w:tcPr>
            <w:tcW w:w="5669" w:type="dxa"/>
          </w:tcPr>
          <w:p w14:paraId="5FEF9ADE" w14:textId="77777777" w:rsidR="00F67FCC" w:rsidRDefault="00F67FCC">
            <w:pPr>
              <w:spacing w:line="240" w:lineRule="auto"/>
              <w:rPr>
                <w:sz w:val="24"/>
                <w:rtl/>
              </w:rPr>
            </w:pPr>
            <w:r>
              <w:rPr>
                <w:sz w:val="24"/>
                <w:rtl/>
              </w:rPr>
              <w:t>איגרות חוב על שם</w:t>
            </w:r>
          </w:p>
        </w:tc>
        <w:tc>
          <w:tcPr>
            <w:tcW w:w="1247" w:type="dxa"/>
          </w:tcPr>
          <w:p w14:paraId="061517D6" w14:textId="77777777" w:rsidR="00F67FCC" w:rsidRDefault="00F67FCC">
            <w:pPr>
              <w:spacing w:line="240" w:lineRule="auto"/>
              <w:rPr>
                <w:sz w:val="24"/>
              </w:rPr>
            </w:pPr>
            <w:r>
              <w:rPr>
                <w:sz w:val="24"/>
                <w:rtl/>
              </w:rPr>
              <w:t xml:space="preserve">סעיף 3 </w:t>
            </w:r>
          </w:p>
        </w:tc>
      </w:tr>
      <w:tr w:rsidR="00F67FCC" w14:paraId="2F7613CB" w14:textId="77777777">
        <w:tblPrEx>
          <w:tblCellMar>
            <w:top w:w="0" w:type="dxa"/>
            <w:bottom w:w="0" w:type="dxa"/>
          </w:tblCellMar>
        </w:tblPrEx>
        <w:tc>
          <w:tcPr>
            <w:tcW w:w="850" w:type="dxa"/>
          </w:tcPr>
          <w:p w14:paraId="1EC2514E"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1FB5E9FD" w14:textId="77777777" w:rsidR="00F67FCC" w:rsidRDefault="00F67FCC">
            <w:pPr>
              <w:spacing w:line="240" w:lineRule="auto"/>
              <w:rPr>
                <w:sz w:val="24"/>
              </w:rPr>
            </w:pPr>
            <w:hyperlink w:anchor="Seif3" w:tooltip="מכירה לקופות גמל לקיצבה" w:history="1">
              <w:r>
                <w:rPr>
                  <w:rStyle w:val="Hyperlink"/>
                </w:rPr>
                <w:t>Go</w:t>
              </w:r>
            </w:hyperlink>
          </w:p>
        </w:tc>
        <w:tc>
          <w:tcPr>
            <w:tcW w:w="5669" w:type="dxa"/>
          </w:tcPr>
          <w:p w14:paraId="20DE61C8" w14:textId="77777777" w:rsidR="00F67FCC" w:rsidRDefault="00F67FCC">
            <w:pPr>
              <w:spacing w:line="240" w:lineRule="auto"/>
              <w:rPr>
                <w:sz w:val="24"/>
                <w:rtl/>
              </w:rPr>
            </w:pPr>
            <w:r>
              <w:rPr>
                <w:sz w:val="24"/>
                <w:rtl/>
              </w:rPr>
              <w:t>מכירה לקופות גמל לקיצבה</w:t>
            </w:r>
          </w:p>
        </w:tc>
        <w:tc>
          <w:tcPr>
            <w:tcW w:w="1247" w:type="dxa"/>
          </w:tcPr>
          <w:p w14:paraId="0E5A0B74" w14:textId="77777777" w:rsidR="00F67FCC" w:rsidRDefault="00F67FCC">
            <w:pPr>
              <w:spacing w:line="240" w:lineRule="auto"/>
              <w:rPr>
                <w:sz w:val="24"/>
              </w:rPr>
            </w:pPr>
            <w:r>
              <w:rPr>
                <w:sz w:val="24"/>
                <w:rtl/>
              </w:rPr>
              <w:t xml:space="preserve">סעיף 4 </w:t>
            </w:r>
          </w:p>
        </w:tc>
      </w:tr>
      <w:tr w:rsidR="00F67FCC" w14:paraId="09D03EC6" w14:textId="77777777">
        <w:tblPrEx>
          <w:tblCellMar>
            <w:top w:w="0" w:type="dxa"/>
            <w:bottom w:w="0" w:type="dxa"/>
          </w:tblCellMar>
        </w:tblPrEx>
        <w:tc>
          <w:tcPr>
            <w:tcW w:w="850" w:type="dxa"/>
          </w:tcPr>
          <w:p w14:paraId="5FE2247E"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019ED623" w14:textId="77777777" w:rsidR="00F67FCC" w:rsidRDefault="00F67FCC">
            <w:pPr>
              <w:spacing w:line="240" w:lineRule="auto"/>
              <w:rPr>
                <w:sz w:val="24"/>
              </w:rPr>
            </w:pPr>
            <w:hyperlink w:anchor="Seif4" w:tooltip="יום ההוצאה והשווי הנקוב" w:history="1">
              <w:r>
                <w:rPr>
                  <w:rStyle w:val="Hyperlink"/>
                </w:rPr>
                <w:t>Go</w:t>
              </w:r>
            </w:hyperlink>
          </w:p>
        </w:tc>
        <w:tc>
          <w:tcPr>
            <w:tcW w:w="5669" w:type="dxa"/>
          </w:tcPr>
          <w:p w14:paraId="4589A075" w14:textId="77777777" w:rsidR="00F67FCC" w:rsidRDefault="00F67FCC">
            <w:pPr>
              <w:spacing w:line="240" w:lineRule="auto"/>
              <w:rPr>
                <w:sz w:val="24"/>
                <w:rtl/>
              </w:rPr>
            </w:pPr>
            <w:r>
              <w:rPr>
                <w:sz w:val="24"/>
                <w:rtl/>
              </w:rPr>
              <w:t>יום ההוצאה והשווי הנקוב</w:t>
            </w:r>
          </w:p>
        </w:tc>
        <w:tc>
          <w:tcPr>
            <w:tcW w:w="1247" w:type="dxa"/>
          </w:tcPr>
          <w:p w14:paraId="4BDD74A2" w14:textId="77777777" w:rsidR="00F67FCC" w:rsidRDefault="00F67FCC">
            <w:pPr>
              <w:spacing w:line="240" w:lineRule="auto"/>
              <w:rPr>
                <w:sz w:val="24"/>
              </w:rPr>
            </w:pPr>
            <w:r>
              <w:rPr>
                <w:sz w:val="24"/>
                <w:rtl/>
              </w:rPr>
              <w:t xml:space="preserve">סעיף 5 </w:t>
            </w:r>
          </w:p>
        </w:tc>
      </w:tr>
      <w:tr w:rsidR="00F67FCC" w14:paraId="2F5FC322" w14:textId="77777777">
        <w:tblPrEx>
          <w:tblCellMar>
            <w:top w:w="0" w:type="dxa"/>
            <w:bottom w:w="0" w:type="dxa"/>
          </w:tblCellMar>
        </w:tblPrEx>
        <w:tc>
          <w:tcPr>
            <w:tcW w:w="850" w:type="dxa"/>
          </w:tcPr>
          <w:p w14:paraId="1504F631"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7A657B7B" w14:textId="77777777" w:rsidR="00F67FCC" w:rsidRDefault="00F67FCC">
            <w:pPr>
              <w:spacing w:line="240" w:lineRule="auto"/>
              <w:rPr>
                <w:sz w:val="24"/>
              </w:rPr>
            </w:pPr>
            <w:hyperlink w:anchor="Seif5" w:tooltip="מחיר המכירה" w:history="1">
              <w:r>
                <w:rPr>
                  <w:rStyle w:val="Hyperlink"/>
                </w:rPr>
                <w:t>Go</w:t>
              </w:r>
            </w:hyperlink>
          </w:p>
        </w:tc>
        <w:tc>
          <w:tcPr>
            <w:tcW w:w="5669" w:type="dxa"/>
          </w:tcPr>
          <w:p w14:paraId="223F1B0A" w14:textId="77777777" w:rsidR="00F67FCC" w:rsidRDefault="00F67FCC">
            <w:pPr>
              <w:spacing w:line="240" w:lineRule="auto"/>
              <w:rPr>
                <w:sz w:val="24"/>
                <w:rtl/>
              </w:rPr>
            </w:pPr>
            <w:r>
              <w:rPr>
                <w:sz w:val="24"/>
                <w:rtl/>
              </w:rPr>
              <w:t>מחיר המכירה</w:t>
            </w:r>
          </w:p>
        </w:tc>
        <w:tc>
          <w:tcPr>
            <w:tcW w:w="1247" w:type="dxa"/>
          </w:tcPr>
          <w:p w14:paraId="69FD2420" w14:textId="77777777" w:rsidR="00F67FCC" w:rsidRDefault="00F67FCC">
            <w:pPr>
              <w:spacing w:line="240" w:lineRule="auto"/>
              <w:rPr>
                <w:sz w:val="24"/>
              </w:rPr>
            </w:pPr>
            <w:r>
              <w:rPr>
                <w:sz w:val="24"/>
                <w:rtl/>
              </w:rPr>
              <w:t xml:space="preserve">סעיף 6 </w:t>
            </w:r>
          </w:p>
        </w:tc>
      </w:tr>
      <w:tr w:rsidR="00F67FCC" w14:paraId="469AA2F9" w14:textId="77777777">
        <w:tblPrEx>
          <w:tblCellMar>
            <w:top w:w="0" w:type="dxa"/>
            <w:bottom w:w="0" w:type="dxa"/>
          </w:tblCellMar>
        </w:tblPrEx>
        <w:tc>
          <w:tcPr>
            <w:tcW w:w="850" w:type="dxa"/>
          </w:tcPr>
          <w:p w14:paraId="07CDAB39"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782E6233" w14:textId="77777777" w:rsidR="00F67FCC" w:rsidRDefault="00F67FCC">
            <w:pPr>
              <w:spacing w:line="240" w:lineRule="auto"/>
              <w:rPr>
                <w:sz w:val="24"/>
              </w:rPr>
            </w:pPr>
            <w:hyperlink w:anchor="Seif6" w:tooltip="רישום בפנקס" w:history="1">
              <w:r>
                <w:rPr>
                  <w:rStyle w:val="Hyperlink"/>
                </w:rPr>
                <w:t>Go</w:t>
              </w:r>
            </w:hyperlink>
          </w:p>
        </w:tc>
        <w:tc>
          <w:tcPr>
            <w:tcW w:w="5669" w:type="dxa"/>
          </w:tcPr>
          <w:p w14:paraId="267A3D15" w14:textId="77777777" w:rsidR="00F67FCC" w:rsidRDefault="00F67FCC">
            <w:pPr>
              <w:spacing w:line="240" w:lineRule="auto"/>
              <w:rPr>
                <w:sz w:val="24"/>
                <w:rtl/>
              </w:rPr>
            </w:pPr>
            <w:r>
              <w:rPr>
                <w:sz w:val="24"/>
                <w:rtl/>
              </w:rPr>
              <w:t>רישום בפנקס</w:t>
            </w:r>
          </w:p>
        </w:tc>
        <w:tc>
          <w:tcPr>
            <w:tcW w:w="1247" w:type="dxa"/>
          </w:tcPr>
          <w:p w14:paraId="3A862087" w14:textId="77777777" w:rsidR="00F67FCC" w:rsidRDefault="00F67FCC">
            <w:pPr>
              <w:spacing w:line="240" w:lineRule="auto"/>
              <w:rPr>
                <w:sz w:val="24"/>
              </w:rPr>
            </w:pPr>
            <w:r>
              <w:rPr>
                <w:sz w:val="24"/>
                <w:rtl/>
              </w:rPr>
              <w:t xml:space="preserve">סעיף 7 </w:t>
            </w:r>
          </w:p>
        </w:tc>
      </w:tr>
      <w:tr w:rsidR="00F67FCC" w14:paraId="138EEB98" w14:textId="77777777">
        <w:tblPrEx>
          <w:tblCellMar>
            <w:top w:w="0" w:type="dxa"/>
            <w:bottom w:w="0" w:type="dxa"/>
          </w:tblCellMar>
        </w:tblPrEx>
        <w:tc>
          <w:tcPr>
            <w:tcW w:w="850" w:type="dxa"/>
          </w:tcPr>
          <w:p w14:paraId="356B12AF"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67B89073" w14:textId="77777777" w:rsidR="00F67FCC" w:rsidRDefault="00F67FCC">
            <w:pPr>
              <w:spacing w:line="240" w:lineRule="auto"/>
              <w:rPr>
                <w:sz w:val="24"/>
              </w:rPr>
            </w:pPr>
            <w:hyperlink w:anchor="Seif7" w:tooltip="ריבית" w:history="1">
              <w:r>
                <w:rPr>
                  <w:rStyle w:val="Hyperlink"/>
                </w:rPr>
                <w:t>Go</w:t>
              </w:r>
            </w:hyperlink>
          </w:p>
        </w:tc>
        <w:tc>
          <w:tcPr>
            <w:tcW w:w="5669" w:type="dxa"/>
          </w:tcPr>
          <w:p w14:paraId="2E8A738E" w14:textId="77777777" w:rsidR="00F67FCC" w:rsidRDefault="00F67FCC">
            <w:pPr>
              <w:spacing w:line="240" w:lineRule="auto"/>
              <w:rPr>
                <w:sz w:val="24"/>
                <w:rtl/>
              </w:rPr>
            </w:pPr>
            <w:r>
              <w:rPr>
                <w:sz w:val="24"/>
                <w:rtl/>
              </w:rPr>
              <w:t>ריבית</w:t>
            </w:r>
          </w:p>
        </w:tc>
        <w:tc>
          <w:tcPr>
            <w:tcW w:w="1247" w:type="dxa"/>
          </w:tcPr>
          <w:p w14:paraId="107FD805" w14:textId="77777777" w:rsidR="00F67FCC" w:rsidRDefault="00F67FCC">
            <w:pPr>
              <w:spacing w:line="240" w:lineRule="auto"/>
              <w:rPr>
                <w:sz w:val="24"/>
              </w:rPr>
            </w:pPr>
            <w:r>
              <w:rPr>
                <w:sz w:val="24"/>
                <w:rtl/>
              </w:rPr>
              <w:t xml:space="preserve">סעיף 8 </w:t>
            </w:r>
          </w:p>
        </w:tc>
      </w:tr>
      <w:tr w:rsidR="00F67FCC" w14:paraId="755332D3" w14:textId="77777777">
        <w:tblPrEx>
          <w:tblCellMar>
            <w:top w:w="0" w:type="dxa"/>
            <w:bottom w:w="0" w:type="dxa"/>
          </w:tblCellMar>
        </w:tblPrEx>
        <w:tc>
          <w:tcPr>
            <w:tcW w:w="850" w:type="dxa"/>
          </w:tcPr>
          <w:p w14:paraId="6CF0ED66"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AB4BC3">
              <w:rPr>
                <w:noProof/>
                <w:sz w:val="24"/>
                <w:rtl/>
              </w:rPr>
              <w:t>2</w:t>
            </w:r>
            <w:r>
              <w:rPr>
                <w:sz w:val="24"/>
                <w:rtl/>
              </w:rPr>
              <w:fldChar w:fldCharType="end"/>
            </w:r>
          </w:p>
        </w:tc>
        <w:tc>
          <w:tcPr>
            <w:tcW w:w="567" w:type="dxa"/>
          </w:tcPr>
          <w:p w14:paraId="71D05152" w14:textId="77777777" w:rsidR="00F67FCC" w:rsidRDefault="00F67FCC">
            <w:pPr>
              <w:spacing w:line="240" w:lineRule="auto"/>
              <w:rPr>
                <w:sz w:val="24"/>
              </w:rPr>
            </w:pPr>
            <w:hyperlink w:anchor="Seif8" w:tooltip="תנאי הצמדה" w:history="1">
              <w:r>
                <w:rPr>
                  <w:rStyle w:val="Hyperlink"/>
                </w:rPr>
                <w:t>Go</w:t>
              </w:r>
            </w:hyperlink>
          </w:p>
        </w:tc>
        <w:tc>
          <w:tcPr>
            <w:tcW w:w="5669" w:type="dxa"/>
          </w:tcPr>
          <w:p w14:paraId="5FCCACF3" w14:textId="77777777" w:rsidR="00F67FCC" w:rsidRDefault="00F67FCC">
            <w:pPr>
              <w:spacing w:line="240" w:lineRule="auto"/>
              <w:rPr>
                <w:sz w:val="24"/>
                <w:rtl/>
              </w:rPr>
            </w:pPr>
            <w:r>
              <w:rPr>
                <w:sz w:val="24"/>
                <w:rtl/>
              </w:rPr>
              <w:t>תנאי הצמדה</w:t>
            </w:r>
          </w:p>
        </w:tc>
        <w:tc>
          <w:tcPr>
            <w:tcW w:w="1247" w:type="dxa"/>
          </w:tcPr>
          <w:p w14:paraId="4A13D159" w14:textId="77777777" w:rsidR="00F67FCC" w:rsidRDefault="00F67FCC">
            <w:pPr>
              <w:spacing w:line="240" w:lineRule="auto"/>
              <w:rPr>
                <w:sz w:val="24"/>
              </w:rPr>
            </w:pPr>
            <w:r>
              <w:rPr>
                <w:sz w:val="24"/>
                <w:rtl/>
              </w:rPr>
              <w:t xml:space="preserve">סעיף 9 </w:t>
            </w:r>
          </w:p>
        </w:tc>
      </w:tr>
      <w:tr w:rsidR="00F67FCC" w14:paraId="4365DEA5" w14:textId="77777777">
        <w:tblPrEx>
          <w:tblCellMar>
            <w:top w:w="0" w:type="dxa"/>
            <w:bottom w:w="0" w:type="dxa"/>
          </w:tblCellMar>
        </w:tblPrEx>
        <w:tc>
          <w:tcPr>
            <w:tcW w:w="850" w:type="dxa"/>
          </w:tcPr>
          <w:p w14:paraId="13D1AD49"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6DF17AE5" w14:textId="77777777" w:rsidR="00F67FCC" w:rsidRDefault="00F67FCC">
            <w:pPr>
              <w:spacing w:line="240" w:lineRule="auto"/>
              <w:rPr>
                <w:sz w:val="24"/>
              </w:rPr>
            </w:pPr>
            <w:hyperlink w:anchor="Seif9" w:tooltip="תשלום הריבית" w:history="1">
              <w:r>
                <w:rPr>
                  <w:rStyle w:val="Hyperlink"/>
                </w:rPr>
                <w:t>Go</w:t>
              </w:r>
            </w:hyperlink>
          </w:p>
        </w:tc>
        <w:tc>
          <w:tcPr>
            <w:tcW w:w="5669" w:type="dxa"/>
          </w:tcPr>
          <w:p w14:paraId="640497EE" w14:textId="77777777" w:rsidR="00F67FCC" w:rsidRDefault="00F67FCC">
            <w:pPr>
              <w:spacing w:line="240" w:lineRule="auto"/>
              <w:rPr>
                <w:sz w:val="24"/>
                <w:rtl/>
              </w:rPr>
            </w:pPr>
            <w:r>
              <w:rPr>
                <w:sz w:val="24"/>
                <w:rtl/>
              </w:rPr>
              <w:t>תשלום הריבית</w:t>
            </w:r>
          </w:p>
        </w:tc>
        <w:tc>
          <w:tcPr>
            <w:tcW w:w="1247" w:type="dxa"/>
          </w:tcPr>
          <w:p w14:paraId="1F455F4D" w14:textId="77777777" w:rsidR="00F67FCC" w:rsidRDefault="00F67FCC">
            <w:pPr>
              <w:spacing w:line="240" w:lineRule="auto"/>
              <w:rPr>
                <w:sz w:val="24"/>
              </w:rPr>
            </w:pPr>
            <w:r>
              <w:rPr>
                <w:sz w:val="24"/>
                <w:rtl/>
              </w:rPr>
              <w:t xml:space="preserve">סעיף 10 </w:t>
            </w:r>
          </w:p>
        </w:tc>
      </w:tr>
      <w:tr w:rsidR="00F67FCC" w14:paraId="7608E6C3" w14:textId="77777777">
        <w:tblPrEx>
          <w:tblCellMar>
            <w:top w:w="0" w:type="dxa"/>
            <w:bottom w:w="0" w:type="dxa"/>
          </w:tblCellMar>
        </w:tblPrEx>
        <w:tc>
          <w:tcPr>
            <w:tcW w:w="850" w:type="dxa"/>
          </w:tcPr>
          <w:p w14:paraId="361B3955"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4D73401B" w14:textId="77777777" w:rsidR="00F67FCC" w:rsidRDefault="00F67FCC">
            <w:pPr>
              <w:spacing w:line="240" w:lineRule="auto"/>
              <w:rPr>
                <w:sz w:val="24"/>
              </w:rPr>
            </w:pPr>
            <w:hyperlink w:anchor="Seif10" w:tooltip="פדיון" w:history="1">
              <w:r>
                <w:rPr>
                  <w:rStyle w:val="Hyperlink"/>
                </w:rPr>
                <w:t>Go</w:t>
              </w:r>
            </w:hyperlink>
          </w:p>
        </w:tc>
        <w:tc>
          <w:tcPr>
            <w:tcW w:w="5669" w:type="dxa"/>
          </w:tcPr>
          <w:p w14:paraId="596F178F" w14:textId="77777777" w:rsidR="00F67FCC" w:rsidRDefault="00F67FCC">
            <w:pPr>
              <w:spacing w:line="240" w:lineRule="auto"/>
              <w:rPr>
                <w:sz w:val="24"/>
                <w:rtl/>
              </w:rPr>
            </w:pPr>
            <w:r>
              <w:rPr>
                <w:sz w:val="24"/>
                <w:rtl/>
              </w:rPr>
              <w:t>פדיון</w:t>
            </w:r>
          </w:p>
        </w:tc>
        <w:tc>
          <w:tcPr>
            <w:tcW w:w="1247" w:type="dxa"/>
          </w:tcPr>
          <w:p w14:paraId="15E7BB4B" w14:textId="77777777" w:rsidR="00F67FCC" w:rsidRDefault="00F67FCC">
            <w:pPr>
              <w:spacing w:line="240" w:lineRule="auto"/>
              <w:rPr>
                <w:sz w:val="24"/>
              </w:rPr>
            </w:pPr>
            <w:r>
              <w:rPr>
                <w:sz w:val="24"/>
                <w:rtl/>
              </w:rPr>
              <w:t xml:space="preserve">סעיף 11 </w:t>
            </w:r>
          </w:p>
        </w:tc>
      </w:tr>
      <w:tr w:rsidR="00F67FCC" w14:paraId="4629807B" w14:textId="77777777">
        <w:tblPrEx>
          <w:tblCellMar>
            <w:top w:w="0" w:type="dxa"/>
            <w:bottom w:w="0" w:type="dxa"/>
          </w:tblCellMar>
        </w:tblPrEx>
        <w:tc>
          <w:tcPr>
            <w:tcW w:w="850" w:type="dxa"/>
          </w:tcPr>
          <w:p w14:paraId="4E89C1B9"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15D9ABDA" w14:textId="77777777" w:rsidR="00F67FCC" w:rsidRDefault="00F67FCC">
            <w:pPr>
              <w:spacing w:line="240" w:lineRule="auto"/>
              <w:rPr>
                <w:sz w:val="24"/>
              </w:rPr>
            </w:pPr>
            <w:hyperlink w:anchor="Seif11" w:tooltip="דרכי תשלום" w:history="1">
              <w:r>
                <w:rPr>
                  <w:rStyle w:val="Hyperlink"/>
                </w:rPr>
                <w:t>Go</w:t>
              </w:r>
            </w:hyperlink>
          </w:p>
        </w:tc>
        <w:tc>
          <w:tcPr>
            <w:tcW w:w="5669" w:type="dxa"/>
          </w:tcPr>
          <w:p w14:paraId="5AA29546" w14:textId="77777777" w:rsidR="00F67FCC" w:rsidRDefault="00F67FCC">
            <w:pPr>
              <w:spacing w:line="240" w:lineRule="auto"/>
              <w:rPr>
                <w:sz w:val="24"/>
                <w:rtl/>
              </w:rPr>
            </w:pPr>
            <w:r>
              <w:rPr>
                <w:sz w:val="24"/>
                <w:rtl/>
              </w:rPr>
              <w:t>דרכי תשלום</w:t>
            </w:r>
          </w:p>
        </w:tc>
        <w:tc>
          <w:tcPr>
            <w:tcW w:w="1247" w:type="dxa"/>
          </w:tcPr>
          <w:p w14:paraId="2A45786C" w14:textId="77777777" w:rsidR="00F67FCC" w:rsidRDefault="00F67FCC">
            <w:pPr>
              <w:spacing w:line="240" w:lineRule="auto"/>
              <w:rPr>
                <w:sz w:val="24"/>
              </w:rPr>
            </w:pPr>
            <w:r>
              <w:rPr>
                <w:sz w:val="24"/>
                <w:rtl/>
              </w:rPr>
              <w:t xml:space="preserve">סעיף 12 </w:t>
            </w:r>
          </w:p>
        </w:tc>
      </w:tr>
      <w:tr w:rsidR="00F67FCC" w14:paraId="2C56574B" w14:textId="77777777">
        <w:tblPrEx>
          <w:tblCellMar>
            <w:top w:w="0" w:type="dxa"/>
            <w:bottom w:w="0" w:type="dxa"/>
          </w:tblCellMar>
        </w:tblPrEx>
        <w:tc>
          <w:tcPr>
            <w:tcW w:w="850" w:type="dxa"/>
          </w:tcPr>
          <w:p w14:paraId="4132BFD5"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52F61D5A" w14:textId="77777777" w:rsidR="00F67FCC" w:rsidRDefault="00F67FCC">
            <w:pPr>
              <w:spacing w:line="240" w:lineRule="auto"/>
              <w:rPr>
                <w:sz w:val="24"/>
              </w:rPr>
            </w:pPr>
            <w:hyperlink w:anchor="Seif12" w:tooltip="סגירת הפנקס" w:history="1">
              <w:r>
                <w:rPr>
                  <w:rStyle w:val="Hyperlink"/>
                </w:rPr>
                <w:t>Go</w:t>
              </w:r>
            </w:hyperlink>
          </w:p>
        </w:tc>
        <w:tc>
          <w:tcPr>
            <w:tcW w:w="5669" w:type="dxa"/>
          </w:tcPr>
          <w:p w14:paraId="46D0F0C5" w14:textId="77777777" w:rsidR="00F67FCC" w:rsidRDefault="00F67FCC">
            <w:pPr>
              <w:spacing w:line="240" w:lineRule="auto"/>
              <w:rPr>
                <w:sz w:val="24"/>
                <w:rtl/>
              </w:rPr>
            </w:pPr>
            <w:r>
              <w:rPr>
                <w:sz w:val="24"/>
                <w:rtl/>
              </w:rPr>
              <w:t>סגירת הפנקס</w:t>
            </w:r>
          </w:p>
        </w:tc>
        <w:tc>
          <w:tcPr>
            <w:tcW w:w="1247" w:type="dxa"/>
          </w:tcPr>
          <w:p w14:paraId="58B17EB2" w14:textId="77777777" w:rsidR="00F67FCC" w:rsidRDefault="00F67FCC">
            <w:pPr>
              <w:spacing w:line="240" w:lineRule="auto"/>
              <w:rPr>
                <w:sz w:val="24"/>
              </w:rPr>
            </w:pPr>
            <w:r>
              <w:rPr>
                <w:sz w:val="24"/>
                <w:rtl/>
              </w:rPr>
              <w:t xml:space="preserve">סעיף 13 </w:t>
            </w:r>
          </w:p>
        </w:tc>
      </w:tr>
      <w:tr w:rsidR="00F67FCC" w14:paraId="43A326F5" w14:textId="77777777">
        <w:tblPrEx>
          <w:tblCellMar>
            <w:top w:w="0" w:type="dxa"/>
            <w:bottom w:w="0" w:type="dxa"/>
          </w:tblCellMar>
        </w:tblPrEx>
        <w:tc>
          <w:tcPr>
            <w:tcW w:w="850" w:type="dxa"/>
          </w:tcPr>
          <w:p w14:paraId="075FAFEA"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7CEC6B69" w14:textId="77777777" w:rsidR="00F67FCC" w:rsidRDefault="00F67FCC">
            <w:pPr>
              <w:spacing w:line="240" w:lineRule="auto"/>
              <w:rPr>
                <w:sz w:val="24"/>
              </w:rPr>
            </w:pPr>
            <w:hyperlink w:anchor="Seif13" w:tooltip="מכירת איגרות  החוב" w:history="1">
              <w:r>
                <w:rPr>
                  <w:rStyle w:val="Hyperlink"/>
                </w:rPr>
                <w:t>Go</w:t>
              </w:r>
            </w:hyperlink>
          </w:p>
        </w:tc>
        <w:tc>
          <w:tcPr>
            <w:tcW w:w="5669" w:type="dxa"/>
          </w:tcPr>
          <w:p w14:paraId="14E19F52" w14:textId="77777777" w:rsidR="00F67FCC" w:rsidRDefault="00F67FCC">
            <w:pPr>
              <w:spacing w:line="240" w:lineRule="auto"/>
              <w:rPr>
                <w:sz w:val="24"/>
                <w:rtl/>
              </w:rPr>
            </w:pPr>
            <w:r>
              <w:rPr>
                <w:sz w:val="24"/>
                <w:rtl/>
              </w:rPr>
              <w:t>מכירת איגרות  החוב</w:t>
            </w:r>
          </w:p>
        </w:tc>
        <w:tc>
          <w:tcPr>
            <w:tcW w:w="1247" w:type="dxa"/>
          </w:tcPr>
          <w:p w14:paraId="2EA9D027" w14:textId="77777777" w:rsidR="00F67FCC" w:rsidRDefault="00F67FCC">
            <w:pPr>
              <w:spacing w:line="240" w:lineRule="auto"/>
              <w:rPr>
                <w:sz w:val="24"/>
              </w:rPr>
            </w:pPr>
            <w:r>
              <w:rPr>
                <w:sz w:val="24"/>
                <w:rtl/>
              </w:rPr>
              <w:t xml:space="preserve">סעיף 14 </w:t>
            </w:r>
          </w:p>
        </w:tc>
      </w:tr>
      <w:tr w:rsidR="00F67FCC" w14:paraId="27212FA2" w14:textId="77777777">
        <w:tblPrEx>
          <w:tblCellMar>
            <w:top w:w="0" w:type="dxa"/>
            <w:bottom w:w="0" w:type="dxa"/>
          </w:tblCellMar>
        </w:tblPrEx>
        <w:tc>
          <w:tcPr>
            <w:tcW w:w="850" w:type="dxa"/>
          </w:tcPr>
          <w:p w14:paraId="651A6715"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40F187EA" w14:textId="77777777" w:rsidR="00F67FCC" w:rsidRDefault="00F67FCC">
            <w:pPr>
              <w:spacing w:line="240" w:lineRule="auto"/>
              <w:rPr>
                <w:sz w:val="24"/>
              </w:rPr>
            </w:pPr>
            <w:hyperlink w:anchor="Seif14" w:tooltip="דחיית מועד" w:history="1">
              <w:r>
                <w:rPr>
                  <w:rStyle w:val="Hyperlink"/>
                </w:rPr>
                <w:t>Go</w:t>
              </w:r>
            </w:hyperlink>
          </w:p>
        </w:tc>
        <w:tc>
          <w:tcPr>
            <w:tcW w:w="5669" w:type="dxa"/>
          </w:tcPr>
          <w:p w14:paraId="0CF7FC72" w14:textId="77777777" w:rsidR="00F67FCC" w:rsidRDefault="00F67FCC">
            <w:pPr>
              <w:spacing w:line="240" w:lineRule="auto"/>
              <w:rPr>
                <w:sz w:val="24"/>
                <w:rtl/>
              </w:rPr>
            </w:pPr>
            <w:r>
              <w:rPr>
                <w:sz w:val="24"/>
                <w:rtl/>
              </w:rPr>
              <w:t>דחיית מועד</w:t>
            </w:r>
          </w:p>
        </w:tc>
        <w:tc>
          <w:tcPr>
            <w:tcW w:w="1247" w:type="dxa"/>
          </w:tcPr>
          <w:p w14:paraId="209C4C20" w14:textId="77777777" w:rsidR="00F67FCC" w:rsidRDefault="00F67FCC">
            <w:pPr>
              <w:spacing w:line="240" w:lineRule="auto"/>
              <w:rPr>
                <w:sz w:val="24"/>
              </w:rPr>
            </w:pPr>
            <w:r>
              <w:rPr>
                <w:sz w:val="24"/>
                <w:rtl/>
              </w:rPr>
              <w:t xml:space="preserve">סעיף 15 </w:t>
            </w:r>
          </w:p>
        </w:tc>
      </w:tr>
      <w:tr w:rsidR="00F67FCC" w14:paraId="6A08C070" w14:textId="77777777">
        <w:tblPrEx>
          <w:tblCellMar>
            <w:top w:w="0" w:type="dxa"/>
            <w:bottom w:w="0" w:type="dxa"/>
          </w:tblCellMar>
        </w:tblPrEx>
        <w:tc>
          <w:tcPr>
            <w:tcW w:w="850" w:type="dxa"/>
          </w:tcPr>
          <w:p w14:paraId="3F2D22AF" w14:textId="77777777" w:rsidR="00F67FCC" w:rsidRDefault="00F67FC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AB4BC3">
              <w:rPr>
                <w:noProof/>
                <w:sz w:val="24"/>
                <w:rtl/>
              </w:rPr>
              <w:t>3</w:t>
            </w:r>
            <w:r>
              <w:rPr>
                <w:sz w:val="24"/>
                <w:rtl/>
              </w:rPr>
              <w:fldChar w:fldCharType="end"/>
            </w:r>
          </w:p>
        </w:tc>
        <w:tc>
          <w:tcPr>
            <w:tcW w:w="567" w:type="dxa"/>
          </w:tcPr>
          <w:p w14:paraId="41985C54" w14:textId="77777777" w:rsidR="00F67FCC" w:rsidRDefault="00F67FCC">
            <w:pPr>
              <w:spacing w:line="240" w:lineRule="auto"/>
              <w:rPr>
                <w:sz w:val="24"/>
              </w:rPr>
            </w:pPr>
            <w:hyperlink w:anchor="Seif15" w:tooltip="תחילה" w:history="1">
              <w:r>
                <w:rPr>
                  <w:rStyle w:val="Hyperlink"/>
                </w:rPr>
                <w:t>Go</w:t>
              </w:r>
            </w:hyperlink>
          </w:p>
        </w:tc>
        <w:tc>
          <w:tcPr>
            <w:tcW w:w="5669" w:type="dxa"/>
          </w:tcPr>
          <w:p w14:paraId="0D1AEAAB" w14:textId="77777777" w:rsidR="00F67FCC" w:rsidRDefault="00F67FCC">
            <w:pPr>
              <w:spacing w:line="240" w:lineRule="auto"/>
              <w:rPr>
                <w:sz w:val="24"/>
                <w:rtl/>
              </w:rPr>
            </w:pPr>
            <w:r>
              <w:rPr>
                <w:sz w:val="24"/>
                <w:rtl/>
              </w:rPr>
              <w:t>תחילה</w:t>
            </w:r>
          </w:p>
        </w:tc>
        <w:tc>
          <w:tcPr>
            <w:tcW w:w="1247" w:type="dxa"/>
          </w:tcPr>
          <w:p w14:paraId="5CA96807" w14:textId="77777777" w:rsidR="00F67FCC" w:rsidRDefault="00F67FCC">
            <w:pPr>
              <w:spacing w:line="240" w:lineRule="auto"/>
              <w:rPr>
                <w:sz w:val="24"/>
              </w:rPr>
            </w:pPr>
            <w:r>
              <w:rPr>
                <w:sz w:val="24"/>
                <w:rtl/>
              </w:rPr>
              <w:t xml:space="preserve">סעיף 16 </w:t>
            </w:r>
          </w:p>
        </w:tc>
      </w:tr>
    </w:tbl>
    <w:p w14:paraId="6CCB781A" w14:textId="77777777" w:rsidR="00F67FCC" w:rsidRDefault="00F67FCC">
      <w:pPr>
        <w:pStyle w:val="big-header"/>
        <w:ind w:left="0" w:right="1134"/>
        <w:rPr>
          <w:rFonts w:cs="FrankRuehl"/>
          <w:sz w:val="32"/>
          <w:rtl/>
        </w:rPr>
      </w:pPr>
    </w:p>
    <w:p w14:paraId="54CB8178" w14:textId="77777777" w:rsidR="00F67FCC" w:rsidRDefault="00F67FCC" w:rsidP="00AB4BC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מילווה המדינה (סדרות מסוג "ערד"), תשנ"ה</w:t>
      </w:r>
      <w:r w:rsidR="00AB4BC3">
        <w:rPr>
          <w:rFonts w:cs="FrankRuehl" w:hint="cs"/>
          <w:sz w:val="32"/>
          <w:rtl/>
        </w:rPr>
        <w:t>-</w:t>
      </w:r>
      <w:r>
        <w:rPr>
          <w:rFonts w:cs="FrankRuehl"/>
          <w:sz w:val="32"/>
          <w:rtl/>
        </w:rPr>
        <w:t>1995</w:t>
      </w:r>
      <w:r w:rsidR="00AB4BC3">
        <w:rPr>
          <w:rStyle w:val="a6"/>
          <w:rFonts w:cs="FrankRuehl"/>
          <w:sz w:val="32"/>
          <w:rtl/>
        </w:rPr>
        <w:footnoteReference w:customMarkFollows="1" w:id="1"/>
        <w:t>*</w:t>
      </w:r>
    </w:p>
    <w:p w14:paraId="1E32B488"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12 ו-15 לחוק מילווה המדינה, תשל"ט</w:t>
      </w:r>
      <w:r w:rsidR="00AB4BC3">
        <w:rPr>
          <w:rStyle w:val="default"/>
          <w:rFonts w:cs="FrankRuehl" w:hint="cs"/>
          <w:rtl/>
        </w:rPr>
        <w:t>-</w:t>
      </w:r>
      <w:r>
        <w:rPr>
          <w:rStyle w:val="default"/>
          <w:rFonts w:cs="FrankRuehl"/>
          <w:rtl/>
        </w:rPr>
        <w:t>1979 (</w:t>
      </w:r>
      <w:r>
        <w:rPr>
          <w:rStyle w:val="default"/>
          <w:rFonts w:cs="FrankRuehl" w:hint="cs"/>
          <w:rtl/>
        </w:rPr>
        <w:t xml:space="preserve">להלן </w:t>
      </w:r>
      <w:r w:rsidR="00AB4BC3">
        <w:rPr>
          <w:rStyle w:val="default"/>
          <w:rFonts w:cs="FrankRuehl" w:hint="cs"/>
          <w:rtl/>
        </w:rPr>
        <w:t>-</w:t>
      </w:r>
      <w:r>
        <w:rPr>
          <w:rStyle w:val="default"/>
          <w:rFonts w:cs="FrankRuehl"/>
          <w:rtl/>
        </w:rPr>
        <w:t xml:space="preserve"> </w:t>
      </w:r>
      <w:r>
        <w:rPr>
          <w:rStyle w:val="default"/>
          <w:rFonts w:cs="FrankRuehl" w:hint="cs"/>
          <w:rtl/>
        </w:rPr>
        <w:t>החוק), ולפי סעיף 15 לפקודת מס הכנסה, ובאישור ועדת הכספים של הכנסת, אני מתקין תקנות אלה:</w:t>
      </w:r>
    </w:p>
    <w:p w14:paraId="1A449A61" w14:textId="77777777" w:rsidR="00F67FCC" w:rsidRDefault="00F67FCC">
      <w:pPr>
        <w:pStyle w:val="P00"/>
        <w:spacing w:before="72"/>
        <w:ind w:left="0" w:right="1134"/>
        <w:rPr>
          <w:rStyle w:val="default"/>
          <w:rFonts w:cs="FrankRuehl" w:hint="cs"/>
          <w:rtl/>
        </w:rPr>
      </w:pPr>
      <w:bookmarkStart w:id="0" w:name="Seif0"/>
      <w:bookmarkEnd w:id="0"/>
      <w:r>
        <w:rPr>
          <w:lang w:val="he-IL"/>
        </w:rPr>
        <w:pict w14:anchorId="3F181079">
          <v:rect id="_x0000_s1026" style="position:absolute;left:0;text-align:left;margin-left:464.5pt;margin-top:8.05pt;width:75.05pt;height:12.05pt;z-index:251650048" o:allowincell="f" filled="f" stroked="f" strokecolor="lime" strokeweight=".25pt">
            <v:textbox inset="0,0,0,0">
              <w:txbxContent>
                <w:p w14:paraId="1E44C9BC" w14:textId="77777777" w:rsidR="00F67FCC" w:rsidRDefault="00F67FC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w:t>
      </w:r>
      <w:r>
        <w:rPr>
          <w:rStyle w:val="default"/>
          <w:rFonts w:cs="FrankRuehl"/>
          <w:rtl/>
        </w:rPr>
        <w:t>לה</w:t>
      </w:r>
      <w:r>
        <w:rPr>
          <w:rStyle w:val="default"/>
          <w:rFonts w:cs="FrankRuehl" w:hint="cs"/>
          <w:rtl/>
        </w:rPr>
        <w:t xml:space="preserve"> </w:t>
      </w:r>
      <w:r w:rsidR="00AB4BC3">
        <w:rPr>
          <w:rStyle w:val="default"/>
          <w:rFonts w:cs="FrankRuehl"/>
          <w:rtl/>
        </w:rPr>
        <w:t>–</w:t>
      </w:r>
    </w:p>
    <w:p w14:paraId="54E32DF7"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w:t>
      </w:r>
      <w:r w:rsidR="00AB4BC3">
        <w:rPr>
          <w:rStyle w:val="default"/>
          <w:rFonts w:cs="FrankRuehl" w:hint="cs"/>
          <w:rtl/>
        </w:rPr>
        <w:t>-</w:t>
      </w:r>
      <w:r>
        <w:rPr>
          <w:rStyle w:val="default"/>
          <w:rFonts w:cs="FrankRuehl"/>
          <w:rtl/>
        </w:rPr>
        <w:t xml:space="preserve"> </w:t>
      </w:r>
      <w:r>
        <w:rPr>
          <w:rStyle w:val="default"/>
          <w:rFonts w:cs="FrankRuehl" w:hint="cs"/>
          <w:rtl/>
        </w:rPr>
        <w:t>יום שבו פועלים רוב סניפי התאגידים הבנקאיים ואשר לגביו נוהגים התאגידים הבנקאיים לקיים סליקה של שיקים, חיובים אחרים וזיכויים;</w:t>
      </w:r>
    </w:p>
    <w:p w14:paraId="2A673572"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המחירים לצרכן" או "מדד" </w:t>
      </w:r>
      <w:r w:rsidR="00AB4BC3">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14:paraId="547A32A6"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AB4BC3">
        <w:rPr>
          <w:rStyle w:val="default"/>
          <w:rFonts w:cs="FrankRuehl" w:hint="cs"/>
          <w:rtl/>
        </w:rPr>
        <w:t>-</w:t>
      </w:r>
      <w:r>
        <w:rPr>
          <w:rStyle w:val="default"/>
          <w:rFonts w:cs="FrankRuehl"/>
          <w:rtl/>
        </w:rPr>
        <w:t xml:space="preserve"> </w:t>
      </w:r>
      <w:r>
        <w:rPr>
          <w:rStyle w:val="default"/>
          <w:rFonts w:cs="FrankRuehl" w:hint="cs"/>
          <w:rtl/>
        </w:rPr>
        <w:t>הממונה על שוק הה</w:t>
      </w:r>
      <w:r>
        <w:rPr>
          <w:rStyle w:val="default"/>
          <w:rFonts w:cs="FrankRuehl"/>
          <w:rtl/>
        </w:rPr>
        <w:t>ון</w:t>
      </w:r>
      <w:r>
        <w:rPr>
          <w:rStyle w:val="default"/>
          <w:rFonts w:cs="FrankRuehl" w:hint="cs"/>
          <w:rtl/>
        </w:rPr>
        <w:t>, ביטוח וחסכון במשרד האוצר;</w:t>
      </w:r>
    </w:p>
    <w:p w14:paraId="6EF5FB25"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ופת גמל לקיצבה" </w:t>
      </w:r>
      <w:r w:rsidR="00AB4BC3">
        <w:rPr>
          <w:rStyle w:val="default"/>
          <w:rFonts w:cs="FrankRuehl" w:hint="cs"/>
          <w:rtl/>
        </w:rPr>
        <w:t>-</w:t>
      </w:r>
      <w:r>
        <w:rPr>
          <w:rStyle w:val="default"/>
          <w:rFonts w:cs="FrankRuehl"/>
          <w:rtl/>
        </w:rPr>
        <w:t xml:space="preserve"> </w:t>
      </w:r>
      <w:r>
        <w:rPr>
          <w:rStyle w:val="default"/>
          <w:rFonts w:cs="FrankRuehl" w:hint="cs"/>
          <w:rtl/>
        </w:rPr>
        <w:t>קופת גמל כמשמעו</w:t>
      </w:r>
      <w:r>
        <w:rPr>
          <w:rStyle w:val="default"/>
          <w:rFonts w:cs="FrankRuehl"/>
          <w:rtl/>
        </w:rPr>
        <w:t>ת</w:t>
      </w:r>
      <w:r>
        <w:rPr>
          <w:rStyle w:val="default"/>
          <w:rFonts w:cs="FrankRuehl" w:hint="cs"/>
          <w:rtl/>
        </w:rPr>
        <w:t>ה בסעיף 47 לפקודת מס הכנסה, שאושרה כקופת גמל למטרת קיצבה בתנאים שקבע הממונה;</w:t>
      </w:r>
    </w:p>
    <w:p w14:paraId="6DB0A968"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בנקאי" </w:t>
      </w:r>
      <w:r w:rsidR="00AB4BC3">
        <w:rPr>
          <w:rStyle w:val="default"/>
          <w:rFonts w:cs="FrankRuehl" w:hint="cs"/>
          <w:rtl/>
        </w:rPr>
        <w:t>-</w:t>
      </w:r>
      <w:r>
        <w:rPr>
          <w:rStyle w:val="default"/>
          <w:rFonts w:cs="FrankRuehl"/>
          <w:rtl/>
        </w:rPr>
        <w:t xml:space="preserve"> </w:t>
      </w:r>
      <w:r>
        <w:rPr>
          <w:rStyle w:val="default"/>
          <w:rFonts w:cs="FrankRuehl" w:hint="cs"/>
          <w:rtl/>
        </w:rPr>
        <w:t>כמשמעותו בחוק הבנקאות (רישוי), תשמ"א</w:t>
      </w:r>
      <w:r w:rsidR="00AB4BC3">
        <w:rPr>
          <w:rStyle w:val="default"/>
          <w:rFonts w:cs="FrankRuehl" w:hint="cs"/>
          <w:rtl/>
        </w:rPr>
        <w:t>-</w:t>
      </w:r>
      <w:r>
        <w:rPr>
          <w:rStyle w:val="default"/>
          <w:rFonts w:cs="FrankRuehl"/>
          <w:rtl/>
        </w:rPr>
        <w:t>1981.</w:t>
      </w:r>
    </w:p>
    <w:p w14:paraId="2D5FFB6F" w14:textId="77777777" w:rsidR="00F67FCC" w:rsidRDefault="00F67FCC" w:rsidP="00AB4BC3">
      <w:pPr>
        <w:pStyle w:val="P00"/>
        <w:spacing w:before="72"/>
        <w:ind w:left="0" w:right="1134"/>
        <w:rPr>
          <w:rStyle w:val="default"/>
          <w:rFonts w:cs="FrankRuehl" w:hint="cs"/>
          <w:rtl/>
        </w:rPr>
      </w:pPr>
      <w:bookmarkStart w:id="1" w:name="Seif1"/>
      <w:bookmarkEnd w:id="1"/>
      <w:r>
        <w:rPr>
          <w:lang w:val="he-IL"/>
        </w:rPr>
        <w:pict w14:anchorId="193CD70A">
          <v:rect id="_x0000_s1027" style="position:absolute;left:0;text-align:left;margin-left:464.5pt;margin-top:8.05pt;width:75.05pt;height:28.45pt;z-index:251651072" o:allowincell="f" filled="f" stroked="f" strokecolor="lime" strokeweight=".25pt">
            <v:textbox inset="0,0,0,0">
              <w:txbxContent>
                <w:p w14:paraId="0D0B9709" w14:textId="77777777" w:rsidR="00F67FCC" w:rsidRDefault="00F67FCC" w:rsidP="00AB4BC3">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AB4BC3">
                    <w:rPr>
                      <w:rFonts w:cs="Miriam" w:hint="cs"/>
                      <w:sz w:val="18"/>
                      <w:szCs w:val="18"/>
                      <w:rtl/>
                    </w:rPr>
                    <w:t xml:space="preserve"> </w:t>
                  </w:r>
                  <w:r>
                    <w:rPr>
                      <w:rFonts w:cs="Miriam"/>
                      <w:sz w:val="18"/>
                      <w:szCs w:val="18"/>
                      <w:rtl/>
                    </w:rPr>
                    <w:t>מס</w:t>
                  </w:r>
                  <w:r>
                    <w:rPr>
                      <w:rFonts w:cs="Miriam" w:hint="cs"/>
                      <w:sz w:val="18"/>
                      <w:szCs w:val="18"/>
                      <w:rtl/>
                    </w:rPr>
                    <w:t>וג "ערד"</w:t>
                  </w:r>
                </w:p>
                <w:p w14:paraId="10ADFAEE" w14:textId="77777777" w:rsidR="00F67FCC" w:rsidRDefault="00F67FCC" w:rsidP="00AB4BC3">
                  <w:pPr>
                    <w:spacing w:line="160" w:lineRule="exact"/>
                    <w:jc w:val="left"/>
                    <w:rPr>
                      <w:rFonts w:cs="Miriam"/>
                      <w:noProof/>
                      <w:sz w:val="18"/>
                      <w:szCs w:val="18"/>
                      <w:rtl/>
                    </w:rPr>
                  </w:pPr>
                  <w:r>
                    <w:rPr>
                      <w:rFonts w:cs="Miriam"/>
                      <w:sz w:val="18"/>
                      <w:szCs w:val="18"/>
                      <w:rtl/>
                    </w:rPr>
                    <w:t>ת"</w:t>
                  </w:r>
                  <w:r>
                    <w:rPr>
                      <w:rFonts w:cs="Miriam" w:hint="cs"/>
                      <w:sz w:val="18"/>
                      <w:szCs w:val="18"/>
                      <w:rtl/>
                    </w:rPr>
                    <w:t>ט תשנ"ה</w:t>
                  </w:r>
                  <w:r w:rsidR="00AB4BC3">
                    <w:rPr>
                      <w:rFonts w:cs="Miriam" w:hint="cs"/>
                      <w:sz w:val="18"/>
                      <w:szCs w:val="18"/>
                      <w:rtl/>
                    </w:rPr>
                    <w:t>-</w:t>
                  </w:r>
                  <w:r>
                    <w:rPr>
                      <w:rFonts w:cs="Miriam"/>
                      <w:sz w:val="18"/>
                      <w:szCs w:val="18"/>
                      <w:rtl/>
                    </w:rPr>
                    <w:t>1995</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סדרה של איגרות חוב מסוג "ערד" המוצאת על פי ה</w:t>
      </w:r>
      <w:r>
        <w:rPr>
          <w:rStyle w:val="default"/>
          <w:rFonts w:cs="FrankRuehl"/>
          <w:rtl/>
        </w:rPr>
        <w:t>חו</w:t>
      </w:r>
      <w:r>
        <w:rPr>
          <w:rStyle w:val="default"/>
          <w:rFonts w:cs="FrankRuehl" w:hint="cs"/>
          <w:rtl/>
        </w:rPr>
        <w:t>ק תסומן במספר החל ב-8601, ותכונה "מילווה המדינה, תשל"ט</w:t>
      </w:r>
      <w:r w:rsidR="00AB4BC3">
        <w:rPr>
          <w:rStyle w:val="default"/>
          <w:rFonts w:cs="FrankRuehl" w:hint="cs"/>
          <w:rtl/>
        </w:rPr>
        <w:t>-</w:t>
      </w:r>
      <w:r>
        <w:rPr>
          <w:rStyle w:val="default"/>
          <w:rFonts w:cs="FrankRuehl"/>
          <w:rtl/>
        </w:rPr>
        <w:t xml:space="preserve">1979", </w:t>
      </w:r>
      <w:r>
        <w:rPr>
          <w:rStyle w:val="default"/>
          <w:rFonts w:cs="FrankRuehl" w:hint="cs"/>
          <w:rtl/>
        </w:rPr>
        <w:t>בתוספת ציון מספר הסדרה.</w:t>
      </w:r>
    </w:p>
    <w:p w14:paraId="563DA684" w14:textId="77777777" w:rsidR="00AB4BC3" w:rsidRPr="00AB4BC3" w:rsidRDefault="00AB4BC3" w:rsidP="00AB4BC3">
      <w:pPr>
        <w:pStyle w:val="P00"/>
        <w:spacing w:before="0"/>
        <w:ind w:left="0" w:right="1134"/>
        <w:rPr>
          <w:rStyle w:val="default"/>
          <w:rFonts w:cs="FrankRuehl" w:hint="cs"/>
          <w:vanish/>
          <w:color w:val="FF0000"/>
          <w:sz w:val="20"/>
          <w:szCs w:val="20"/>
          <w:shd w:val="clear" w:color="auto" w:fill="FFFF99"/>
          <w:rtl/>
        </w:rPr>
      </w:pPr>
      <w:bookmarkStart w:id="2" w:name="Rov18"/>
      <w:r w:rsidRPr="00AB4BC3">
        <w:rPr>
          <w:rStyle w:val="default"/>
          <w:rFonts w:cs="FrankRuehl" w:hint="cs"/>
          <w:vanish/>
          <w:color w:val="FF0000"/>
          <w:sz w:val="20"/>
          <w:szCs w:val="20"/>
          <w:shd w:val="clear" w:color="auto" w:fill="FFFF99"/>
          <w:rtl/>
        </w:rPr>
        <w:t>מיום 6.7.1995</w:t>
      </w:r>
    </w:p>
    <w:p w14:paraId="162A03F3" w14:textId="77777777" w:rsidR="00AB4BC3" w:rsidRPr="00AB4BC3" w:rsidRDefault="00AB4BC3" w:rsidP="00AB4BC3">
      <w:pPr>
        <w:pStyle w:val="P00"/>
        <w:spacing w:before="0"/>
        <w:ind w:left="0" w:right="1134"/>
        <w:rPr>
          <w:rStyle w:val="default"/>
          <w:rFonts w:cs="FrankRuehl" w:hint="cs"/>
          <w:vanish/>
          <w:sz w:val="20"/>
          <w:szCs w:val="20"/>
          <w:shd w:val="clear" w:color="auto" w:fill="FFFF99"/>
          <w:rtl/>
        </w:rPr>
      </w:pPr>
      <w:r w:rsidRPr="00AB4BC3">
        <w:rPr>
          <w:rStyle w:val="default"/>
          <w:rFonts w:cs="FrankRuehl" w:hint="cs"/>
          <w:b/>
          <w:bCs/>
          <w:vanish/>
          <w:sz w:val="20"/>
          <w:szCs w:val="20"/>
          <w:shd w:val="clear" w:color="auto" w:fill="FFFF99"/>
          <w:rtl/>
        </w:rPr>
        <w:t>ת"ט תשנ"ה-1995</w:t>
      </w:r>
    </w:p>
    <w:p w14:paraId="64E64DA1" w14:textId="77777777" w:rsidR="00AB4BC3" w:rsidRPr="00AB4BC3" w:rsidRDefault="00AB4BC3" w:rsidP="00AB4BC3">
      <w:pPr>
        <w:pStyle w:val="P00"/>
        <w:spacing w:before="0"/>
        <w:ind w:left="0" w:right="1134"/>
        <w:rPr>
          <w:rStyle w:val="default"/>
          <w:rFonts w:cs="FrankRuehl" w:hint="cs"/>
          <w:vanish/>
          <w:sz w:val="20"/>
          <w:szCs w:val="20"/>
          <w:shd w:val="clear" w:color="auto" w:fill="FFFF99"/>
          <w:rtl/>
        </w:rPr>
      </w:pPr>
      <w:hyperlink r:id="rId6" w:history="1">
        <w:r w:rsidRPr="00AB4BC3">
          <w:rPr>
            <w:rStyle w:val="Hyperlink"/>
            <w:rFonts w:cs="FrankRuehl" w:hint="cs"/>
            <w:vanish/>
            <w:szCs w:val="20"/>
            <w:shd w:val="clear" w:color="auto" w:fill="FFFF99"/>
            <w:rtl/>
          </w:rPr>
          <w:t>ק"ת תשנ"ה מס' 5690</w:t>
        </w:r>
      </w:hyperlink>
      <w:r w:rsidRPr="00AB4BC3">
        <w:rPr>
          <w:rStyle w:val="default"/>
          <w:rFonts w:cs="FrankRuehl" w:hint="cs"/>
          <w:vanish/>
          <w:sz w:val="20"/>
          <w:szCs w:val="20"/>
          <w:shd w:val="clear" w:color="auto" w:fill="FFFF99"/>
          <w:rtl/>
        </w:rPr>
        <w:t xml:space="preserve"> מיום 6.7.1995 עמ' 1620</w:t>
      </w:r>
    </w:p>
    <w:p w14:paraId="723CF6D9" w14:textId="77777777" w:rsidR="00AB4BC3" w:rsidRPr="00AB4BC3" w:rsidRDefault="00AB4BC3" w:rsidP="00AB4BC3">
      <w:pPr>
        <w:pStyle w:val="P00"/>
        <w:ind w:left="0" w:right="1134"/>
        <w:rPr>
          <w:rStyle w:val="default"/>
          <w:rFonts w:cs="FrankRuehl" w:hint="cs"/>
          <w:sz w:val="2"/>
          <w:szCs w:val="2"/>
          <w:rtl/>
        </w:rPr>
      </w:pPr>
      <w:r w:rsidRPr="00AB4BC3">
        <w:rPr>
          <w:rStyle w:val="big-number"/>
          <w:rFonts w:cs="FrankRuehl"/>
          <w:vanish/>
          <w:sz w:val="22"/>
          <w:szCs w:val="22"/>
          <w:shd w:val="clear" w:color="auto" w:fill="FFFF99"/>
          <w:rtl/>
        </w:rPr>
        <w:t>2.</w:t>
      </w:r>
      <w:r w:rsidRPr="00AB4BC3">
        <w:rPr>
          <w:rStyle w:val="big-number"/>
          <w:rFonts w:cs="FrankRuehl"/>
          <w:vanish/>
          <w:sz w:val="22"/>
          <w:szCs w:val="22"/>
          <w:shd w:val="clear" w:color="auto" w:fill="FFFF99"/>
          <w:rtl/>
        </w:rPr>
        <w:tab/>
      </w:r>
      <w:r w:rsidRPr="00AB4BC3">
        <w:rPr>
          <w:rStyle w:val="default"/>
          <w:rFonts w:cs="FrankRuehl"/>
          <w:vanish/>
          <w:sz w:val="22"/>
          <w:szCs w:val="22"/>
          <w:shd w:val="clear" w:color="auto" w:fill="FFFF99"/>
          <w:rtl/>
        </w:rPr>
        <w:t>כל</w:t>
      </w:r>
      <w:r w:rsidRPr="00AB4BC3">
        <w:rPr>
          <w:rStyle w:val="default"/>
          <w:rFonts w:cs="FrankRuehl" w:hint="cs"/>
          <w:vanish/>
          <w:sz w:val="22"/>
          <w:szCs w:val="22"/>
          <w:shd w:val="clear" w:color="auto" w:fill="FFFF99"/>
          <w:rtl/>
        </w:rPr>
        <w:t xml:space="preserve"> סדרה של איגרות חוב מסוג "ערד" המוצאת על פי ה</w:t>
      </w:r>
      <w:r w:rsidRPr="00AB4BC3">
        <w:rPr>
          <w:rStyle w:val="default"/>
          <w:rFonts w:cs="FrankRuehl"/>
          <w:vanish/>
          <w:sz w:val="22"/>
          <w:szCs w:val="22"/>
          <w:shd w:val="clear" w:color="auto" w:fill="FFFF99"/>
          <w:rtl/>
        </w:rPr>
        <w:t>חו</w:t>
      </w:r>
      <w:r w:rsidRPr="00AB4BC3">
        <w:rPr>
          <w:rStyle w:val="default"/>
          <w:rFonts w:cs="FrankRuehl" w:hint="cs"/>
          <w:vanish/>
          <w:sz w:val="22"/>
          <w:szCs w:val="22"/>
          <w:shd w:val="clear" w:color="auto" w:fill="FFFF99"/>
          <w:rtl/>
        </w:rPr>
        <w:t xml:space="preserve">ק תסומן </w:t>
      </w:r>
      <w:r w:rsidRPr="00AB4BC3">
        <w:rPr>
          <w:rStyle w:val="default"/>
          <w:rFonts w:cs="FrankRuehl" w:hint="cs"/>
          <w:strike/>
          <w:vanish/>
          <w:sz w:val="22"/>
          <w:szCs w:val="22"/>
          <w:shd w:val="clear" w:color="auto" w:fill="FFFF99"/>
          <w:rtl/>
        </w:rPr>
        <w:t>במספר החל ב-8061</w:t>
      </w:r>
      <w:r w:rsidRPr="00AB4BC3">
        <w:rPr>
          <w:rStyle w:val="default"/>
          <w:rFonts w:cs="FrankRuehl" w:hint="cs"/>
          <w:vanish/>
          <w:sz w:val="22"/>
          <w:szCs w:val="22"/>
          <w:shd w:val="clear" w:color="auto" w:fill="FFFF99"/>
          <w:rtl/>
        </w:rPr>
        <w:t xml:space="preserve"> </w:t>
      </w:r>
      <w:r w:rsidRPr="00AB4BC3">
        <w:rPr>
          <w:rStyle w:val="default"/>
          <w:rFonts w:cs="FrankRuehl" w:hint="cs"/>
          <w:vanish/>
          <w:sz w:val="22"/>
          <w:szCs w:val="22"/>
          <w:u w:val="single"/>
          <w:shd w:val="clear" w:color="auto" w:fill="FFFF99"/>
          <w:rtl/>
        </w:rPr>
        <w:t>במספר החל ב-8601</w:t>
      </w:r>
      <w:r w:rsidRPr="00AB4BC3">
        <w:rPr>
          <w:rStyle w:val="default"/>
          <w:rFonts w:cs="FrankRuehl" w:hint="cs"/>
          <w:vanish/>
          <w:sz w:val="22"/>
          <w:szCs w:val="22"/>
          <w:shd w:val="clear" w:color="auto" w:fill="FFFF99"/>
          <w:rtl/>
        </w:rPr>
        <w:t>, ותכונה "מילווה המדינה, תשל"ט-</w:t>
      </w:r>
      <w:r w:rsidRPr="00AB4BC3">
        <w:rPr>
          <w:rStyle w:val="default"/>
          <w:rFonts w:cs="FrankRuehl"/>
          <w:vanish/>
          <w:sz w:val="22"/>
          <w:szCs w:val="22"/>
          <w:shd w:val="clear" w:color="auto" w:fill="FFFF99"/>
          <w:rtl/>
        </w:rPr>
        <w:t xml:space="preserve">1979", </w:t>
      </w:r>
      <w:r w:rsidRPr="00AB4BC3">
        <w:rPr>
          <w:rStyle w:val="default"/>
          <w:rFonts w:cs="FrankRuehl" w:hint="cs"/>
          <w:vanish/>
          <w:sz w:val="22"/>
          <w:szCs w:val="22"/>
          <w:shd w:val="clear" w:color="auto" w:fill="FFFF99"/>
          <w:rtl/>
        </w:rPr>
        <w:t>בתוספת ציון מספר הסדרה.</w:t>
      </w:r>
      <w:bookmarkEnd w:id="2"/>
    </w:p>
    <w:p w14:paraId="27D6C91C" w14:textId="77777777" w:rsidR="00F67FCC" w:rsidRDefault="00F67FCC">
      <w:pPr>
        <w:pStyle w:val="P00"/>
        <w:spacing w:before="72"/>
        <w:ind w:left="0" w:right="1134"/>
        <w:rPr>
          <w:rStyle w:val="default"/>
          <w:rFonts w:cs="FrankRuehl"/>
          <w:rtl/>
        </w:rPr>
      </w:pPr>
      <w:bookmarkStart w:id="3" w:name="Seif2"/>
      <w:bookmarkEnd w:id="3"/>
      <w:r>
        <w:rPr>
          <w:lang w:val="he-IL"/>
        </w:rPr>
        <w:pict w14:anchorId="4E124F62">
          <v:rect id="_x0000_s1028" style="position:absolute;left:0;text-align:left;margin-left:464.5pt;margin-top:8.05pt;width:75.05pt;height:16pt;z-index:251652096" o:allowincell="f" filled="f" stroked="f" strokecolor="lime" strokeweight=".25pt">
            <v:textbox inset="0,0,0,0">
              <w:txbxContent>
                <w:p w14:paraId="3B6268D9" w14:textId="77777777" w:rsidR="00F67FCC" w:rsidRDefault="00F67FCC" w:rsidP="00AB4BC3">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AB4BC3">
                    <w:rPr>
                      <w:rFonts w:cs="Miriam" w:hint="cs"/>
                      <w:sz w:val="18"/>
                      <w:szCs w:val="18"/>
                      <w:rtl/>
                    </w:rPr>
                    <w:t xml:space="preserve"> </w:t>
                  </w:r>
                  <w:r>
                    <w:rPr>
                      <w:rFonts w:cs="Miriam"/>
                      <w:sz w:val="18"/>
                      <w:szCs w:val="18"/>
                      <w:rtl/>
                    </w:rPr>
                    <w:t>על</w:t>
                  </w:r>
                  <w:r>
                    <w:rPr>
                      <w:rFonts w:cs="Miriam" w:hint="cs"/>
                      <w:sz w:val="18"/>
                      <w:szCs w:val="18"/>
                      <w:rtl/>
                    </w:rPr>
                    <w:t xml:space="preserve"> שם</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החוב יוצאו כאיגרות חוב רשומות על שם.</w:t>
      </w:r>
    </w:p>
    <w:p w14:paraId="75EE0EC3" w14:textId="77777777" w:rsidR="00F67FCC" w:rsidRDefault="00F67FCC">
      <w:pPr>
        <w:pStyle w:val="P00"/>
        <w:spacing w:before="72"/>
        <w:ind w:left="0" w:right="1134"/>
        <w:rPr>
          <w:rStyle w:val="default"/>
          <w:rFonts w:cs="FrankRuehl"/>
          <w:rtl/>
        </w:rPr>
      </w:pPr>
      <w:bookmarkStart w:id="4" w:name="Seif3"/>
      <w:bookmarkEnd w:id="4"/>
      <w:r>
        <w:rPr>
          <w:lang w:val="he-IL"/>
        </w:rPr>
        <w:pict w14:anchorId="2F7C37A6">
          <v:rect id="_x0000_s1029" style="position:absolute;left:0;text-align:left;margin-left:464.5pt;margin-top:8.05pt;width:75.05pt;height:19.8pt;z-index:251653120" o:allowincell="f" filled="f" stroked="f" strokecolor="lime" strokeweight=".25pt">
            <v:textbox inset="0,0,0,0">
              <w:txbxContent>
                <w:p w14:paraId="16C698F8" w14:textId="77777777" w:rsidR="00F67FCC" w:rsidRDefault="00F67FCC">
                  <w:pPr>
                    <w:spacing w:line="160" w:lineRule="exact"/>
                    <w:jc w:val="left"/>
                    <w:rPr>
                      <w:rFonts w:cs="Miriam"/>
                      <w:noProof/>
                      <w:sz w:val="18"/>
                      <w:szCs w:val="18"/>
                      <w:rtl/>
                    </w:rPr>
                  </w:pPr>
                  <w:r>
                    <w:rPr>
                      <w:rFonts w:cs="Miriam"/>
                      <w:sz w:val="18"/>
                      <w:szCs w:val="18"/>
                      <w:rtl/>
                    </w:rPr>
                    <w:t>מכ</w:t>
                  </w:r>
                  <w:r>
                    <w:rPr>
                      <w:rFonts w:cs="Miriam" w:hint="cs"/>
                      <w:sz w:val="18"/>
                      <w:szCs w:val="18"/>
                      <w:rtl/>
                    </w:rPr>
                    <w:t>ירה לקופות גמל לקיצבה</w:t>
                  </w:r>
                </w:p>
              </w:txbxContent>
            </v:textbox>
            <w10:anchorlock/>
          </v:rect>
        </w:pict>
      </w:r>
      <w:r>
        <w:rPr>
          <w:rStyle w:val="big-number"/>
          <w:rFonts w:cs="Miriam"/>
          <w:rtl/>
        </w:rPr>
        <w:t>4.</w:t>
      </w:r>
      <w:r>
        <w:rPr>
          <w:rStyle w:val="big-number"/>
          <w:rFonts w:cs="Miriam"/>
          <w:rtl/>
        </w:rPr>
        <w:tab/>
      </w:r>
      <w:r>
        <w:rPr>
          <w:rStyle w:val="default"/>
          <w:rFonts w:cs="FrankRuehl"/>
          <w:rtl/>
        </w:rPr>
        <w:t>אי</w:t>
      </w:r>
      <w:r>
        <w:rPr>
          <w:rStyle w:val="default"/>
          <w:rFonts w:cs="FrankRuehl" w:hint="cs"/>
          <w:rtl/>
        </w:rPr>
        <w:t>גרות החוב יימכרו לקופות גמל לקיצבה בלבד, ולא יהיו ניתנות להעברה אלא לקופות גמל לקיצבה.</w:t>
      </w:r>
    </w:p>
    <w:p w14:paraId="48B935A4" w14:textId="77777777" w:rsidR="00F67FCC" w:rsidRDefault="00F67FCC">
      <w:pPr>
        <w:pStyle w:val="P00"/>
        <w:spacing w:before="72"/>
        <w:ind w:left="0" w:right="1134"/>
        <w:rPr>
          <w:rStyle w:val="default"/>
          <w:rFonts w:cs="FrankRuehl"/>
          <w:rtl/>
        </w:rPr>
      </w:pPr>
      <w:bookmarkStart w:id="5" w:name="Seif4"/>
      <w:bookmarkEnd w:id="5"/>
      <w:r>
        <w:rPr>
          <w:lang w:val="he-IL"/>
        </w:rPr>
        <w:pict w14:anchorId="4B6F9500">
          <v:rect id="_x0000_s1030" style="position:absolute;left:0;text-align:left;margin-left:464.5pt;margin-top:8.05pt;width:75.05pt;height:20.5pt;z-index:251654144" o:allowincell="f" filled="f" stroked="f" strokecolor="lime" strokeweight=".25pt">
            <v:textbox inset="0,0,0,0">
              <w:txbxContent>
                <w:p w14:paraId="4B6151A4" w14:textId="77777777" w:rsidR="00F67FCC" w:rsidRDefault="00F67FCC">
                  <w:pPr>
                    <w:spacing w:line="160" w:lineRule="exact"/>
                    <w:jc w:val="left"/>
                    <w:rPr>
                      <w:rFonts w:cs="Miriam"/>
                      <w:noProof/>
                      <w:sz w:val="18"/>
                      <w:szCs w:val="18"/>
                      <w:rtl/>
                    </w:rPr>
                  </w:pPr>
                  <w:r>
                    <w:rPr>
                      <w:rFonts w:cs="Miriam"/>
                      <w:sz w:val="18"/>
                      <w:szCs w:val="18"/>
                      <w:rtl/>
                    </w:rPr>
                    <w:t>יו</w:t>
                  </w:r>
                  <w:r>
                    <w:rPr>
                      <w:rFonts w:cs="Miriam" w:hint="cs"/>
                      <w:sz w:val="18"/>
                      <w:szCs w:val="18"/>
                      <w:rtl/>
                    </w:rPr>
                    <w:t>ם ההוצ</w:t>
                  </w:r>
                  <w:r>
                    <w:rPr>
                      <w:rFonts w:cs="Miriam"/>
                      <w:sz w:val="18"/>
                      <w:szCs w:val="18"/>
                      <w:rtl/>
                    </w:rPr>
                    <w:t>א</w:t>
                  </w:r>
                  <w:r>
                    <w:rPr>
                      <w:rFonts w:cs="Miriam" w:hint="cs"/>
                      <w:sz w:val="18"/>
                      <w:szCs w:val="18"/>
                      <w:rtl/>
                    </w:rPr>
                    <w:t>ה והשווי הנקוב</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 xml:space="preserve">גרות החוב יוצאו ביום </w:t>
      </w:r>
      <w:r>
        <w:rPr>
          <w:rStyle w:val="default"/>
          <w:rFonts w:cs="FrankRuehl"/>
          <w:rtl/>
        </w:rPr>
        <w:t>הע</w:t>
      </w:r>
      <w:r>
        <w:rPr>
          <w:rStyle w:val="default"/>
          <w:rFonts w:cs="FrankRuehl" w:hint="cs"/>
          <w:rtl/>
        </w:rPr>
        <w:t>סקים הראשון בכל חודש, בשווי נקוב של 1,000 שקלים חדשים או כפולה של 1,000 שקלים חדשים.</w:t>
      </w:r>
    </w:p>
    <w:p w14:paraId="044BB683" w14:textId="77777777" w:rsidR="00F67FCC" w:rsidRDefault="00F67FCC">
      <w:pPr>
        <w:pStyle w:val="P00"/>
        <w:spacing w:before="72"/>
        <w:ind w:left="0" w:right="1134"/>
        <w:rPr>
          <w:rStyle w:val="default"/>
          <w:rFonts w:cs="FrankRuehl"/>
          <w:rtl/>
        </w:rPr>
      </w:pPr>
      <w:bookmarkStart w:id="6" w:name="Seif5"/>
      <w:bookmarkEnd w:id="6"/>
      <w:r>
        <w:rPr>
          <w:lang w:val="he-IL"/>
        </w:rPr>
        <w:pict w14:anchorId="12B3F599">
          <v:rect id="_x0000_s1031" style="position:absolute;left:0;text-align:left;margin-left:464.5pt;margin-top:8.05pt;width:75.05pt;height:9.95pt;z-index:251655168" o:allowincell="f" filled="f" stroked="f" strokecolor="lime" strokeweight=".25pt">
            <v:textbox inset="0,0,0,0">
              <w:txbxContent>
                <w:p w14:paraId="7EA5BAB1" w14:textId="77777777" w:rsidR="00F67FCC" w:rsidRDefault="00F67FCC">
                  <w:pPr>
                    <w:spacing w:line="160" w:lineRule="exact"/>
                    <w:jc w:val="left"/>
                    <w:rPr>
                      <w:rFonts w:cs="Miriam"/>
                      <w:noProof/>
                      <w:sz w:val="18"/>
                      <w:szCs w:val="18"/>
                      <w:rtl/>
                    </w:rPr>
                  </w:pPr>
                  <w:r>
                    <w:rPr>
                      <w:rFonts w:cs="Miriam"/>
                      <w:sz w:val="18"/>
                      <w:szCs w:val="18"/>
                      <w:rtl/>
                    </w:rPr>
                    <w:t>מח</w:t>
                  </w:r>
                  <w:r>
                    <w:rPr>
                      <w:rFonts w:cs="Miriam" w:hint="cs"/>
                      <w:sz w:val="18"/>
                      <w:szCs w:val="18"/>
                      <w:rtl/>
                    </w:rPr>
                    <w:t>יר המכירה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יום הוצאת</w:t>
      </w:r>
      <w:r>
        <w:rPr>
          <w:rStyle w:val="default"/>
          <w:rFonts w:cs="FrankRuehl"/>
          <w:rtl/>
        </w:rPr>
        <w:t xml:space="preserve"> א</w:t>
      </w:r>
      <w:r>
        <w:rPr>
          <w:rStyle w:val="default"/>
          <w:rFonts w:cs="FrankRuehl" w:hint="cs"/>
          <w:rtl/>
        </w:rPr>
        <w:t>יגרות החוב יימכרו איגרות החוב בשווי הנקוב; לאחר מכן תיווסף למחיר המכירה ריבית בשיעור ריבית הפיגורים שקובע החשב הכללי במשרד האוצר כפי שתהיה מפעם לפעם, שתחושב יומית כמקובל לגבי ריבית זו, החל מיום ההוצאה ועד יום המכירה בפועל.</w:t>
      </w:r>
    </w:p>
    <w:p w14:paraId="67A58293" w14:textId="77777777" w:rsidR="00F67FCC" w:rsidRDefault="00F67F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או מי שהוא הסמיכו</w:t>
      </w:r>
      <w:r>
        <w:rPr>
          <w:rStyle w:val="default"/>
          <w:rFonts w:cs="FrankRuehl"/>
          <w:rtl/>
        </w:rPr>
        <w:t xml:space="preserve"> ר</w:t>
      </w:r>
      <w:r>
        <w:rPr>
          <w:rStyle w:val="default"/>
          <w:rFonts w:cs="FrankRuehl" w:hint="cs"/>
          <w:rtl/>
        </w:rPr>
        <w:t>שאי לקבוע לגבי סדרות של איגרות חוב כי יימכרו בנכיון שלא יעלה על 2% מהערך הנקוב של איגרת החוב.</w:t>
      </w:r>
    </w:p>
    <w:p w14:paraId="538F2A14" w14:textId="77777777" w:rsidR="00F67FCC" w:rsidRDefault="00F67FC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האוצר יהיה רשאי לקבוע, כי איגרות חוב יימכרו לקופות גמל לקיצבה או למי מהן בנכיון העולה על 2% </w:t>
      </w:r>
      <w:r>
        <w:rPr>
          <w:rStyle w:val="default"/>
          <w:rFonts w:cs="FrankRuehl"/>
          <w:rtl/>
        </w:rPr>
        <w:t>ו</w:t>
      </w:r>
      <w:r>
        <w:rPr>
          <w:rStyle w:val="default"/>
          <w:rFonts w:cs="FrankRuehl" w:hint="cs"/>
          <w:rtl/>
        </w:rPr>
        <w:t>שלא יעלה על 6% מהערך הנקוב של איגרת החוב, אם ראה לעשות כן כ</w:t>
      </w:r>
      <w:r>
        <w:rPr>
          <w:rStyle w:val="default"/>
          <w:rFonts w:cs="FrankRuehl"/>
          <w:rtl/>
        </w:rPr>
        <w:t>די</w:t>
      </w:r>
      <w:r>
        <w:rPr>
          <w:rStyle w:val="default"/>
          <w:rFonts w:cs="FrankRuehl" w:hint="cs"/>
          <w:rtl/>
        </w:rPr>
        <w:t xml:space="preserve"> לפצותן בשל שיעור התשואה על איגרות חוב סחירות, צמודות למדד, המוצאות לפי החוק.</w:t>
      </w:r>
    </w:p>
    <w:p w14:paraId="364E1197" w14:textId="77777777" w:rsidR="00F67FCC" w:rsidRDefault="00F67FCC" w:rsidP="00AB4B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תקנה זו, "נכיון" (דיסאג'יו) </w:t>
      </w:r>
      <w:r w:rsidR="00AB4BC3">
        <w:rPr>
          <w:rStyle w:val="default"/>
          <w:rFonts w:cs="FrankRuehl" w:hint="cs"/>
          <w:rtl/>
        </w:rPr>
        <w:t>-</w:t>
      </w:r>
      <w:r>
        <w:rPr>
          <w:rStyle w:val="default"/>
          <w:rFonts w:cs="FrankRuehl"/>
          <w:rtl/>
        </w:rPr>
        <w:t xml:space="preserve"> </w:t>
      </w:r>
      <w:r>
        <w:rPr>
          <w:rStyle w:val="default"/>
          <w:rFonts w:cs="FrankRuehl" w:hint="cs"/>
          <w:rtl/>
        </w:rPr>
        <w:t>ההפרש בין הערך הנקוב של איגרת החוב ובין מחירה בעת ההוצאה, אם המחיר נמוך מהערך הנ</w:t>
      </w:r>
      <w:r>
        <w:rPr>
          <w:rStyle w:val="default"/>
          <w:rFonts w:cs="FrankRuehl"/>
          <w:rtl/>
        </w:rPr>
        <w:t>ק</w:t>
      </w:r>
      <w:r>
        <w:rPr>
          <w:rStyle w:val="default"/>
          <w:rFonts w:cs="FrankRuehl" w:hint="cs"/>
          <w:rtl/>
        </w:rPr>
        <w:t>וב.</w:t>
      </w:r>
    </w:p>
    <w:p w14:paraId="6C059CE7" w14:textId="77777777" w:rsidR="00F67FCC" w:rsidRDefault="00F67FCC">
      <w:pPr>
        <w:pStyle w:val="P00"/>
        <w:spacing w:before="72"/>
        <w:ind w:left="0" w:right="1134"/>
        <w:rPr>
          <w:rStyle w:val="default"/>
          <w:rFonts w:cs="FrankRuehl"/>
          <w:rtl/>
        </w:rPr>
      </w:pPr>
      <w:bookmarkStart w:id="7" w:name="Seif6"/>
      <w:bookmarkEnd w:id="7"/>
      <w:r>
        <w:rPr>
          <w:lang w:val="he-IL"/>
        </w:rPr>
        <w:pict w14:anchorId="1CE1A4D5">
          <v:rect id="_x0000_s1032" style="position:absolute;left:0;text-align:left;margin-left:464.5pt;margin-top:8.05pt;width:75.05pt;height:11.05pt;z-index:251656192" o:allowincell="f" filled="f" stroked="f" strokecolor="lime" strokeweight=".25pt">
            <v:textbox inset="0,0,0,0">
              <w:txbxContent>
                <w:p w14:paraId="67C253BF" w14:textId="77777777" w:rsidR="00F67FCC" w:rsidRDefault="00F67FCC">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w:t>
                  </w:r>
                </w:p>
              </w:txbxContent>
            </v:textbox>
            <w10:anchorlock/>
          </v:rect>
        </w:pict>
      </w:r>
      <w:r>
        <w:rPr>
          <w:rStyle w:val="big-number"/>
          <w:rFonts w:cs="Miriam"/>
          <w:rtl/>
        </w:rPr>
        <w:t>7.</w:t>
      </w:r>
      <w:r>
        <w:rPr>
          <w:rStyle w:val="big-number"/>
          <w:rFonts w:cs="Miriam"/>
          <w:rtl/>
        </w:rPr>
        <w:tab/>
      </w:r>
      <w:r>
        <w:rPr>
          <w:rStyle w:val="default"/>
          <w:rFonts w:cs="FrankRuehl"/>
          <w:rtl/>
        </w:rPr>
        <w:t>אי</w:t>
      </w:r>
      <w:r>
        <w:rPr>
          <w:rStyle w:val="default"/>
          <w:rFonts w:cs="FrankRuehl" w:hint="cs"/>
          <w:rtl/>
        </w:rPr>
        <w:t>גרות החוב שיירכשו יירשמו בפנקס, והן לא יוצאו לרוכ</w:t>
      </w:r>
      <w:r>
        <w:rPr>
          <w:rStyle w:val="default"/>
          <w:rFonts w:cs="FrankRuehl"/>
          <w:rtl/>
        </w:rPr>
        <w:t>ש.</w:t>
      </w:r>
    </w:p>
    <w:p w14:paraId="2E613BF6" w14:textId="77777777" w:rsidR="00F67FCC" w:rsidRDefault="00F67FCC">
      <w:pPr>
        <w:pStyle w:val="P00"/>
        <w:spacing w:before="72"/>
        <w:ind w:left="0" w:right="1134"/>
        <w:rPr>
          <w:rStyle w:val="default"/>
          <w:rFonts w:cs="FrankRuehl"/>
          <w:rtl/>
        </w:rPr>
      </w:pPr>
      <w:bookmarkStart w:id="8" w:name="Seif7"/>
      <w:bookmarkEnd w:id="8"/>
      <w:r>
        <w:rPr>
          <w:lang w:val="he-IL"/>
        </w:rPr>
        <w:pict w14:anchorId="177D4657">
          <v:rect id="_x0000_s1033" style="position:absolute;left:0;text-align:left;margin-left:464.5pt;margin-top:8.05pt;width:75.05pt;height:13.55pt;z-index:251657216" o:allowincell="f" filled="f" stroked="f" strokecolor="lime" strokeweight=".25pt">
            <v:textbox inset="0,0,0,0">
              <w:txbxContent>
                <w:p w14:paraId="7DCE390A" w14:textId="77777777" w:rsidR="00F67FCC" w:rsidRDefault="00F67FCC">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ישאו ריבית קבועה בשיעור של 4.8% לשנה.</w:t>
      </w:r>
    </w:p>
    <w:p w14:paraId="63461186" w14:textId="77777777" w:rsidR="00F67FCC" w:rsidRDefault="00F67FC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ריבית תשולם בשיעורים חצי-שנתיים, בעד תקופה של ששה חודשים שקדמה למועד התשלום; התשלום הראשון יחול ששה חודשים </w:t>
      </w:r>
      <w:r>
        <w:rPr>
          <w:rStyle w:val="default"/>
          <w:rFonts w:cs="FrankRuehl"/>
          <w:rtl/>
        </w:rPr>
        <w:t>מ</w:t>
      </w:r>
      <w:r>
        <w:rPr>
          <w:rStyle w:val="default"/>
          <w:rFonts w:cs="FrankRuehl" w:hint="cs"/>
          <w:rtl/>
        </w:rPr>
        <w:t>יום הוצאת הסדרה של איגרות החוב.</w:t>
      </w:r>
    </w:p>
    <w:p w14:paraId="121B349F" w14:textId="77777777" w:rsidR="00F67FCC" w:rsidRDefault="00F67FCC" w:rsidP="00AB4BC3">
      <w:pPr>
        <w:pStyle w:val="P00"/>
        <w:spacing w:before="72"/>
        <w:ind w:left="0" w:right="1134"/>
        <w:rPr>
          <w:rStyle w:val="default"/>
          <w:rFonts w:cs="FrankRuehl"/>
          <w:rtl/>
        </w:rPr>
      </w:pPr>
      <w:bookmarkStart w:id="9" w:name="Seif8"/>
      <w:bookmarkEnd w:id="9"/>
      <w:r>
        <w:rPr>
          <w:lang w:val="he-IL"/>
        </w:rPr>
        <w:pict w14:anchorId="3C002B9B">
          <v:rect id="_x0000_s1034" style="position:absolute;left:0;text-align:left;margin-left:464.5pt;margin-top:8.05pt;width:75.05pt;height:14.4pt;z-index:251658240" o:allowincell="f" filled="f" stroked="f" strokecolor="lime" strokeweight=".25pt">
            <v:textbox inset="0,0,0,0">
              <w:txbxContent>
                <w:p w14:paraId="23E62BF1" w14:textId="77777777" w:rsidR="00F67FCC" w:rsidRDefault="00F67FCC">
                  <w:pPr>
                    <w:spacing w:line="160" w:lineRule="exact"/>
                    <w:jc w:val="left"/>
                    <w:rPr>
                      <w:rFonts w:cs="Miriam"/>
                      <w:noProof/>
                      <w:sz w:val="18"/>
                      <w:szCs w:val="18"/>
                      <w:rtl/>
                    </w:rPr>
                  </w:pPr>
                  <w:r>
                    <w:rPr>
                      <w:rFonts w:cs="Miriam"/>
                      <w:sz w:val="18"/>
                      <w:szCs w:val="18"/>
                      <w:rtl/>
                    </w:rPr>
                    <w:t>תנ</w:t>
                  </w:r>
                  <w:r>
                    <w:rPr>
                      <w:rFonts w:cs="Miriam" w:hint="cs"/>
                      <w:sz w:val="18"/>
                      <w:szCs w:val="18"/>
                      <w:rtl/>
                    </w:rPr>
                    <w:t>אי הצמדה</w:t>
                  </w:r>
                </w:p>
              </w:txbxContent>
            </v:textbox>
            <w10:anchorlock/>
          </v:rect>
        </w:pict>
      </w:r>
      <w:r>
        <w:rPr>
          <w:rStyle w:val="big-number"/>
          <w:rFonts w:cs="Miriam"/>
          <w:rtl/>
        </w:rPr>
        <w:t>9.</w:t>
      </w:r>
      <w:r>
        <w:rPr>
          <w:rStyle w:val="big-number"/>
          <w:rFonts w:cs="Miriam"/>
          <w:rtl/>
        </w:rPr>
        <w:tab/>
      </w:r>
      <w:r>
        <w:rPr>
          <w:rStyle w:val="default"/>
          <w:rFonts w:cs="FrankRuehl"/>
          <w:rtl/>
        </w:rPr>
        <w:t>הש</w:t>
      </w:r>
      <w:r>
        <w:rPr>
          <w:rStyle w:val="default"/>
          <w:rFonts w:cs="FrankRuehl" w:hint="cs"/>
          <w:rtl/>
        </w:rPr>
        <w:t>ווי הנקוב של איגרת חוב והריבית המשתלמת עליה</w:t>
      </w:r>
      <w:r>
        <w:rPr>
          <w:rStyle w:val="default"/>
          <w:rFonts w:cs="FrankRuehl"/>
          <w:rtl/>
        </w:rPr>
        <w:t xml:space="preserve"> י</w:t>
      </w:r>
      <w:r>
        <w:rPr>
          <w:rStyle w:val="default"/>
          <w:rFonts w:cs="FrankRuehl" w:hint="cs"/>
          <w:rtl/>
        </w:rPr>
        <w:t xml:space="preserve">היו צמודים למדד המחירים לצרכן כלהלן: אם יתברר מתוך המדד שפורסם לאחרונה לפני הגיע זמן פרעונן של קרן או של ריבית כלשהן (להלן </w:t>
      </w:r>
      <w:r w:rsidR="00AB4BC3">
        <w:rPr>
          <w:rStyle w:val="default"/>
          <w:rFonts w:cs="FrankRuehl" w:hint="cs"/>
          <w:rtl/>
        </w:rPr>
        <w:t>-</w:t>
      </w:r>
      <w:r>
        <w:rPr>
          <w:rStyle w:val="default"/>
          <w:rFonts w:cs="FrankRuehl"/>
          <w:rtl/>
        </w:rPr>
        <w:t xml:space="preserve"> </w:t>
      </w:r>
      <w:r>
        <w:rPr>
          <w:rStyle w:val="default"/>
          <w:rFonts w:cs="FrankRuehl" w:hint="cs"/>
          <w:rtl/>
        </w:rPr>
        <w:t xml:space="preserve">המדד החדש), כי המדד החדש עלה לעומת המדד שפורסם לאחרונה לפני היום שבו הוצאה הסדרה (להלן </w:t>
      </w:r>
      <w:r w:rsidR="00AB4BC3">
        <w:rPr>
          <w:rStyle w:val="default"/>
          <w:rFonts w:cs="FrankRuehl" w:hint="cs"/>
          <w:rtl/>
        </w:rPr>
        <w:t>-</w:t>
      </w:r>
      <w:r>
        <w:rPr>
          <w:rStyle w:val="default"/>
          <w:rFonts w:cs="FrankRuehl"/>
          <w:rtl/>
        </w:rPr>
        <w:t xml:space="preserve"> </w:t>
      </w:r>
      <w:r>
        <w:rPr>
          <w:rStyle w:val="default"/>
          <w:rFonts w:cs="FrankRuehl" w:hint="cs"/>
          <w:rtl/>
        </w:rPr>
        <w:t>המדד היסודי), ישולמו אותה קרן או אותה ר</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ת כשהן מוגדלות בשיעור העליה של המדד החדש לעומת המדד היסודי.</w:t>
      </w:r>
    </w:p>
    <w:p w14:paraId="38BE83AA" w14:textId="77777777" w:rsidR="00F67FCC" w:rsidRDefault="00F67FCC">
      <w:pPr>
        <w:pStyle w:val="P00"/>
        <w:spacing w:before="72"/>
        <w:ind w:left="0" w:right="1134"/>
        <w:rPr>
          <w:rStyle w:val="default"/>
          <w:rFonts w:cs="FrankRuehl"/>
          <w:rtl/>
        </w:rPr>
      </w:pPr>
      <w:bookmarkStart w:id="10" w:name="Seif9"/>
      <w:bookmarkEnd w:id="10"/>
      <w:r>
        <w:rPr>
          <w:lang w:val="he-IL"/>
        </w:rPr>
        <w:lastRenderedPageBreak/>
        <w:pict w14:anchorId="6D95B565">
          <v:rect id="_x0000_s1035" style="position:absolute;left:0;text-align:left;margin-left:464.5pt;margin-top:8.05pt;width:75.05pt;height:11.45pt;z-index:251659264" o:allowincell="f" filled="f" stroked="f" strokecolor="lime" strokeweight=".25pt">
            <v:textbox inset="0,0,0,0">
              <w:txbxContent>
                <w:p w14:paraId="71965C8D" w14:textId="77777777" w:rsidR="00F67FCC" w:rsidRDefault="00F67FCC">
                  <w:pPr>
                    <w:spacing w:line="160" w:lineRule="exact"/>
                    <w:jc w:val="left"/>
                    <w:rPr>
                      <w:rFonts w:cs="Miriam"/>
                      <w:noProof/>
                      <w:sz w:val="18"/>
                      <w:szCs w:val="18"/>
                      <w:rtl/>
                    </w:rPr>
                  </w:pPr>
                  <w:r>
                    <w:rPr>
                      <w:rFonts w:cs="Miriam"/>
                      <w:sz w:val="18"/>
                      <w:szCs w:val="18"/>
                      <w:rtl/>
                    </w:rPr>
                    <w:t>תש</w:t>
                  </w:r>
                  <w:r>
                    <w:rPr>
                      <w:rFonts w:cs="Miriam" w:hint="cs"/>
                      <w:sz w:val="18"/>
                      <w:szCs w:val="18"/>
                      <w:rtl/>
                    </w:rPr>
                    <w:t>לום הריבית</w:t>
                  </w:r>
                </w:p>
              </w:txbxContent>
            </v:textbox>
            <w10:anchorlock/>
          </v:rect>
        </w:pict>
      </w:r>
      <w:r>
        <w:rPr>
          <w:rStyle w:val="big-number"/>
          <w:rFonts w:cs="Miriam"/>
          <w:rtl/>
        </w:rPr>
        <w:t>10.</w:t>
      </w:r>
      <w:r>
        <w:rPr>
          <w:rStyle w:val="big-number"/>
          <w:rFonts w:cs="Miriam"/>
          <w:rtl/>
        </w:rPr>
        <w:tab/>
      </w:r>
      <w:r>
        <w:rPr>
          <w:rStyle w:val="default"/>
          <w:rFonts w:cs="FrankRuehl"/>
          <w:rtl/>
        </w:rPr>
        <w:t>סכ</w:t>
      </w:r>
      <w:r>
        <w:rPr>
          <w:rStyle w:val="default"/>
          <w:rFonts w:cs="FrankRuehl" w:hint="cs"/>
          <w:rtl/>
        </w:rPr>
        <w:t>ום הריבית על איגרות החוב, כפי שישתנה עקב תנאי ההצמדה, ישולם לבעל איגרת החוב ע</w:t>
      </w:r>
      <w:r>
        <w:rPr>
          <w:rStyle w:val="default"/>
          <w:rFonts w:cs="FrankRuehl"/>
          <w:rtl/>
        </w:rPr>
        <w:t>ל</w:t>
      </w:r>
      <w:r>
        <w:rPr>
          <w:rStyle w:val="default"/>
          <w:rFonts w:cs="FrankRuehl" w:hint="cs"/>
          <w:rtl/>
        </w:rPr>
        <w:t xml:space="preserve"> ידי זיכוי חשבונו בבנק כפי שהורה בעת רכישת האיגרת או כפי שהורה עד מועד שלא יהיה מאוחר מ-15 ימים לפני מועד תשל</w:t>
      </w:r>
      <w:r>
        <w:rPr>
          <w:rStyle w:val="default"/>
          <w:rFonts w:cs="FrankRuehl"/>
          <w:rtl/>
        </w:rPr>
        <w:t>ום</w:t>
      </w:r>
      <w:r>
        <w:rPr>
          <w:rStyle w:val="default"/>
          <w:rFonts w:cs="FrankRuehl" w:hint="cs"/>
          <w:rtl/>
        </w:rPr>
        <w:t xml:space="preserve"> ריבית כלשהו.</w:t>
      </w:r>
    </w:p>
    <w:p w14:paraId="7FCDEAAB" w14:textId="77777777" w:rsidR="00F67FCC" w:rsidRDefault="00F67FCC">
      <w:pPr>
        <w:pStyle w:val="P00"/>
        <w:spacing w:before="72"/>
        <w:ind w:left="0" w:right="1134"/>
        <w:rPr>
          <w:rStyle w:val="default"/>
          <w:rFonts w:cs="FrankRuehl"/>
          <w:rtl/>
        </w:rPr>
      </w:pPr>
      <w:bookmarkStart w:id="11" w:name="Seif10"/>
      <w:bookmarkEnd w:id="11"/>
      <w:r>
        <w:rPr>
          <w:lang w:val="he-IL"/>
        </w:rPr>
        <w:pict w14:anchorId="235CC699">
          <v:rect id="_x0000_s1036" style="position:absolute;left:0;text-align:left;margin-left:464.5pt;margin-top:8.05pt;width:75.05pt;height:10.3pt;z-index:251660288" o:allowincell="f" filled="f" stroked="f" strokecolor="lime" strokeweight=".25pt">
            <v:textbox inset="0,0,0,0">
              <w:txbxContent>
                <w:p w14:paraId="5AE231AC" w14:textId="77777777" w:rsidR="00F67FCC" w:rsidRDefault="00F67FCC">
                  <w:pPr>
                    <w:spacing w:line="160" w:lineRule="exact"/>
                    <w:jc w:val="left"/>
                    <w:rPr>
                      <w:rFonts w:cs="Miriam"/>
                      <w:noProof/>
                      <w:sz w:val="18"/>
                      <w:szCs w:val="18"/>
                      <w:rtl/>
                    </w:rPr>
                  </w:pPr>
                  <w:r>
                    <w:rPr>
                      <w:rFonts w:cs="Miriam"/>
                      <w:sz w:val="18"/>
                      <w:szCs w:val="18"/>
                      <w:rtl/>
                    </w:rPr>
                    <w:t>פד</w:t>
                  </w:r>
                  <w:r>
                    <w:rPr>
                      <w:rFonts w:cs="Miriam" w:hint="cs"/>
                      <w:sz w:val="18"/>
                      <w:szCs w:val="18"/>
                      <w:rtl/>
                    </w:rPr>
                    <w:t>יון</w:t>
                  </w:r>
                </w:p>
              </w:txbxContent>
            </v:textbox>
            <w10:anchorlock/>
          </v:rect>
        </w:pict>
      </w:r>
      <w:r>
        <w:rPr>
          <w:rStyle w:val="big-number"/>
          <w:rFonts w:cs="Miriam"/>
          <w:rtl/>
        </w:rPr>
        <w:t>11.</w:t>
      </w:r>
      <w:r>
        <w:rPr>
          <w:rStyle w:val="big-number"/>
          <w:rFonts w:cs="Miriam"/>
          <w:rtl/>
        </w:rPr>
        <w:tab/>
      </w:r>
      <w:r>
        <w:rPr>
          <w:rStyle w:val="default"/>
          <w:rFonts w:cs="FrankRuehl"/>
          <w:rtl/>
        </w:rPr>
        <w:t>אי</w:t>
      </w:r>
      <w:r>
        <w:rPr>
          <w:rStyle w:val="default"/>
          <w:rFonts w:cs="FrankRuehl" w:hint="cs"/>
          <w:rtl/>
        </w:rPr>
        <w:t>גרות החוב ייפדו במלואן בתום חמש עשרה שנים מיום הוצאת הסדרה; מהמועד שנקבע לפדיונן ואילך לא ישאו איגרות החוב ריבית או</w:t>
      </w:r>
      <w:r>
        <w:rPr>
          <w:rStyle w:val="default"/>
          <w:rFonts w:cs="FrankRuehl"/>
          <w:rtl/>
        </w:rPr>
        <w:t xml:space="preserve"> </w:t>
      </w:r>
      <w:r>
        <w:rPr>
          <w:rStyle w:val="default"/>
          <w:rFonts w:cs="FrankRuehl" w:hint="cs"/>
          <w:rtl/>
        </w:rPr>
        <w:t>הפרשי הצמדה.</w:t>
      </w:r>
    </w:p>
    <w:p w14:paraId="19B0A121" w14:textId="77777777" w:rsidR="00F67FCC" w:rsidRDefault="00F67FCC">
      <w:pPr>
        <w:pStyle w:val="P00"/>
        <w:spacing w:before="72"/>
        <w:ind w:left="0" w:right="1134"/>
        <w:rPr>
          <w:rStyle w:val="default"/>
          <w:rFonts w:cs="FrankRuehl"/>
          <w:rtl/>
        </w:rPr>
      </w:pPr>
      <w:bookmarkStart w:id="12" w:name="Seif11"/>
      <w:bookmarkEnd w:id="12"/>
      <w:r>
        <w:rPr>
          <w:lang w:val="he-IL"/>
        </w:rPr>
        <w:pict w14:anchorId="393BAC6E">
          <v:rect id="_x0000_s1037" style="position:absolute;left:0;text-align:left;margin-left:464.5pt;margin-top:8.05pt;width:75.05pt;height:11pt;z-index:251661312" o:allowincell="f" filled="f" stroked="f" strokecolor="lime" strokeweight=".25pt">
            <v:textbox inset="0,0,0,0">
              <w:txbxContent>
                <w:p w14:paraId="1FE59574" w14:textId="77777777" w:rsidR="00F67FCC" w:rsidRDefault="00F67FCC">
                  <w:pPr>
                    <w:spacing w:line="160" w:lineRule="exact"/>
                    <w:jc w:val="left"/>
                    <w:rPr>
                      <w:rFonts w:cs="Miriam"/>
                      <w:noProof/>
                      <w:sz w:val="18"/>
                      <w:szCs w:val="18"/>
                      <w:rtl/>
                    </w:rPr>
                  </w:pPr>
                  <w:r>
                    <w:rPr>
                      <w:rFonts w:cs="Miriam"/>
                      <w:sz w:val="18"/>
                      <w:szCs w:val="18"/>
                      <w:rtl/>
                    </w:rPr>
                    <w:t>דר</w:t>
                  </w:r>
                  <w:r>
                    <w:rPr>
                      <w:rFonts w:cs="Miriam" w:hint="cs"/>
                      <w:sz w:val="18"/>
                      <w:szCs w:val="18"/>
                      <w:rtl/>
                    </w:rPr>
                    <w:t xml:space="preserve">כי </w:t>
                  </w:r>
                  <w:r>
                    <w:rPr>
                      <w:rFonts w:cs="Miriam"/>
                      <w:sz w:val="18"/>
                      <w:szCs w:val="18"/>
                      <w:rtl/>
                    </w:rPr>
                    <w:t>תש</w:t>
                  </w:r>
                  <w:r>
                    <w:rPr>
                      <w:rFonts w:cs="Miriam" w:hint="cs"/>
                      <w:sz w:val="18"/>
                      <w:szCs w:val="18"/>
                      <w:rtl/>
                    </w:rPr>
                    <w:t>לום</w:t>
                  </w:r>
                </w:p>
              </w:txbxContent>
            </v:textbox>
            <w10:anchorlock/>
          </v:rect>
        </w:pict>
      </w:r>
      <w:r>
        <w:rPr>
          <w:rStyle w:val="big-number"/>
          <w:rFonts w:cs="Miriam"/>
          <w:rtl/>
        </w:rPr>
        <w:t>12.</w:t>
      </w:r>
      <w:r>
        <w:rPr>
          <w:rStyle w:val="big-number"/>
          <w:rFonts w:cs="Miriam"/>
          <w:rtl/>
        </w:rPr>
        <w:tab/>
      </w:r>
      <w:r>
        <w:rPr>
          <w:rStyle w:val="default"/>
          <w:rFonts w:cs="FrankRuehl"/>
          <w:rtl/>
        </w:rPr>
        <w:t>סכ</w:t>
      </w:r>
      <w:r>
        <w:rPr>
          <w:rStyle w:val="default"/>
          <w:rFonts w:cs="FrankRuehl" w:hint="cs"/>
          <w:rtl/>
        </w:rPr>
        <w:t>ום הפדיון של איגרת החוב ישולם לבעל הרשום בדרך האמורה בתקנה 10.</w:t>
      </w:r>
    </w:p>
    <w:p w14:paraId="28221DF8" w14:textId="77777777" w:rsidR="00F67FCC" w:rsidRDefault="00F67FCC">
      <w:pPr>
        <w:pStyle w:val="P00"/>
        <w:spacing w:before="72"/>
        <w:ind w:left="0" w:right="1134"/>
        <w:rPr>
          <w:rStyle w:val="default"/>
          <w:rFonts w:cs="FrankRuehl"/>
          <w:rtl/>
        </w:rPr>
      </w:pPr>
      <w:bookmarkStart w:id="13" w:name="Seif12"/>
      <w:bookmarkEnd w:id="13"/>
      <w:r>
        <w:rPr>
          <w:lang w:val="he-IL"/>
        </w:rPr>
        <w:pict w14:anchorId="4152D16D">
          <v:rect id="_x0000_s1038" style="position:absolute;left:0;text-align:left;margin-left:464.5pt;margin-top:8.05pt;width:75.05pt;height:13.45pt;z-index:251662336" o:allowincell="f" filled="f" stroked="f" strokecolor="lime" strokeweight=".25pt">
            <v:textbox inset="0,0,0,0">
              <w:txbxContent>
                <w:p w14:paraId="211FC0D3" w14:textId="77777777" w:rsidR="00F67FCC" w:rsidRDefault="00F67FCC">
                  <w:pPr>
                    <w:spacing w:line="160" w:lineRule="exact"/>
                    <w:jc w:val="left"/>
                    <w:rPr>
                      <w:rFonts w:cs="Miriam"/>
                      <w:noProof/>
                      <w:sz w:val="18"/>
                      <w:szCs w:val="18"/>
                      <w:rtl/>
                    </w:rPr>
                  </w:pPr>
                  <w:r>
                    <w:rPr>
                      <w:rFonts w:cs="Miriam"/>
                      <w:sz w:val="18"/>
                      <w:szCs w:val="18"/>
                      <w:rtl/>
                    </w:rPr>
                    <w:t>סג</w:t>
                  </w:r>
                  <w:r>
                    <w:rPr>
                      <w:rFonts w:cs="Miriam" w:hint="cs"/>
                      <w:sz w:val="18"/>
                      <w:szCs w:val="18"/>
                      <w:rtl/>
                    </w:rPr>
                    <w:t>ירת הפנקס</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י</w:t>
      </w:r>
      <w:r>
        <w:rPr>
          <w:rStyle w:val="default"/>
          <w:rFonts w:cs="FrankRuehl"/>
          <w:rtl/>
        </w:rPr>
        <w:t>נה</w:t>
      </w:r>
      <w:r>
        <w:rPr>
          <w:rStyle w:val="default"/>
          <w:rFonts w:cs="FrankRuehl" w:hint="cs"/>
          <w:rtl/>
        </w:rPr>
        <w:t>לה רשאית לסגור את פנקס איגרות החוב 15 ימים לפני מועד הפרעון של כל סכום קרן או ריבית ולא לרשום בו כל העברת איגרות חוב.</w:t>
      </w:r>
    </w:p>
    <w:p w14:paraId="3FE488AA" w14:textId="77777777" w:rsidR="00F67FCC" w:rsidRDefault="00F67FCC">
      <w:pPr>
        <w:pStyle w:val="P00"/>
        <w:spacing w:before="72"/>
        <w:ind w:left="0" w:right="1134"/>
        <w:rPr>
          <w:rStyle w:val="default"/>
          <w:rFonts w:cs="FrankRuehl"/>
          <w:rtl/>
        </w:rPr>
      </w:pPr>
      <w:bookmarkStart w:id="14" w:name="Seif13"/>
      <w:bookmarkEnd w:id="14"/>
      <w:r>
        <w:rPr>
          <w:lang w:val="he-IL"/>
        </w:rPr>
        <w:pict w14:anchorId="213917CB">
          <v:rect id="_x0000_s1039" style="position:absolute;left:0;text-align:left;margin-left:464.5pt;margin-top:8.05pt;width:75.05pt;height:8.55pt;z-index:251663360" o:allowincell="f" filled="f" stroked="f" strokecolor="lime" strokeweight=".25pt">
            <v:textbox inset="0,0,0,0">
              <w:txbxContent>
                <w:p w14:paraId="419DA6CE" w14:textId="77777777" w:rsidR="00F67FCC" w:rsidRDefault="00F67FCC" w:rsidP="00AB4BC3">
                  <w:pPr>
                    <w:spacing w:line="160" w:lineRule="exact"/>
                    <w:jc w:val="left"/>
                    <w:rPr>
                      <w:rFonts w:cs="Miriam"/>
                      <w:noProof/>
                      <w:sz w:val="18"/>
                      <w:szCs w:val="18"/>
                      <w:rtl/>
                    </w:rPr>
                  </w:pPr>
                  <w:r>
                    <w:rPr>
                      <w:rFonts w:cs="Miriam"/>
                      <w:sz w:val="18"/>
                      <w:szCs w:val="18"/>
                      <w:rtl/>
                    </w:rPr>
                    <w:t>מכ</w:t>
                  </w:r>
                  <w:r>
                    <w:rPr>
                      <w:rFonts w:cs="Miriam" w:hint="cs"/>
                      <w:sz w:val="18"/>
                      <w:szCs w:val="18"/>
                      <w:rtl/>
                    </w:rPr>
                    <w:t>ירת איגרות ה</w:t>
                  </w:r>
                  <w:r>
                    <w:rPr>
                      <w:rFonts w:cs="Miriam"/>
                      <w:sz w:val="18"/>
                      <w:szCs w:val="18"/>
                      <w:rtl/>
                    </w:rPr>
                    <w:t>ח</w:t>
                  </w:r>
                  <w:r>
                    <w:rPr>
                      <w:rFonts w:cs="Miriam" w:hint="cs"/>
                      <w:sz w:val="18"/>
                      <w:szCs w:val="18"/>
                      <w:rtl/>
                    </w:rPr>
                    <w:t>וב</w:t>
                  </w:r>
                </w:p>
              </w:txbxContent>
            </v:textbox>
            <w10:anchorlock/>
          </v:rect>
        </w:pict>
      </w:r>
      <w:r>
        <w:rPr>
          <w:rStyle w:val="big-number"/>
          <w:rFonts w:cs="Miriam"/>
          <w:rtl/>
        </w:rPr>
        <w:t>14.</w:t>
      </w:r>
      <w:r>
        <w:rPr>
          <w:rStyle w:val="big-number"/>
          <w:rFonts w:cs="Miriam"/>
          <w:rtl/>
        </w:rPr>
        <w:tab/>
      </w:r>
      <w:r>
        <w:rPr>
          <w:rStyle w:val="default"/>
          <w:rFonts w:cs="FrankRuehl"/>
          <w:rtl/>
        </w:rPr>
        <w:t>אי</w:t>
      </w:r>
      <w:r>
        <w:rPr>
          <w:rStyle w:val="default"/>
          <w:rFonts w:cs="FrankRuehl" w:hint="cs"/>
          <w:rtl/>
        </w:rPr>
        <w:t>גרות החוב יימכרו בידי בנק ישראל לקופות הגמל לקיצבה ישירות, או באמצעות גופים אחרים כפי שבנק ישראל יקבע מפעם לפעם, באישור הממונה.</w:t>
      </w:r>
    </w:p>
    <w:p w14:paraId="3D5BA5DE" w14:textId="77777777" w:rsidR="00F67FCC" w:rsidRDefault="00F67FCC">
      <w:pPr>
        <w:pStyle w:val="P00"/>
        <w:spacing w:before="72"/>
        <w:ind w:left="0" w:right="1134"/>
        <w:rPr>
          <w:rStyle w:val="default"/>
          <w:rFonts w:cs="FrankRuehl"/>
          <w:rtl/>
        </w:rPr>
      </w:pPr>
      <w:bookmarkStart w:id="15" w:name="Seif14"/>
      <w:bookmarkEnd w:id="15"/>
      <w:r>
        <w:rPr>
          <w:lang w:val="he-IL"/>
        </w:rPr>
        <w:pict w14:anchorId="26528E61">
          <v:rect id="_x0000_s1040" style="position:absolute;left:0;text-align:left;margin-left:464.5pt;margin-top:8.05pt;width:75.05pt;height:14.85pt;z-index:251664384" o:allowincell="f" filled="f" stroked="f" strokecolor="lime" strokeweight=".25pt">
            <v:textbox inset="0,0,0,0">
              <w:txbxContent>
                <w:p w14:paraId="3B5FF8FE" w14:textId="77777777" w:rsidR="00F67FCC" w:rsidRDefault="00F67FCC">
                  <w:pPr>
                    <w:spacing w:line="160" w:lineRule="exact"/>
                    <w:jc w:val="left"/>
                    <w:rPr>
                      <w:rFonts w:cs="Miriam"/>
                      <w:noProof/>
                      <w:sz w:val="18"/>
                      <w:szCs w:val="18"/>
                      <w:rtl/>
                    </w:rPr>
                  </w:pPr>
                  <w:r>
                    <w:rPr>
                      <w:rFonts w:cs="Miriam"/>
                      <w:sz w:val="18"/>
                      <w:szCs w:val="18"/>
                      <w:rtl/>
                    </w:rPr>
                    <w:t>דח</w:t>
                  </w:r>
                  <w:r>
                    <w:rPr>
                      <w:rFonts w:cs="Miriam" w:hint="cs"/>
                      <w:sz w:val="18"/>
                      <w:szCs w:val="18"/>
                      <w:rtl/>
                    </w:rPr>
                    <w:t>יית מועד</w:t>
                  </w:r>
                </w:p>
              </w:txbxContent>
            </v:textbox>
            <w10:anchorlock/>
          </v:rect>
        </w:pict>
      </w:r>
      <w:r>
        <w:rPr>
          <w:rStyle w:val="big-number"/>
          <w:rFonts w:cs="Miriam"/>
          <w:rtl/>
        </w:rPr>
        <w:t>15.</w:t>
      </w:r>
      <w:r>
        <w:rPr>
          <w:rStyle w:val="big-number"/>
          <w:rFonts w:cs="Miriam"/>
          <w:rtl/>
        </w:rPr>
        <w:tab/>
      </w:r>
      <w:r>
        <w:rPr>
          <w:rStyle w:val="default"/>
          <w:rFonts w:cs="FrankRuehl"/>
          <w:rtl/>
        </w:rPr>
        <w:t>חל</w:t>
      </w:r>
      <w:r>
        <w:rPr>
          <w:rStyle w:val="default"/>
          <w:rFonts w:cs="FrankRuehl" w:hint="cs"/>
          <w:rtl/>
        </w:rPr>
        <w:t xml:space="preserve"> מועד הנקוב בתקנות אלה ביום שאינו יום עסקים, יידחה המועד הנקוב ליום העסקים הראשון שלאחריו.</w:t>
      </w:r>
    </w:p>
    <w:p w14:paraId="7FF713C1" w14:textId="77777777" w:rsidR="00F67FCC" w:rsidRDefault="00F67FCC">
      <w:pPr>
        <w:pStyle w:val="P00"/>
        <w:spacing w:before="72"/>
        <w:ind w:left="0" w:right="1134"/>
        <w:rPr>
          <w:rStyle w:val="default"/>
          <w:rFonts w:cs="FrankRuehl" w:hint="cs"/>
          <w:rtl/>
        </w:rPr>
      </w:pPr>
      <w:bookmarkStart w:id="16" w:name="Seif15"/>
      <w:bookmarkEnd w:id="16"/>
      <w:r>
        <w:rPr>
          <w:lang w:val="he-IL"/>
        </w:rPr>
        <w:pict w14:anchorId="482CEB97">
          <v:rect id="_x0000_s1041" style="position:absolute;left:0;text-align:left;margin-left:464.5pt;margin-top:8.05pt;width:75.05pt;height:9.9pt;z-index:251665408" o:allowincell="f" filled="f" stroked="f" strokecolor="lime" strokeweight=".25pt">
            <v:textbox inset="0,0,0,0">
              <w:txbxContent>
                <w:p w14:paraId="0A67D39A" w14:textId="77777777" w:rsidR="00F67FCC" w:rsidRDefault="00F67FC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ילתן של תקנות אלה ביום ג' בסיוון תשנ"ה (1 ביוני 1995).</w:t>
      </w:r>
    </w:p>
    <w:p w14:paraId="44BDD8B6" w14:textId="77777777" w:rsidR="00AB4BC3" w:rsidRDefault="00AB4BC3">
      <w:pPr>
        <w:pStyle w:val="P00"/>
        <w:spacing w:before="72"/>
        <w:ind w:left="0" w:right="1134"/>
        <w:rPr>
          <w:rStyle w:val="default"/>
          <w:rFonts w:cs="FrankRuehl"/>
          <w:rtl/>
        </w:rPr>
      </w:pPr>
    </w:p>
    <w:p w14:paraId="422F92DC" w14:textId="77777777" w:rsidR="00F67FCC" w:rsidRDefault="00F67FCC">
      <w:pPr>
        <w:pStyle w:val="P00"/>
        <w:spacing w:before="72"/>
        <w:ind w:left="0" w:right="1134"/>
        <w:rPr>
          <w:rStyle w:val="default"/>
          <w:rFonts w:cs="FrankRuehl"/>
          <w:rtl/>
        </w:rPr>
      </w:pPr>
    </w:p>
    <w:p w14:paraId="3621EC79" w14:textId="77777777" w:rsidR="00F67FCC" w:rsidRPr="00AB4BC3" w:rsidRDefault="00F67FCC" w:rsidP="00AB4BC3">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AB4BC3">
        <w:rPr>
          <w:rFonts w:cs="FrankRuehl"/>
          <w:sz w:val="26"/>
          <w:szCs w:val="26"/>
          <w:rtl/>
        </w:rPr>
        <w:t>כ"</w:t>
      </w:r>
      <w:r w:rsidRPr="00AB4BC3">
        <w:rPr>
          <w:rFonts w:cs="FrankRuehl" w:hint="cs"/>
          <w:sz w:val="26"/>
          <w:szCs w:val="26"/>
          <w:rtl/>
        </w:rPr>
        <w:t>ב באייר תשנ"ה (22 במאי 1995)</w:t>
      </w:r>
      <w:r w:rsidRPr="00AB4BC3">
        <w:rPr>
          <w:rFonts w:cs="FrankRuehl"/>
          <w:sz w:val="26"/>
          <w:szCs w:val="26"/>
          <w:rtl/>
        </w:rPr>
        <w:tab/>
        <w:t>א</w:t>
      </w:r>
      <w:r w:rsidRPr="00AB4BC3">
        <w:rPr>
          <w:rFonts w:cs="FrankRuehl" w:hint="cs"/>
          <w:sz w:val="26"/>
          <w:szCs w:val="26"/>
          <w:rtl/>
        </w:rPr>
        <w:t>ברהם (בייגה) שוחט</w:t>
      </w:r>
    </w:p>
    <w:p w14:paraId="4E799CAC" w14:textId="77777777" w:rsidR="00F67FCC" w:rsidRDefault="00F67FCC">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האוצר</w:t>
      </w:r>
    </w:p>
    <w:p w14:paraId="2A7C4D99" w14:textId="77777777" w:rsidR="00AB4BC3" w:rsidRPr="00AB4BC3" w:rsidRDefault="00AB4BC3" w:rsidP="00AB4BC3">
      <w:pPr>
        <w:pStyle w:val="P00"/>
        <w:spacing w:before="72"/>
        <w:ind w:left="0" w:right="1134"/>
        <w:rPr>
          <w:rStyle w:val="default"/>
          <w:rFonts w:cs="FrankRuehl" w:hint="cs"/>
          <w:rtl/>
        </w:rPr>
      </w:pPr>
    </w:p>
    <w:p w14:paraId="7DB9BB9F" w14:textId="77777777" w:rsidR="00AB4BC3" w:rsidRPr="00AB4BC3" w:rsidRDefault="00AB4BC3" w:rsidP="00AB4BC3">
      <w:pPr>
        <w:pStyle w:val="P00"/>
        <w:spacing w:before="72"/>
        <w:ind w:left="0" w:right="1134"/>
        <w:rPr>
          <w:rStyle w:val="default"/>
          <w:rFonts w:cs="FrankRuehl"/>
          <w:rtl/>
        </w:rPr>
      </w:pPr>
    </w:p>
    <w:p w14:paraId="595FC92F" w14:textId="77777777" w:rsidR="00F67FCC" w:rsidRPr="00AB4BC3" w:rsidRDefault="00F67FCC" w:rsidP="00AB4BC3">
      <w:pPr>
        <w:pStyle w:val="P00"/>
        <w:spacing w:before="72"/>
        <w:ind w:left="0" w:right="1134"/>
        <w:rPr>
          <w:rStyle w:val="default"/>
          <w:rFonts w:cs="FrankRuehl"/>
          <w:rtl/>
        </w:rPr>
      </w:pPr>
      <w:bookmarkStart w:id="17" w:name="LawPartEnd"/>
    </w:p>
    <w:bookmarkEnd w:id="17"/>
    <w:p w14:paraId="4AB5E4D1" w14:textId="77777777" w:rsidR="00F67FCC" w:rsidRPr="00AB4BC3" w:rsidRDefault="00F67FCC" w:rsidP="00AB4BC3">
      <w:pPr>
        <w:pStyle w:val="P00"/>
        <w:spacing w:before="72"/>
        <w:ind w:left="0" w:right="1134"/>
        <w:rPr>
          <w:rStyle w:val="default"/>
          <w:rFonts w:cs="FrankRuehl"/>
          <w:rtl/>
        </w:rPr>
      </w:pPr>
    </w:p>
    <w:sectPr w:rsidR="00F67FCC" w:rsidRPr="00AB4BC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9B41" w14:textId="77777777" w:rsidR="00FA65F2" w:rsidRDefault="00FA65F2">
      <w:r>
        <w:separator/>
      </w:r>
    </w:p>
  </w:endnote>
  <w:endnote w:type="continuationSeparator" w:id="0">
    <w:p w14:paraId="24190942" w14:textId="77777777" w:rsidR="00FA65F2" w:rsidRDefault="00FA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0959" w14:textId="77777777" w:rsidR="00F67FCC" w:rsidRDefault="00F67F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DC7387" w14:textId="77777777" w:rsidR="00F67FCC" w:rsidRDefault="00F67F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48AD80" w14:textId="77777777" w:rsidR="00F67FCC" w:rsidRDefault="00F67F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4BC3">
      <w:rPr>
        <w:rFonts w:cs="TopType Jerushalmi"/>
        <w:noProof/>
        <w:color w:val="000000"/>
        <w:sz w:val="14"/>
        <w:szCs w:val="14"/>
      </w:rPr>
      <w:t>D:\Yael\hakika</w:t>
    </w:r>
    <w:r w:rsidR="00AB4BC3" w:rsidRPr="00AB4BC3">
      <w:rPr>
        <w:rFonts w:cs="TopType Jerushalmi"/>
        <w:noProof/>
        <w:color w:val="000000"/>
        <w:sz w:val="14"/>
        <w:szCs w:val="14"/>
        <w:rtl/>
      </w:rPr>
      <w:t>\עולים</w:t>
    </w:r>
    <w:r w:rsidR="00AB4BC3">
      <w:rPr>
        <w:noProof/>
        <w:color w:val="000000"/>
        <w:sz w:val="14"/>
        <w:szCs w:val="14"/>
        <w:rtl/>
      </w:rPr>
      <w:t xml:space="preserve"> מהאוב\221_028.</w:t>
    </w:r>
    <w:r w:rsidR="00AB4BC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00FF" w14:textId="77777777" w:rsidR="00F67FCC" w:rsidRDefault="00F67F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D2004">
      <w:rPr>
        <w:rFonts w:hAnsi="FrankRuehl" w:cs="FrankRuehl"/>
        <w:noProof/>
        <w:sz w:val="24"/>
        <w:szCs w:val="24"/>
        <w:rtl/>
      </w:rPr>
      <w:t>2</w:t>
    </w:r>
    <w:r>
      <w:rPr>
        <w:rFonts w:hAnsi="FrankRuehl" w:cs="FrankRuehl"/>
        <w:sz w:val="24"/>
        <w:szCs w:val="24"/>
        <w:rtl/>
      </w:rPr>
      <w:fldChar w:fldCharType="end"/>
    </w:r>
  </w:p>
  <w:p w14:paraId="25222981" w14:textId="77777777" w:rsidR="00F67FCC" w:rsidRDefault="00F67F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9EFECD" w14:textId="77777777" w:rsidR="00F67FCC" w:rsidRDefault="00F67F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4BC3">
      <w:rPr>
        <w:rFonts w:cs="TopType Jerushalmi"/>
        <w:noProof/>
        <w:color w:val="000000"/>
        <w:sz w:val="14"/>
        <w:szCs w:val="14"/>
      </w:rPr>
      <w:t>D:\Yael\hakika</w:t>
    </w:r>
    <w:r w:rsidR="00AB4BC3" w:rsidRPr="00AB4BC3">
      <w:rPr>
        <w:rFonts w:cs="TopType Jerushalmi"/>
        <w:noProof/>
        <w:color w:val="000000"/>
        <w:sz w:val="14"/>
        <w:szCs w:val="14"/>
        <w:rtl/>
      </w:rPr>
      <w:t>\עולים</w:t>
    </w:r>
    <w:r w:rsidR="00AB4BC3">
      <w:rPr>
        <w:noProof/>
        <w:color w:val="000000"/>
        <w:sz w:val="14"/>
        <w:szCs w:val="14"/>
        <w:rtl/>
      </w:rPr>
      <w:t xml:space="preserve"> מהאוב\221_028.</w:t>
    </w:r>
    <w:r w:rsidR="00AB4BC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DD36" w14:textId="77777777" w:rsidR="00FA65F2" w:rsidRDefault="00FA65F2" w:rsidP="00AB4BC3">
      <w:pPr>
        <w:spacing w:before="60" w:line="240" w:lineRule="auto"/>
        <w:ind w:right="1134"/>
      </w:pPr>
      <w:r>
        <w:separator/>
      </w:r>
    </w:p>
  </w:footnote>
  <w:footnote w:type="continuationSeparator" w:id="0">
    <w:p w14:paraId="4B795491" w14:textId="77777777" w:rsidR="00FA65F2" w:rsidRDefault="00FA65F2">
      <w:r>
        <w:continuationSeparator/>
      </w:r>
    </w:p>
  </w:footnote>
  <w:footnote w:id="1">
    <w:p w14:paraId="07DDD58C" w14:textId="77777777" w:rsidR="00AB4BC3" w:rsidRDefault="00AB4BC3" w:rsidP="00AB4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B4BC3">
        <w:rPr>
          <w:rFonts w:cs="FrankRuehl"/>
          <w:rtl/>
        </w:rPr>
        <w:t xml:space="preserve">* </w:t>
      </w:r>
      <w:r>
        <w:rPr>
          <w:rFonts w:cs="FrankRuehl"/>
          <w:rtl/>
        </w:rPr>
        <w:t>פו</w:t>
      </w:r>
      <w:r>
        <w:rPr>
          <w:rFonts w:cs="FrankRuehl" w:hint="cs"/>
          <w:rtl/>
        </w:rPr>
        <w:t xml:space="preserve">רסמו </w:t>
      </w:r>
      <w:hyperlink r:id="rId1" w:history="1">
        <w:r w:rsidRPr="00AB4BC3">
          <w:rPr>
            <w:rStyle w:val="Hyperlink"/>
            <w:rFonts w:cs="FrankRuehl" w:hint="cs"/>
            <w:rtl/>
          </w:rPr>
          <w:t>ק"ת תשנ"ה מס' 5683</w:t>
        </w:r>
      </w:hyperlink>
      <w:r>
        <w:rPr>
          <w:rFonts w:cs="FrankRuehl" w:hint="cs"/>
          <w:rtl/>
        </w:rPr>
        <w:t xml:space="preserve"> מיום 1.6.1995 עמ' 1499.</w:t>
      </w:r>
    </w:p>
    <w:p w14:paraId="645618B3" w14:textId="77777777" w:rsidR="00AB4BC3" w:rsidRPr="00AB4BC3" w:rsidRDefault="00AB4BC3" w:rsidP="00AB4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ת"ט ק"ת תשנ"ה מס' 5690 מיום 6.7.1995 עמ' 1620.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CE05" w14:textId="77777777" w:rsidR="00F67FCC" w:rsidRDefault="00F67F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"ערד"), תשנ"ה–1995</w:t>
    </w:r>
  </w:p>
  <w:p w14:paraId="125887EF" w14:textId="77777777" w:rsidR="00F67FCC" w:rsidRDefault="00F67F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63A7CD" w14:textId="77777777" w:rsidR="00F67FCC" w:rsidRDefault="00F67F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2B94" w14:textId="77777777" w:rsidR="00F67FCC" w:rsidRDefault="00F67FCC" w:rsidP="00AB4B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"ערד"), תשנ"ה</w:t>
    </w:r>
    <w:r w:rsidR="00AB4BC3">
      <w:rPr>
        <w:rFonts w:hAnsi="FrankRuehl" w:cs="FrankRuehl" w:hint="cs"/>
        <w:color w:val="000000"/>
        <w:sz w:val="28"/>
        <w:szCs w:val="28"/>
        <w:rtl/>
      </w:rPr>
      <w:t>-</w:t>
    </w:r>
    <w:r>
      <w:rPr>
        <w:rFonts w:hAnsi="FrankRuehl" w:cs="FrankRuehl"/>
        <w:color w:val="000000"/>
        <w:sz w:val="28"/>
        <w:szCs w:val="28"/>
        <w:rtl/>
      </w:rPr>
      <w:t>1995</w:t>
    </w:r>
  </w:p>
  <w:p w14:paraId="1C04A269" w14:textId="77777777" w:rsidR="00F67FCC" w:rsidRDefault="00F67F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D76138" w14:textId="77777777" w:rsidR="00F67FCC" w:rsidRDefault="00F67F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FCC"/>
    <w:rsid w:val="0015282B"/>
    <w:rsid w:val="00AB4BC3"/>
    <w:rsid w:val="00ED2004"/>
    <w:rsid w:val="00F67FCC"/>
    <w:rsid w:val="00FA65F2"/>
    <w:rsid w:val="00FB06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775211"/>
  <w15:chartTrackingRefBased/>
  <w15:docId w15:val="{9B173969-5011-40AE-80BA-7409CAF0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AB4BC3"/>
    <w:rPr>
      <w:sz w:val="20"/>
      <w:szCs w:val="20"/>
    </w:rPr>
  </w:style>
  <w:style w:type="character" w:styleId="a6">
    <w:name w:val="footnote reference"/>
    <w:basedOn w:val="a0"/>
    <w:semiHidden/>
    <w:rsid w:val="00AB4B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90.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4468</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פרק 221</vt:lpstr>
    </vt:vector>
  </TitlesOfParts>
  <Company> </Company>
  <LinksUpToDate>false</LinksUpToDate>
  <CharactersWithSpaces>5241</CharactersWithSpaces>
  <SharedDoc>false</SharedDoc>
  <HLinks>
    <vt:vector size="108" baseType="variant">
      <vt:variant>
        <vt:i4>7667726</vt:i4>
      </vt:variant>
      <vt:variant>
        <vt:i4>96</vt:i4>
      </vt:variant>
      <vt:variant>
        <vt:i4>0</vt:i4>
      </vt:variant>
      <vt:variant>
        <vt:i4>5</vt:i4>
      </vt:variant>
      <vt:variant>
        <vt:lpwstr>http://www.nevo.co.il/Law_word/law06/tak-5690.pdf</vt:lpwstr>
      </vt:variant>
      <vt:variant>
        <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7602189</vt:i4>
      </vt:variant>
      <vt:variant>
        <vt:i4>0</vt:i4>
      </vt:variant>
      <vt:variant>
        <vt:i4>0</vt:i4>
      </vt:variant>
      <vt:variant>
        <vt:i4>5</vt:i4>
      </vt:variant>
      <vt:variant>
        <vt:lpwstr>http://www.nevo.co.il/Law_word/law06/tak-5683.pdf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shay</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תקנות מילווה המדינה (סדרות מסוג "ערד"), תשנ"ה-1995</vt:lpwstr>
  </property>
  <property fmtid="{D5CDD505-2E9C-101B-9397-08002B2CF9AE}" pid="5" name="LAWNUMBER">
    <vt:lpwstr>0028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מילווה חסכון</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מילווה המדינה</vt:lpwstr>
  </property>
  <property fmtid="{D5CDD505-2E9C-101B-9397-08002B2CF9AE}" pid="48" name="MEKOR_SAIF1">
    <vt:lpwstr>3X;4X;12X;15X</vt:lpwstr>
  </property>
  <property fmtid="{D5CDD505-2E9C-101B-9397-08002B2CF9AE}" pid="49" name="MEKOR_NAME2">
    <vt:lpwstr>פקודת מס הכנסה</vt:lpwstr>
  </property>
  <property fmtid="{D5CDD505-2E9C-101B-9397-08002B2CF9AE}" pid="50" name="MEKOR_SAIF2">
    <vt:lpwstr>15X</vt:lpwstr>
  </property>
</Properties>
</file>