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A5B" w:rsidRDefault="002C2A5B">
      <w:pPr>
        <w:pStyle w:val="big-header"/>
        <w:ind w:left="0" w:right="1134"/>
        <w:rPr>
          <w:rFonts w:cs="FrankRuehl" w:hint="cs"/>
          <w:sz w:val="32"/>
          <w:rtl/>
        </w:rPr>
      </w:pPr>
      <w:r>
        <w:rPr>
          <w:rFonts w:cs="FrankRuehl" w:hint="cs"/>
          <w:sz w:val="32"/>
          <w:rtl/>
        </w:rPr>
        <w:t>תקנות מינהל מקרקעי ישראל (מאגר המידע), תשס"ד-2004</w:t>
      </w:r>
    </w:p>
    <w:p w:rsidR="006C6A44" w:rsidRDefault="006C6A44" w:rsidP="006C6A44">
      <w:pPr>
        <w:spacing w:line="320" w:lineRule="auto"/>
        <w:rPr>
          <w:rFonts w:hint="cs"/>
          <w:rtl/>
        </w:rPr>
      </w:pPr>
    </w:p>
    <w:p w:rsidR="00A83424" w:rsidRDefault="00A83424" w:rsidP="006C6A44">
      <w:pPr>
        <w:spacing w:line="320" w:lineRule="auto"/>
        <w:rPr>
          <w:rFonts w:hint="cs"/>
          <w:rtl/>
        </w:rPr>
      </w:pPr>
    </w:p>
    <w:p w:rsidR="006C6A44" w:rsidRPr="006C6A44" w:rsidRDefault="006C6A44" w:rsidP="006C6A44">
      <w:pPr>
        <w:spacing w:line="320" w:lineRule="auto"/>
        <w:rPr>
          <w:rFonts w:cs="Miriam"/>
          <w:szCs w:val="22"/>
          <w:rtl/>
        </w:rPr>
      </w:pPr>
      <w:r w:rsidRPr="006C6A44">
        <w:rPr>
          <w:rFonts w:cs="Miriam"/>
          <w:szCs w:val="22"/>
          <w:rtl/>
        </w:rPr>
        <w:t>משפט פרטי וכלכלה</w:t>
      </w:r>
      <w:r w:rsidRPr="006C6A44">
        <w:rPr>
          <w:rFonts w:cs="FrankRuehl"/>
          <w:szCs w:val="26"/>
          <w:rtl/>
        </w:rPr>
        <w:t xml:space="preserve"> – קניין – מקרקעין – מקרקעי ישראל</w:t>
      </w:r>
    </w:p>
    <w:p w:rsidR="002C2A5B" w:rsidRDefault="002C2A5B">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C2A5B">
        <w:tblPrEx>
          <w:tblCellMar>
            <w:top w:w="0" w:type="dxa"/>
            <w:bottom w:w="0" w:type="dxa"/>
          </w:tblCellMar>
        </w:tblPrEx>
        <w:trPr>
          <w:jc w:val="right"/>
        </w:trPr>
        <w:tc>
          <w:tcPr>
            <w:tcW w:w="850" w:type="dxa"/>
          </w:tcPr>
          <w:p w:rsidR="002C2A5B" w:rsidRDefault="002C2A5B">
            <w:pPr>
              <w:rPr>
                <w:rFonts w:cs="Frankruhel" w:hint="cs"/>
              </w:rPr>
            </w:pPr>
            <w:r>
              <w:rPr>
                <w:rFonts w:cs="Frankruhel"/>
                <w:rtl/>
              </w:rPr>
              <w:t>2</w:t>
            </w:r>
          </w:p>
        </w:tc>
        <w:tc>
          <w:tcPr>
            <w:tcW w:w="567" w:type="dxa"/>
          </w:tcPr>
          <w:p w:rsidR="002C2A5B" w:rsidRDefault="002C2A5B">
            <w:pPr>
              <w:rPr>
                <w:rFonts w:cs="Frankruhel" w:hint="cs"/>
              </w:rPr>
            </w:pPr>
            <w:hyperlink w:anchor="Seif0" w:tooltip="הגדרות" w:history="1">
              <w:r>
                <w:rPr>
                  <w:rStyle w:val="Hyperlink"/>
                </w:rPr>
                <w:t>Go</w:t>
              </w:r>
            </w:hyperlink>
          </w:p>
        </w:tc>
        <w:tc>
          <w:tcPr>
            <w:tcW w:w="5669" w:type="dxa"/>
          </w:tcPr>
          <w:p w:rsidR="002C2A5B" w:rsidRDefault="002C2A5B">
            <w:pPr>
              <w:rPr>
                <w:rFonts w:cs="Frankruhel"/>
                <w:rtl/>
              </w:rPr>
            </w:pPr>
            <w:r>
              <w:rPr>
                <w:rFonts w:cs="Frankruhel"/>
                <w:rtl/>
              </w:rPr>
              <w:t>הגדרות</w:t>
            </w:r>
          </w:p>
        </w:tc>
        <w:tc>
          <w:tcPr>
            <w:tcW w:w="1247" w:type="dxa"/>
          </w:tcPr>
          <w:p w:rsidR="002C2A5B" w:rsidRDefault="002C2A5B">
            <w:pPr>
              <w:rPr>
                <w:rFonts w:cs="Frankruhel" w:hint="cs"/>
              </w:rPr>
            </w:pPr>
            <w:r>
              <w:rPr>
                <w:rFonts w:cs="Frankruhel"/>
                <w:rtl/>
              </w:rPr>
              <w:t xml:space="preserve">סעיף 1 </w:t>
            </w:r>
          </w:p>
        </w:tc>
      </w:tr>
      <w:tr w:rsidR="002C2A5B">
        <w:tblPrEx>
          <w:tblCellMar>
            <w:top w:w="0" w:type="dxa"/>
            <w:bottom w:w="0" w:type="dxa"/>
          </w:tblCellMar>
        </w:tblPrEx>
        <w:trPr>
          <w:jc w:val="right"/>
        </w:trPr>
        <w:tc>
          <w:tcPr>
            <w:tcW w:w="850" w:type="dxa"/>
          </w:tcPr>
          <w:p w:rsidR="002C2A5B" w:rsidRDefault="002C2A5B">
            <w:pPr>
              <w:rPr>
                <w:rFonts w:cs="Frankruhel" w:hint="cs"/>
              </w:rPr>
            </w:pPr>
            <w:r>
              <w:rPr>
                <w:rFonts w:cs="Frankruhel"/>
                <w:rtl/>
              </w:rPr>
              <w:t>2</w:t>
            </w:r>
          </w:p>
        </w:tc>
        <w:tc>
          <w:tcPr>
            <w:tcW w:w="567" w:type="dxa"/>
          </w:tcPr>
          <w:p w:rsidR="002C2A5B" w:rsidRDefault="002C2A5B">
            <w:pPr>
              <w:rPr>
                <w:rFonts w:cs="Frankruhel" w:hint="cs"/>
              </w:rPr>
            </w:pPr>
            <w:hyperlink w:anchor="Seif1" w:tooltip="מאגר המידע" w:history="1">
              <w:r>
                <w:rPr>
                  <w:rStyle w:val="Hyperlink"/>
                </w:rPr>
                <w:t>Go</w:t>
              </w:r>
            </w:hyperlink>
          </w:p>
        </w:tc>
        <w:tc>
          <w:tcPr>
            <w:tcW w:w="5669" w:type="dxa"/>
          </w:tcPr>
          <w:p w:rsidR="002C2A5B" w:rsidRDefault="002C2A5B">
            <w:pPr>
              <w:rPr>
                <w:rFonts w:cs="Frankruhel"/>
                <w:rtl/>
              </w:rPr>
            </w:pPr>
            <w:r>
              <w:rPr>
                <w:rFonts w:cs="Frankruhel"/>
                <w:rtl/>
              </w:rPr>
              <w:t>מאגר המידע</w:t>
            </w:r>
          </w:p>
        </w:tc>
        <w:tc>
          <w:tcPr>
            <w:tcW w:w="1247" w:type="dxa"/>
          </w:tcPr>
          <w:p w:rsidR="002C2A5B" w:rsidRDefault="002C2A5B">
            <w:pPr>
              <w:rPr>
                <w:rFonts w:cs="Frankruhel" w:hint="cs"/>
              </w:rPr>
            </w:pPr>
            <w:r>
              <w:rPr>
                <w:rFonts w:cs="Frankruhel"/>
                <w:rtl/>
              </w:rPr>
              <w:t xml:space="preserve">סעיף 2 </w:t>
            </w:r>
          </w:p>
        </w:tc>
      </w:tr>
      <w:tr w:rsidR="002C2A5B">
        <w:tblPrEx>
          <w:tblCellMar>
            <w:top w:w="0" w:type="dxa"/>
            <w:bottom w:w="0" w:type="dxa"/>
          </w:tblCellMar>
        </w:tblPrEx>
        <w:trPr>
          <w:jc w:val="right"/>
        </w:trPr>
        <w:tc>
          <w:tcPr>
            <w:tcW w:w="850" w:type="dxa"/>
          </w:tcPr>
          <w:p w:rsidR="002C2A5B" w:rsidRDefault="002C2A5B">
            <w:pPr>
              <w:rPr>
                <w:rFonts w:cs="Frankruhel" w:hint="cs"/>
              </w:rPr>
            </w:pPr>
            <w:r>
              <w:rPr>
                <w:rFonts w:cs="Frankruhel"/>
                <w:rtl/>
              </w:rPr>
              <w:t>3</w:t>
            </w:r>
          </w:p>
        </w:tc>
        <w:tc>
          <w:tcPr>
            <w:tcW w:w="567" w:type="dxa"/>
          </w:tcPr>
          <w:p w:rsidR="002C2A5B" w:rsidRDefault="002C2A5B">
            <w:pPr>
              <w:rPr>
                <w:rFonts w:cs="Frankruhel" w:hint="cs"/>
              </w:rPr>
            </w:pPr>
            <w:hyperlink w:anchor="Seif2" w:tooltip="התנאים למסירת מידע ממאגר המידע" w:history="1">
              <w:r>
                <w:rPr>
                  <w:rStyle w:val="Hyperlink"/>
                </w:rPr>
                <w:t>Go</w:t>
              </w:r>
            </w:hyperlink>
          </w:p>
        </w:tc>
        <w:tc>
          <w:tcPr>
            <w:tcW w:w="5669" w:type="dxa"/>
          </w:tcPr>
          <w:p w:rsidR="002C2A5B" w:rsidRDefault="002C2A5B">
            <w:pPr>
              <w:rPr>
                <w:rFonts w:cs="Frankruhel"/>
                <w:rtl/>
              </w:rPr>
            </w:pPr>
            <w:r>
              <w:rPr>
                <w:rFonts w:cs="Frankruhel"/>
                <w:rtl/>
              </w:rPr>
              <w:t>התנאים למסירת מידע ממאגר המידע</w:t>
            </w:r>
          </w:p>
        </w:tc>
        <w:tc>
          <w:tcPr>
            <w:tcW w:w="1247" w:type="dxa"/>
          </w:tcPr>
          <w:p w:rsidR="002C2A5B" w:rsidRDefault="002C2A5B">
            <w:pPr>
              <w:rPr>
                <w:rFonts w:cs="Frankruhel" w:hint="cs"/>
              </w:rPr>
            </w:pPr>
            <w:r>
              <w:rPr>
                <w:rFonts w:cs="Frankruhel"/>
                <w:rtl/>
              </w:rPr>
              <w:t xml:space="preserve">סעיף 3 </w:t>
            </w:r>
          </w:p>
        </w:tc>
      </w:tr>
      <w:tr w:rsidR="002C2A5B">
        <w:tblPrEx>
          <w:tblCellMar>
            <w:top w:w="0" w:type="dxa"/>
            <w:bottom w:w="0" w:type="dxa"/>
          </w:tblCellMar>
        </w:tblPrEx>
        <w:trPr>
          <w:jc w:val="right"/>
        </w:trPr>
        <w:tc>
          <w:tcPr>
            <w:tcW w:w="850" w:type="dxa"/>
          </w:tcPr>
          <w:p w:rsidR="002C2A5B" w:rsidRDefault="002C2A5B">
            <w:pPr>
              <w:rPr>
                <w:rFonts w:cs="Frankruhel" w:hint="cs"/>
              </w:rPr>
            </w:pPr>
            <w:r>
              <w:rPr>
                <w:rFonts w:cs="Frankruhel"/>
                <w:rtl/>
              </w:rPr>
              <w:t>3</w:t>
            </w:r>
          </w:p>
        </w:tc>
        <w:tc>
          <w:tcPr>
            <w:tcW w:w="567" w:type="dxa"/>
          </w:tcPr>
          <w:p w:rsidR="002C2A5B" w:rsidRDefault="002C2A5B">
            <w:pPr>
              <w:rPr>
                <w:rFonts w:cs="Frankruhel" w:hint="cs"/>
              </w:rPr>
            </w:pPr>
            <w:hyperlink w:anchor="Seif3" w:tooltip="תחילה ותוקף" w:history="1">
              <w:r>
                <w:rPr>
                  <w:rStyle w:val="Hyperlink"/>
                </w:rPr>
                <w:t>Go</w:t>
              </w:r>
            </w:hyperlink>
          </w:p>
        </w:tc>
        <w:tc>
          <w:tcPr>
            <w:tcW w:w="5669" w:type="dxa"/>
          </w:tcPr>
          <w:p w:rsidR="002C2A5B" w:rsidRDefault="002C2A5B">
            <w:pPr>
              <w:rPr>
                <w:rFonts w:cs="Frankruhel"/>
                <w:rtl/>
              </w:rPr>
            </w:pPr>
            <w:r>
              <w:rPr>
                <w:rFonts w:cs="Frankruhel"/>
                <w:rtl/>
              </w:rPr>
              <w:t>תחילה ותוקף</w:t>
            </w:r>
          </w:p>
        </w:tc>
        <w:tc>
          <w:tcPr>
            <w:tcW w:w="1247" w:type="dxa"/>
          </w:tcPr>
          <w:p w:rsidR="002C2A5B" w:rsidRDefault="002C2A5B">
            <w:pPr>
              <w:rPr>
                <w:rFonts w:cs="Frankruhel" w:hint="cs"/>
              </w:rPr>
            </w:pPr>
            <w:r>
              <w:rPr>
                <w:rFonts w:cs="Frankruhel"/>
                <w:rtl/>
              </w:rPr>
              <w:t xml:space="preserve">סעיף 4 </w:t>
            </w:r>
          </w:p>
        </w:tc>
      </w:tr>
    </w:tbl>
    <w:p w:rsidR="002C2A5B" w:rsidRDefault="002C2A5B">
      <w:pPr>
        <w:pStyle w:val="big-header"/>
        <w:ind w:left="0" w:right="1134"/>
        <w:rPr>
          <w:rFonts w:cs="FrankRuehl" w:hint="cs"/>
          <w:sz w:val="32"/>
          <w:rtl/>
        </w:rPr>
      </w:pPr>
    </w:p>
    <w:p w:rsidR="002C2A5B" w:rsidRDefault="002C2A5B" w:rsidP="006C6A44">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מינהל מקרקעי ישראל (מאגר המידע), תשס"ד-2004</w:t>
      </w:r>
      <w:r>
        <w:rPr>
          <w:rStyle w:val="default"/>
          <w:sz w:val="22"/>
          <w:szCs w:val="22"/>
          <w:rtl/>
        </w:rPr>
        <w:footnoteReference w:customMarkFollows="1" w:id="1"/>
        <w:t>*</w:t>
      </w:r>
    </w:p>
    <w:p w:rsidR="002C2A5B" w:rsidRDefault="002C2A5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Pr>
          <w:rStyle w:val="default"/>
          <w:rFonts w:cs="FrankRuehl" w:hint="cs"/>
          <w:rtl/>
        </w:rPr>
        <w:t xml:space="preserve">סמכותי לפי סעיף 4טו(ג)(1) לחוק מינהל מקרקעי ישראל, התש"ך-1960 (להלן </w:t>
      </w:r>
      <w:r>
        <w:rPr>
          <w:rStyle w:val="default"/>
          <w:rFonts w:cs="FrankRuehl"/>
          <w:rtl/>
        </w:rPr>
        <w:t>–</w:t>
      </w:r>
      <w:r>
        <w:rPr>
          <w:rStyle w:val="default"/>
          <w:rFonts w:cs="FrankRuehl" w:hint="cs"/>
          <w:rtl/>
        </w:rPr>
        <w:t xml:space="preserve"> החוק), בהתייעצות עם שר המשפטים, ולענין תקנה 2 </w:t>
      </w:r>
      <w:r>
        <w:rPr>
          <w:rStyle w:val="default"/>
          <w:rFonts w:cs="FrankRuehl"/>
          <w:rtl/>
        </w:rPr>
        <w:t>–</w:t>
      </w:r>
      <w:r>
        <w:rPr>
          <w:rStyle w:val="default"/>
          <w:rFonts w:cs="FrankRuehl" w:hint="cs"/>
          <w:rtl/>
        </w:rPr>
        <w:t xml:space="preserve"> באישור ועדת הכלכלה של הכנסת, אני מתקין תקנות אלה:</w:t>
      </w:r>
    </w:p>
    <w:p w:rsidR="002C2A5B" w:rsidRDefault="002C2A5B">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35pt;margin-top:7.1pt;width:75.05pt;height:16.95pt;z-index:251655680" o:allowincell="f" filled="f" stroked="f" strokecolor="lime" strokeweight=".25pt">
            <v:textbox style="mso-next-textbox:#_x0000_s1026" inset="0,0,0,0">
              <w:txbxContent>
                <w:p w:rsidR="002C2A5B" w:rsidRDefault="002C2A5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2C2A5B" w:rsidRDefault="002C2A5B">
      <w:pPr>
        <w:pStyle w:val="P00"/>
        <w:spacing w:before="72"/>
        <w:ind w:left="0" w:right="1134"/>
        <w:rPr>
          <w:rStyle w:val="default"/>
          <w:rFonts w:cs="FrankRuehl" w:hint="cs"/>
          <w:rtl/>
        </w:rPr>
      </w:pPr>
      <w:r>
        <w:rPr>
          <w:rStyle w:val="default"/>
          <w:rFonts w:cs="FrankRuehl" w:hint="cs"/>
          <w:rtl/>
        </w:rPr>
        <w:tab/>
        <w:t xml:space="preserve">"בעל זכות" </w:t>
      </w:r>
      <w:r>
        <w:rPr>
          <w:rStyle w:val="default"/>
          <w:rFonts w:cs="FrankRuehl"/>
          <w:rtl/>
        </w:rPr>
        <w:t>–</w:t>
      </w:r>
      <w:r>
        <w:rPr>
          <w:rStyle w:val="default"/>
          <w:rFonts w:cs="FrankRuehl" w:hint="cs"/>
          <w:rtl/>
        </w:rPr>
        <w:t xml:space="preserve"> בעל זכות על פי חוזה לגבי דירה;</w:t>
      </w:r>
    </w:p>
    <w:p w:rsidR="002C2A5B" w:rsidRDefault="002C2A5B">
      <w:pPr>
        <w:pStyle w:val="P00"/>
        <w:spacing w:before="72"/>
        <w:ind w:left="0" w:right="1134"/>
        <w:rPr>
          <w:rStyle w:val="default"/>
          <w:rFonts w:cs="FrankRuehl" w:hint="cs"/>
          <w:rtl/>
        </w:rPr>
      </w:pPr>
      <w:r>
        <w:rPr>
          <w:rStyle w:val="default"/>
          <w:rFonts w:cs="FrankRuehl" w:hint="cs"/>
          <w:rtl/>
        </w:rPr>
        <w:tab/>
        <w:t xml:space="preserve">"דירה" </w:t>
      </w:r>
      <w:r>
        <w:rPr>
          <w:rStyle w:val="default"/>
          <w:rFonts w:cs="FrankRuehl"/>
          <w:rtl/>
        </w:rPr>
        <w:t>–</w:t>
      </w:r>
      <w:r>
        <w:rPr>
          <w:rStyle w:val="default"/>
          <w:rFonts w:cs="FrankRuehl" w:hint="cs"/>
          <w:rtl/>
        </w:rPr>
        <w:t xml:space="preserve"> חדר או תא, או מערכת חדרים או תאים, שנועדו לשמש יחידה שלמה ונפרדת למגורים, למעט בנחלה ובמשק עזר כמשמעם בהחלטות מועצת מקרקעי ישראל;</w:t>
      </w:r>
    </w:p>
    <w:p w:rsidR="002C2A5B" w:rsidRDefault="002C2A5B">
      <w:pPr>
        <w:pStyle w:val="P00"/>
        <w:spacing w:before="72"/>
        <w:ind w:left="0" w:right="1134"/>
        <w:rPr>
          <w:rStyle w:val="default"/>
          <w:rFonts w:cs="FrankRuehl" w:hint="cs"/>
          <w:rtl/>
        </w:rPr>
      </w:pPr>
      <w:r>
        <w:rPr>
          <w:rStyle w:val="default"/>
          <w:rFonts w:cs="FrankRuehl" w:hint="cs"/>
          <w:rtl/>
        </w:rPr>
        <w:tab/>
        <w:t xml:space="preserve">"דמי חכירה מהוונים" </w:t>
      </w:r>
      <w:r>
        <w:rPr>
          <w:rStyle w:val="default"/>
          <w:rFonts w:cs="FrankRuehl"/>
          <w:rtl/>
        </w:rPr>
        <w:t>–</w:t>
      </w:r>
      <w:r>
        <w:rPr>
          <w:rStyle w:val="default"/>
          <w:rFonts w:cs="FrankRuehl" w:hint="cs"/>
          <w:rtl/>
        </w:rPr>
        <w:t xml:space="preserve"> דמי חכירה שנתיים משולמים מראש בעד תקופת החכירה או יתרתה;</w:t>
      </w:r>
    </w:p>
    <w:p w:rsidR="002C2A5B" w:rsidRDefault="002C2A5B">
      <w:pPr>
        <w:pStyle w:val="P00"/>
        <w:spacing w:before="72"/>
        <w:ind w:left="0" w:right="1134"/>
        <w:rPr>
          <w:rStyle w:val="default"/>
          <w:rFonts w:cs="FrankRuehl" w:hint="cs"/>
          <w:rtl/>
        </w:rPr>
      </w:pPr>
      <w:r>
        <w:rPr>
          <w:rStyle w:val="default"/>
          <w:rFonts w:cs="FrankRuehl" w:hint="cs"/>
          <w:rtl/>
        </w:rPr>
        <w:tab/>
        <w:t xml:space="preserve">"דמי חכירה ראשוניים" </w:t>
      </w:r>
      <w:r>
        <w:rPr>
          <w:rStyle w:val="default"/>
          <w:rFonts w:cs="FrankRuehl"/>
          <w:rtl/>
        </w:rPr>
        <w:t>–</w:t>
      </w:r>
      <w:r>
        <w:rPr>
          <w:rStyle w:val="default"/>
          <w:rFonts w:cs="FrankRuehl" w:hint="cs"/>
          <w:rtl/>
        </w:rPr>
        <w:t xml:space="preserve"> סכום חד-פעמי השווה לחלק מערך הקרקע שעליה בנויה הדירה, ששילם בעל זכות על פי חוזה חכירה למינהל, או שנזקף לזכותו, בעת רכישת הזכות;</w:t>
      </w:r>
    </w:p>
    <w:p w:rsidR="002C2A5B" w:rsidRDefault="002C2A5B">
      <w:pPr>
        <w:pStyle w:val="P00"/>
        <w:spacing w:before="72"/>
        <w:ind w:left="0" w:right="1134"/>
        <w:rPr>
          <w:rStyle w:val="default"/>
          <w:rFonts w:cs="FrankRuehl" w:hint="cs"/>
          <w:rtl/>
        </w:rPr>
      </w:pPr>
      <w:r>
        <w:rPr>
          <w:rStyle w:val="default"/>
          <w:rFonts w:cs="FrankRuehl" w:hint="cs"/>
          <w:rtl/>
        </w:rPr>
        <w:tab/>
        <w:t xml:space="preserve">"דמי חכירה שנתיים" </w:t>
      </w:r>
      <w:r>
        <w:rPr>
          <w:rStyle w:val="default"/>
          <w:rFonts w:cs="FrankRuehl"/>
          <w:rtl/>
        </w:rPr>
        <w:t>–</w:t>
      </w:r>
      <w:r>
        <w:rPr>
          <w:rStyle w:val="default"/>
          <w:rFonts w:cs="FrankRuehl" w:hint="cs"/>
          <w:rtl/>
        </w:rPr>
        <w:t xml:space="preserve"> התשלום שמשלם בעל זכות על פי חוזה חכירה למינהל מדי שנה בגין שימוש בקרקע שעליה בנויה הדירה, בהתאם למטרת ההקצאה;</w:t>
      </w:r>
    </w:p>
    <w:p w:rsidR="002C2A5B" w:rsidRDefault="002C2A5B">
      <w:pPr>
        <w:pStyle w:val="P00"/>
        <w:spacing w:before="72"/>
        <w:ind w:left="0" w:right="1134"/>
        <w:rPr>
          <w:rStyle w:val="default"/>
          <w:rFonts w:cs="FrankRuehl" w:hint="cs"/>
          <w:rtl/>
        </w:rPr>
      </w:pPr>
      <w:r>
        <w:rPr>
          <w:rStyle w:val="default"/>
          <w:rFonts w:cs="FrankRuehl" w:hint="cs"/>
          <w:rtl/>
        </w:rPr>
        <w:tab/>
        <w:t xml:space="preserve">"המינהל" </w:t>
      </w:r>
      <w:r>
        <w:rPr>
          <w:rStyle w:val="default"/>
          <w:rFonts w:cs="FrankRuehl"/>
          <w:rtl/>
        </w:rPr>
        <w:t>–</w:t>
      </w:r>
      <w:r>
        <w:rPr>
          <w:rStyle w:val="default"/>
          <w:rFonts w:cs="FrankRuehl" w:hint="cs"/>
          <w:rtl/>
        </w:rPr>
        <w:t xml:space="preserve"> כמשמעותו בסעיף 2 לחוק;</w:t>
      </w:r>
    </w:p>
    <w:p w:rsidR="002C2A5B" w:rsidRDefault="002C2A5B">
      <w:pPr>
        <w:pStyle w:val="P00"/>
        <w:spacing w:before="72"/>
        <w:ind w:left="0" w:right="1134"/>
        <w:rPr>
          <w:rStyle w:val="default"/>
          <w:rFonts w:cs="FrankRuehl" w:hint="cs"/>
          <w:rtl/>
        </w:rPr>
      </w:pPr>
      <w:r>
        <w:rPr>
          <w:rStyle w:val="default"/>
          <w:rFonts w:cs="FrankRuehl" w:hint="cs"/>
          <w:rtl/>
        </w:rPr>
        <w:tab/>
        <w:t xml:space="preserve">"חוזה" </w:t>
      </w:r>
      <w:r>
        <w:rPr>
          <w:rStyle w:val="default"/>
          <w:rFonts w:cs="FrankRuehl"/>
          <w:rtl/>
        </w:rPr>
        <w:t>–</w:t>
      </w:r>
      <w:r>
        <w:rPr>
          <w:rStyle w:val="default"/>
          <w:rFonts w:cs="FrankRuehl" w:hint="cs"/>
          <w:rtl/>
        </w:rPr>
        <w:t xml:space="preserve"> חוזה פיתוח, חוזה חכירה, חוזה חכירת משנה או חוזה מכר שבין המינהל ובין בעל זכות לגבי דירה;</w:t>
      </w:r>
    </w:p>
    <w:p w:rsidR="002C2A5B" w:rsidRDefault="002C2A5B">
      <w:pPr>
        <w:pStyle w:val="P00"/>
        <w:spacing w:before="72"/>
        <w:ind w:left="0" w:right="1134"/>
        <w:rPr>
          <w:rStyle w:val="default"/>
          <w:rFonts w:cs="FrankRuehl" w:hint="cs"/>
          <w:rtl/>
        </w:rPr>
      </w:pPr>
      <w:r>
        <w:rPr>
          <w:rStyle w:val="default"/>
          <w:rFonts w:cs="FrankRuehl" w:hint="cs"/>
          <w:rtl/>
        </w:rPr>
        <w:tab/>
        <w:t xml:space="preserve">"מאגר המידע" </w:t>
      </w:r>
      <w:r>
        <w:rPr>
          <w:rStyle w:val="default"/>
          <w:rFonts w:cs="FrankRuehl"/>
          <w:rtl/>
        </w:rPr>
        <w:t>–</w:t>
      </w:r>
      <w:r>
        <w:rPr>
          <w:rStyle w:val="default"/>
          <w:rFonts w:cs="FrankRuehl" w:hint="cs"/>
          <w:rtl/>
        </w:rPr>
        <w:t xml:space="preserve"> כמשמעותו בסעיף 4טו לחוק;</w:t>
      </w:r>
    </w:p>
    <w:p w:rsidR="002C2A5B" w:rsidRDefault="002C2A5B">
      <w:pPr>
        <w:pStyle w:val="P00"/>
        <w:spacing w:before="72"/>
        <w:ind w:left="0" w:right="1134"/>
        <w:rPr>
          <w:rStyle w:val="default"/>
          <w:rFonts w:cs="FrankRuehl" w:hint="cs"/>
          <w:rtl/>
        </w:rPr>
      </w:pPr>
      <w:r>
        <w:rPr>
          <w:rStyle w:val="default"/>
          <w:rFonts w:cs="FrankRuehl" w:hint="cs"/>
          <w:rtl/>
        </w:rPr>
        <w:tab/>
        <w:t xml:space="preserve">"מנהל מאגר" </w:t>
      </w:r>
      <w:r>
        <w:rPr>
          <w:rStyle w:val="default"/>
          <w:rFonts w:cs="FrankRuehl"/>
          <w:rtl/>
        </w:rPr>
        <w:t>–</w:t>
      </w:r>
      <w:r>
        <w:rPr>
          <w:rStyle w:val="default"/>
          <w:rFonts w:cs="FrankRuehl" w:hint="cs"/>
          <w:rtl/>
        </w:rPr>
        <w:t xml:space="preserve"> כהגדרתו בסעיף 7 לחוק הגנת הפרטיות, התשמ"א-1981;</w:t>
      </w:r>
    </w:p>
    <w:p w:rsidR="002C2A5B" w:rsidRDefault="002C2A5B">
      <w:pPr>
        <w:pStyle w:val="P00"/>
        <w:spacing w:before="72"/>
        <w:ind w:left="0" w:right="1134"/>
        <w:rPr>
          <w:rStyle w:val="default"/>
          <w:rFonts w:cs="FrankRuehl" w:hint="cs"/>
          <w:rtl/>
        </w:rPr>
      </w:pPr>
      <w:r>
        <w:rPr>
          <w:rStyle w:val="default"/>
          <w:rFonts w:cs="FrankRuehl" w:hint="cs"/>
          <w:rtl/>
        </w:rPr>
        <w:tab/>
        <w:t xml:space="preserve">"מקרקעין" </w:t>
      </w:r>
      <w:r>
        <w:rPr>
          <w:rStyle w:val="default"/>
          <w:rFonts w:cs="FrankRuehl"/>
          <w:rtl/>
        </w:rPr>
        <w:t>–</w:t>
      </w:r>
      <w:r>
        <w:rPr>
          <w:rStyle w:val="default"/>
          <w:rFonts w:cs="FrankRuehl" w:hint="cs"/>
          <w:rtl/>
        </w:rPr>
        <w:t xml:space="preserve"> מקרקעי ישראל כמשמעותם בחוק-יסוד: מקרקעי ישראל, שייעודם על פי החוזה הוא למגורים, שזכויות החכירה בהם אינן רשומות בפנקסי המקרקעין;</w:t>
      </w:r>
    </w:p>
    <w:p w:rsidR="002C2A5B" w:rsidRDefault="002C2A5B">
      <w:pPr>
        <w:pStyle w:val="P00"/>
        <w:spacing w:before="72"/>
        <w:ind w:left="0" w:right="1134"/>
        <w:rPr>
          <w:rStyle w:val="default"/>
          <w:rFonts w:cs="FrankRuehl" w:hint="cs"/>
          <w:rtl/>
        </w:rPr>
      </w:pPr>
      <w:r>
        <w:rPr>
          <w:rStyle w:val="default"/>
          <w:rFonts w:cs="FrankRuehl" w:hint="cs"/>
          <w:rtl/>
        </w:rPr>
        <w:tab/>
        <w:t xml:space="preserve">"נותן שירות" </w:t>
      </w:r>
      <w:r>
        <w:rPr>
          <w:rStyle w:val="default"/>
          <w:rFonts w:cs="FrankRuehl"/>
          <w:rtl/>
        </w:rPr>
        <w:t>–</w:t>
      </w:r>
      <w:r>
        <w:rPr>
          <w:rStyle w:val="default"/>
          <w:rFonts w:cs="FrankRuehl" w:hint="cs"/>
          <w:rtl/>
        </w:rPr>
        <w:t xml:space="preserve"> אדם אשר מנהל אצלו, לרבות באמצעות נציגו או בא כוחו, רישום של זכויות בקשר למקרקעין או שחתם חוזה עם משרד הבינוי והשיכון או עם מינהל מקרקעי ישראל למכירתם, השכרתם או ניהולם של מקרקעין והתחייב בו לטפל ברישום זכויות בקשר למקרקעין בפנקסי המקרקעין;</w:t>
      </w:r>
    </w:p>
    <w:p w:rsidR="002C2A5B" w:rsidRDefault="002C2A5B">
      <w:pPr>
        <w:pStyle w:val="P00"/>
        <w:spacing w:before="72"/>
        <w:ind w:left="0" w:right="1134"/>
        <w:rPr>
          <w:rStyle w:val="default"/>
          <w:rFonts w:cs="FrankRuehl" w:hint="cs"/>
          <w:rtl/>
        </w:rPr>
      </w:pPr>
      <w:r>
        <w:rPr>
          <w:rStyle w:val="default"/>
          <w:rFonts w:cs="FrankRuehl" w:hint="cs"/>
          <w:rtl/>
        </w:rPr>
        <w:tab/>
        <w:t xml:space="preserve">"פנקסי המקרקעין" </w:t>
      </w:r>
      <w:r>
        <w:rPr>
          <w:rStyle w:val="default"/>
          <w:rFonts w:cs="FrankRuehl"/>
          <w:rtl/>
        </w:rPr>
        <w:t>–</w:t>
      </w:r>
      <w:r>
        <w:rPr>
          <w:rStyle w:val="default"/>
          <w:rFonts w:cs="FrankRuehl" w:hint="cs"/>
          <w:rtl/>
        </w:rPr>
        <w:t xml:space="preserve"> הפנקסים המנוהלים לפי סעיף 123 לחוק המקרקעין, התשכ"ט-1969 (להלן </w:t>
      </w:r>
      <w:r>
        <w:rPr>
          <w:rStyle w:val="default"/>
          <w:rFonts w:cs="FrankRuehl"/>
          <w:rtl/>
        </w:rPr>
        <w:t>–</w:t>
      </w:r>
      <w:r>
        <w:rPr>
          <w:rStyle w:val="default"/>
          <w:rFonts w:cs="FrankRuehl" w:hint="cs"/>
          <w:rtl/>
        </w:rPr>
        <w:t xml:space="preserve"> חוק המקרקעין);</w:t>
      </w:r>
    </w:p>
    <w:p w:rsidR="002C2A5B" w:rsidRDefault="002C2A5B">
      <w:pPr>
        <w:pStyle w:val="P00"/>
        <w:spacing w:before="72"/>
        <w:ind w:left="0" w:right="1134"/>
        <w:rPr>
          <w:rStyle w:val="default"/>
          <w:rFonts w:cs="FrankRuehl" w:hint="cs"/>
          <w:rtl/>
        </w:rPr>
      </w:pPr>
      <w:r>
        <w:rPr>
          <w:rStyle w:val="default"/>
          <w:rFonts w:cs="FrankRuehl" w:hint="cs"/>
          <w:rtl/>
        </w:rPr>
        <w:tab/>
        <w:t xml:space="preserve">"נתונים מזהים" </w:t>
      </w:r>
      <w:r>
        <w:rPr>
          <w:rStyle w:val="default"/>
          <w:rFonts w:cs="FrankRuehl"/>
          <w:rtl/>
        </w:rPr>
        <w:t>–</w:t>
      </w:r>
      <w:r>
        <w:rPr>
          <w:rStyle w:val="default"/>
          <w:rFonts w:cs="FrankRuehl" w:hint="cs"/>
          <w:rtl/>
        </w:rPr>
        <w:t xml:space="preserve"> נתונים מזהים במינהל של דירה, לפי גוש, חלקה, תת-חלקה, כסימונם בעבר ובהווה.</w:t>
      </w:r>
    </w:p>
    <w:p w:rsidR="002C2A5B" w:rsidRDefault="002C2A5B">
      <w:pPr>
        <w:pStyle w:val="P00"/>
        <w:spacing w:before="72"/>
        <w:ind w:left="0" w:right="1134"/>
        <w:rPr>
          <w:rStyle w:val="default"/>
          <w:rFonts w:cs="FrankRuehl" w:hint="cs"/>
          <w:rtl/>
        </w:rPr>
      </w:pPr>
      <w:bookmarkStart w:id="1" w:name="Seif1"/>
      <w:bookmarkEnd w:id="1"/>
      <w:r>
        <w:rPr>
          <w:rFonts w:cs="Miriam"/>
          <w:lang w:val="he-IL"/>
        </w:rPr>
        <w:pict>
          <v:rect id="_x0000_s1358" style="position:absolute;left:0;text-align:left;margin-left:464.35pt;margin-top:7.1pt;width:75.05pt;height:16.95pt;z-index:251656704" o:allowincell="f" filled="f" stroked="f" strokecolor="lime" strokeweight=".25pt">
            <v:textbox style="mso-next-textbox:#_x0000_s1358" inset="0,0,0,0">
              <w:txbxContent>
                <w:p w:rsidR="002C2A5B" w:rsidRDefault="002C2A5B">
                  <w:pPr>
                    <w:pStyle w:val="a7"/>
                    <w:rPr>
                      <w:rFonts w:hint="cs"/>
                      <w:noProof/>
                      <w:rtl/>
                    </w:rPr>
                  </w:pPr>
                  <w:r>
                    <w:rPr>
                      <w:rFonts w:hint="cs"/>
                      <w:rtl/>
                    </w:rPr>
                    <w:t>מאגר המידע</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מאגר המידע אשר המינהל ינהל, יכלול פרטים לגבי דירות במקרקעין, ככל שאלה נקלטו במערכת הממוכנת של המינהל, כמפורט להלן:</w:t>
      </w:r>
    </w:p>
    <w:p w:rsidR="002C2A5B" w:rsidRDefault="002C2A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נתונים מזהים;</w:t>
      </w:r>
    </w:p>
    <w:p w:rsidR="002C2A5B" w:rsidRDefault="002C2A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משפחה, שם פרטי, מספר תעודת זהות של בעלי הזכות;</w:t>
      </w:r>
    </w:p>
    <w:p w:rsidR="002C2A5B" w:rsidRDefault="002C2A5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שיעור חלקו של כל בעל זכות;</w:t>
      </w:r>
    </w:p>
    <w:p w:rsidR="002C2A5B" w:rsidRDefault="002C2A5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תיק במינהל;</w:t>
      </w:r>
    </w:p>
    <w:p w:rsidR="002C2A5B" w:rsidRDefault="002C2A5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סוג החוזה;</w:t>
      </w:r>
    </w:p>
    <w:p w:rsidR="002C2A5B" w:rsidRDefault="002C2A5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סיווג דמי החכירה על פי החוזה כדמי חכירה מהוונים או כדמי חכירה שנתיים;</w:t>
      </w:r>
    </w:p>
    <w:p w:rsidR="002C2A5B" w:rsidRDefault="002C2A5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מועד רכישת הזכות, תקופתה ושיעור דמי החכירה הראשוניים;</w:t>
      </w:r>
    </w:p>
    <w:p w:rsidR="002C2A5B" w:rsidRDefault="002C2A5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שטח המגרש על פי החוזה וסך כל השטח המבנוי שאישר המינהל;</w:t>
      </w:r>
    </w:p>
    <w:p w:rsidR="002C2A5B" w:rsidRDefault="002C2A5B">
      <w:pPr>
        <w:pStyle w:val="P00"/>
        <w:spacing w:before="72"/>
        <w:ind w:left="1021" w:right="1134"/>
        <w:rPr>
          <w:rStyle w:val="default"/>
          <w:rFonts w:cs="FrankRuehl" w:hint="cs"/>
          <w:rtl/>
        </w:rPr>
      </w:pPr>
      <w:r>
        <w:rPr>
          <w:rStyle w:val="default"/>
          <w:rFonts w:cs="FrankRuehl" w:hint="cs"/>
          <w:rtl/>
        </w:rPr>
        <w:lastRenderedPageBreak/>
        <w:t>(9)</w:t>
      </w:r>
      <w:r>
        <w:rPr>
          <w:rStyle w:val="default"/>
          <w:rFonts w:cs="FrankRuehl" w:hint="cs"/>
          <w:rtl/>
        </w:rPr>
        <w:tab/>
        <w:t>הודעות שהומצאו למינהל בדבר משכון שנרשם, על פי דין, על זכויות לגבי הדירה;</w:t>
      </w:r>
    </w:p>
    <w:p w:rsidR="002C2A5B" w:rsidRDefault="002C2A5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התחייבות של המינהל לרישום משכנתה בנוגע לדירה בעת רישומה בפנקסי המקרקעין; תאריך נתינתה, מי שלטובתו ניתנה, סכום ההתחייבות במועד ההתחייבות ודרגת המשכנתה;</w:t>
      </w:r>
    </w:p>
    <w:p w:rsidR="002C2A5B" w:rsidRDefault="002C2A5B">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הודעות שהומצאו למינהל בדבר פסקי דין, החלטות וצווים שנתנו בית המשפט או רשות אחרת המוסמכת לכך על פי דין, הנוגעים לזכויות לגבי הדירה;</w:t>
      </w:r>
    </w:p>
    <w:p w:rsidR="002C2A5B" w:rsidRDefault="002C2A5B">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בקשות שהוגשו להעברת זכויות לגבי הדירה;</w:t>
      </w:r>
    </w:p>
    <w:p w:rsidR="002C2A5B" w:rsidRDefault="002C2A5B">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תאריך אחרון של עדכון מאגר המידע.</w:t>
      </w:r>
    </w:p>
    <w:p w:rsidR="002C2A5B" w:rsidRDefault="002C2A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מאגר המידע יוצג באינטרנט באתר </w:t>
      </w:r>
      <w:hyperlink r:id="rId7" w:history="1">
        <w:r>
          <w:rPr>
            <w:rStyle w:val="Hyperlink"/>
            <w:szCs w:val="20"/>
          </w:rPr>
          <w:t>www.mmi.gov.il</w:t>
        </w:r>
      </w:hyperlink>
      <w:r>
        <w:rPr>
          <w:rStyle w:val="default"/>
          <w:rFonts w:cs="FrankRuehl" w:hint="cs"/>
          <w:rtl/>
        </w:rPr>
        <w:t xml:space="preserve"> או באתר אחר שכתובתו תפורסם בהודעה ברשומות</w:t>
      </w:r>
    </w:p>
    <w:p w:rsidR="002C2A5B" w:rsidRDefault="002C2A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ייכללו במאגר המידע תיקים שמנהל המאגר טרם וידא כי נתוניהם מהימנים.</w:t>
      </w:r>
    </w:p>
    <w:p w:rsidR="002C2A5B" w:rsidRDefault="002C2A5B">
      <w:pPr>
        <w:pStyle w:val="P00"/>
        <w:spacing w:before="72"/>
        <w:ind w:left="0" w:right="1134"/>
        <w:rPr>
          <w:rStyle w:val="default"/>
          <w:rFonts w:cs="FrankRuehl" w:hint="cs"/>
          <w:rtl/>
        </w:rPr>
      </w:pPr>
      <w:bookmarkStart w:id="2" w:name="Seif2"/>
      <w:bookmarkEnd w:id="2"/>
      <w:r>
        <w:rPr>
          <w:rFonts w:cs="Miriam"/>
          <w:lang w:val="he-IL"/>
        </w:rPr>
        <w:pict>
          <v:rect id="_x0000_s1359" style="position:absolute;left:0;text-align:left;margin-left:464.35pt;margin-top:7.1pt;width:75.05pt;height:23.35pt;z-index:251657728" o:allowincell="f" filled="f" stroked="f" strokecolor="lime" strokeweight=".25pt">
            <v:textbox style="mso-next-textbox:#_x0000_s1359" inset="0,0,0,0">
              <w:txbxContent>
                <w:p w:rsidR="002C2A5B" w:rsidRDefault="002C2A5B">
                  <w:pPr>
                    <w:spacing w:line="160" w:lineRule="exact"/>
                    <w:rPr>
                      <w:rFonts w:cs="Miriam" w:hint="cs"/>
                      <w:noProof/>
                      <w:sz w:val="18"/>
                      <w:szCs w:val="18"/>
                      <w:rtl/>
                    </w:rPr>
                  </w:pPr>
                  <w:r>
                    <w:rPr>
                      <w:rFonts w:cs="Miriam" w:hint="cs"/>
                      <w:sz w:val="18"/>
                      <w:szCs w:val="18"/>
                      <w:rtl/>
                    </w:rPr>
                    <w:t>התנאים למסירת מידע ממאגר המידע</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שאילתה לקבלת מידע ממאגר המידע תוצג לפי נתונים מזהים, שעליהם ייווספו, במידת הצורך, דם שם משפחה, שם פרטי ומספר תעודת זהות של בעל זכות.</w:t>
      </w:r>
    </w:p>
    <w:p w:rsidR="002C2A5B" w:rsidRDefault="002C2A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המבקש לקבל גם במשרדי המינהל פלט מחשב שיופק ממאגר המידע, יגיש בקשה על כך למשרד המחוז שבו מנוהלים המקרקעין שבהם הדירה נושא המידע.</w:t>
      </w:r>
    </w:p>
    <w:p w:rsidR="002C2A5B" w:rsidRDefault="002C2A5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המידע שבמאגר המידע </w:t>
      </w:r>
      <w:r>
        <w:rPr>
          <w:rStyle w:val="default"/>
          <w:rFonts w:cs="FrankRuehl"/>
          <w:rtl/>
        </w:rPr>
        <w:t>–</w:t>
      </w:r>
    </w:p>
    <w:p w:rsidR="002C2A5B" w:rsidRDefault="002C2A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אינו מהווה "אישור זכויות" כמשמעו בתקנות מינהל מקרקעי ישראל (אגרות), התשס"ד-2004;</w:t>
      </w:r>
    </w:p>
    <w:p w:rsidR="002C2A5B" w:rsidRDefault="002C2A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אינו מהווה תחליף לעיון בכל מרשם המתנהל על פי דין או לרישומים המתנהלים אצל נותן שירות;</w:t>
      </w:r>
    </w:p>
    <w:p w:rsidR="002C2A5B" w:rsidRDefault="002C2A5B">
      <w:pPr>
        <w:pStyle w:val="P00"/>
        <w:spacing w:before="72"/>
        <w:ind w:left="0" w:right="1134"/>
        <w:rPr>
          <w:rStyle w:val="default"/>
          <w:rFonts w:cs="FrankRuehl" w:hint="cs"/>
          <w:rtl/>
        </w:rPr>
      </w:pPr>
      <w:r>
        <w:rPr>
          <w:rStyle w:val="default"/>
          <w:rFonts w:cs="FrankRuehl" w:hint="cs"/>
          <w:rtl/>
        </w:rPr>
        <w:t>אזהרה לענינים אלה תופיע במאגר המידע ובכל פלט מחשב שיופק ממנו.</w:t>
      </w:r>
    </w:p>
    <w:p w:rsidR="002C2A5B" w:rsidRDefault="002C2A5B">
      <w:pPr>
        <w:pStyle w:val="P00"/>
        <w:spacing w:before="72"/>
        <w:ind w:left="0" w:right="1134"/>
        <w:rPr>
          <w:rStyle w:val="default"/>
          <w:rFonts w:cs="FrankRuehl" w:hint="cs"/>
          <w:rtl/>
        </w:rPr>
      </w:pPr>
      <w:bookmarkStart w:id="3" w:name="Seif3"/>
      <w:bookmarkEnd w:id="3"/>
      <w:r>
        <w:rPr>
          <w:rFonts w:cs="Miriam"/>
          <w:lang w:val="he-IL"/>
        </w:rPr>
        <w:pict>
          <v:rect id="_x0000_s1379" style="position:absolute;left:0;text-align:left;margin-left:464.35pt;margin-top:7.1pt;width:75.05pt;height:19.5pt;z-index:251658752" o:allowincell="f" filled="f" stroked="f" strokecolor="lime" strokeweight=".25pt">
            <v:textbox style="mso-next-textbox:#_x0000_s1379" inset="0,0,0,0">
              <w:txbxContent>
                <w:p w:rsidR="002C2A5B" w:rsidRDefault="002C2A5B">
                  <w:pPr>
                    <w:spacing w:line="160" w:lineRule="exact"/>
                    <w:rPr>
                      <w:rFonts w:cs="Miriam" w:hint="cs"/>
                      <w:noProof/>
                      <w:sz w:val="18"/>
                      <w:szCs w:val="18"/>
                      <w:rtl/>
                    </w:rPr>
                  </w:pPr>
                  <w:r>
                    <w:rPr>
                      <w:rFonts w:cs="Miriam" w:hint="cs"/>
                      <w:sz w:val="18"/>
                      <w:szCs w:val="18"/>
                      <w:rtl/>
                    </w:rPr>
                    <w:t>תחילה ותוקף</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תחילתן של תקנות אלה 120 ימים מיום פרסומן או מיום פרסום תקנות מינהל מקרקעי ישראל (אגרות), התשס"ד-2004, לפי המאוחר.</w:t>
      </w:r>
    </w:p>
    <w:p w:rsidR="002C2A5B" w:rsidRDefault="002C2A5B" w:rsidP="00020586">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419" type="#_x0000_t202" style="position:absolute;left:0;text-align:left;margin-left:470.35pt;margin-top:7.1pt;width:1in;height:18.7pt;z-index:251659776" filled="f" stroked="f">
            <v:textbox inset="1mm,0,1mm,0">
              <w:txbxContent>
                <w:p w:rsidR="002C2A5B" w:rsidRDefault="002C2A5B">
                  <w:pPr>
                    <w:spacing w:line="160" w:lineRule="exact"/>
                    <w:rPr>
                      <w:rFonts w:cs="Miriam" w:hint="cs"/>
                      <w:noProof/>
                      <w:sz w:val="18"/>
                      <w:szCs w:val="18"/>
                      <w:rtl/>
                    </w:rPr>
                  </w:pPr>
                  <w:r>
                    <w:rPr>
                      <w:rFonts w:cs="Miriam" w:hint="cs"/>
                      <w:sz w:val="18"/>
                      <w:szCs w:val="18"/>
                      <w:rtl/>
                    </w:rPr>
                    <w:t xml:space="preserve">תק' </w:t>
                  </w:r>
                  <w:r w:rsidR="00020586">
                    <w:rPr>
                      <w:rFonts w:cs="Miriam" w:hint="cs"/>
                      <w:sz w:val="18"/>
                      <w:szCs w:val="18"/>
                      <w:rtl/>
                    </w:rPr>
                    <w:t xml:space="preserve">(מס' 2) </w:t>
                  </w:r>
                  <w:r>
                    <w:rPr>
                      <w:rFonts w:cs="Miriam" w:hint="cs"/>
                      <w:sz w:val="18"/>
                      <w:szCs w:val="18"/>
                      <w:rtl/>
                    </w:rPr>
                    <w:t>תשס"ח-2008</w:t>
                  </w:r>
                </w:p>
              </w:txbxContent>
            </v:textbox>
          </v:shape>
        </w:pict>
      </w:r>
      <w:r>
        <w:rPr>
          <w:rStyle w:val="default"/>
          <w:rFonts w:cs="FrankRuehl" w:hint="cs"/>
          <w:rtl/>
        </w:rPr>
        <w:tab/>
        <w:t>(ב)</w:t>
      </w:r>
      <w:r>
        <w:rPr>
          <w:rStyle w:val="default"/>
          <w:rFonts w:cs="FrankRuehl" w:hint="cs"/>
          <w:rtl/>
        </w:rPr>
        <w:tab/>
        <w:t xml:space="preserve">תקנה 3(ג)(1) </w:t>
      </w:r>
      <w:r w:rsidR="00020586">
        <w:rPr>
          <w:rStyle w:val="default"/>
          <w:rFonts w:cs="FrankRuehl" w:hint="cs"/>
          <w:rtl/>
        </w:rPr>
        <w:t xml:space="preserve">תעמוד בתוקפה </w:t>
      </w:r>
      <w:r>
        <w:rPr>
          <w:rStyle w:val="default"/>
          <w:rFonts w:cs="FrankRuehl" w:hint="cs"/>
          <w:rtl/>
        </w:rPr>
        <w:t xml:space="preserve">עד יום </w:t>
      </w:r>
      <w:r w:rsidR="00020586">
        <w:rPr>
          <w:rStyle w:val="default"/>
          <w:rFonts w:cs="FrankRuehl" w:hint="cs"/>
          <w:rtl/>
        </w:rPr>
        <w:t>כ"ג</w:t>
      </w:r>
      <w:r>
        <w:rPr>
          <w:rStyle w:val="default"/>
          <w:rFonts w:cs="FrankRuehl" w:hint="cs"/>
          <w:rtl/>
        </w:rPr>
        <w:t xml:space="preserve"> בסיוון התשס"</w:t>
      </w:r>
      <w:r w:rsidR="00020586">
        <w:rPr>
          <w:rStyle w:val="default"/>
          <w:rFonts w:cs="FrankRuehl" w:hint="cs"/>
          <w:rtl/>
        </w:rPr>
        <w:t>ט</w:t>
      </w:r>
      <w:r>
        <w:rPr>
          <w:rStyle w:val="default"/>
          <w:rFonts w:cs="FrankRuehl" w:hint="cs"/>
          <w:rtl/>
        </w:rPr>
        <w:t xml:space="preserve"> (15 ביוני 200</w:t>
      </w:r>
      <w:r w:rsidR="00020586">
        <w:rPr>
          <w:rStyle w:val="default"/>
          <w:rFonts w:cs="FrankRuehl" w:hint="cs"/>
          <w:rtl/>
        </w:rPr>
        <w:t>9</w:t>
      </w:r>
      <w:r>
        <w:rPr>
          <w:rStyle w:val="default"/>
          <w:rFonts w:cs="FrankRuehl" w:hint="cs"/>
          <w:rtl/>
        </w:rPr>
        <w:t>).</w:t>
      </w:r>
    </w:p>
    <w:p w:rsidR="002C2A5B" w:rsidRPr="00A83424" w:rsidRDefault="002C2A5B">
      <w:pPr>
        <w:pStyle w:val="P00"/>
        <w:spacing w:before="0"/>
        <w:ind w:left="0" w:right="1134"/>
        <w:rPr>
          <w:rStyle w:val="default"/>
          <w:rFonts w:cs="FrankRuehl" w:hint="cs"/>
          <w:vanish/>
          <w:color w:val="FF0000"/>
          <w:sz w:val="20"/>
          <w:szCs w:val="20"/>
          <w:shd w:val="clear" w:color="auto" w:fill="FFFF99"/>
          <w:rtl/>
        </w:rPr>
      </w:pPr>
      <w:bookmarkStart w:id="4" w:name="Rov5"/>
      <w:r w:rsidRPr="00A83424">
        <w:rPr>
          <w:rStyle w:val="default"/>
          <w:rFonts w:cs="FrankRuehl" w:hint="cs"/>
          <w:vanish/>
          <w:color w:val="FF0000"/>
          <w:sz w:val="20"/>
          <w:szCs w:val="20"/>
          <w:shd w:val="clear" w:color="auto" w:fill="FFFF99"/>
          <w:rtl/>
        </w:rPr>
        <w:t>מיום 25.2.2008</w:t>
      </w:r>
    </w:p>
    <w:p w:rsidR="002C2A5B" w:rsidRPr="00A83424" w:rsidRDefault="002C2A5B">
      <w:pPr>
        <w:pStyle w:val="P00"/>
        <w:spacing w:before="0"/>
        <w:ind w:left="0" w:right="1134"/>
        <w:rPr>
          <w:rStyle w:val="default"/>
          <w:rFonts w:cs="FrankRuehl" w:hint="cs"/>
          <w:vanish/>
          <w:sz w:val="20"/>
          <w:szCs w:val="20"/>
          <w:shd w:val="clear" w:color="auto" w:fill="FFFF99"/>
          <w:rtl/>
        </w:rPr>
      </w:pPr>
      <w:r w:rsidRPr="00A83424">
        <w:rPr>
          <w:rStyle w:val="default"/>
          <w:rFonts w:cs="FrankRuehl" w:hint="cs"/>
          <w:b/>
          <w:bCs/>
          <w:vanish/>
          <w:sz w:val="20"/>
          <w:szCs w:val="20"/>
          <w:shd w:val="clear" w:color="auto" w:fill="FFFF99"/>
          <w:rtl/>
        </w:rPr>
        <w:t>תק' תשס"ח-2008</w:t>
      </w:r>
    </w:p>
    <w:p w:rsidR="002C2A5B" w:rsidRPr="00A83424" w:rsidRDefault="002C2A5B">
      <w:pPr>
        <w:pStyle w:val="P00"/>
        <w:spacing w:before="0"/>
        <w:ind w:left="0" w:right="1134"/>
        <w:rPr>
          <w:rStyle w:val="default"/>
          <w:rFonts w:cs="FrankRuehl" w:hint="cs"/>
          <w:vanish/>
          <w:sz w:val="20"/>
          <w:szCs w:val="20"/>
          <w:shd w:val="clear" w:color="auto" w:fill="FFFF99"/>
          <w:rtl/>
        </w:rPr>
      </w:pPr>
      <w:hyperlink r:id="rId8" w:history="1">
        <w:r w:rsidRPr="00A83424">
          <w:rPr>
            <w:rStyle w:val="Hyperlink"/>
            <w:rFonts w:cs="FrankRuehl" w:hint="cs"/>
            <w:vanish/>
            <w:szCs w:val="20"/>
            <w:shd w:val="clear" w:color="auto" w:fill="FFFF99"/>
            <w:rtl/>
          </w:rPr>
          <w:t>ק"ת תשס"ח מס' 6650</w:t>
        </w:r>
      </w:hyperlink>
      <w:r w:rsidRPr="00A83424">
        <w:rPr>
          <w:rStyle w:val="default"/>
          <w:rFonts w:cs="FrankRuehl" w:hint="cs"/>
          <w:vanish/>
          <w:sz w:val="20"/>
          <w:szCs w:val="20"/>
          <w:shd w:val="clear" w:color="auto" w:fill="FFFF99"/>
          <w:rtl/>
        </w:rPr>
        <w:t xml:space="preserve"> מיום 25.2.2008 עמ' 549</w:t>
      </w:r>
    </w:p>
    <w:p w:rsidR="002C2A5B" w:rsidRPr="00A83424" w:rsidRDefault="002C2A5B">
      <w:pPr>
        <w:pStyle w:val="P00"/>
        <w:ind w:left="0" w:right="1134"/>
        <w:rPr>
          <w:rStyle w:val="default"/>
          <w:rFonts w:cs="FrankRuehl" w:hint="cs"/>
          <w:vanish/>
          <w:sz w:val="22"/>
          <w:szCs w:val="22"/>
          <w:shd w:val="clear" w:color="auto" w:fill="FFFF99"/>
          <w:rtl/>
        </w:rPr>
      </w:pPr>
      <w:r w:rsidRPr="00A83424">
        <w:rPr>
          <w:rStyle w:val="default"/>
          <w:rFonts w:cs="FrankRuehl" w:hint="cs"/>
          <w:vanish/>
          <w:sz w:val="22"/>
          <w:szCs w:val="22"/>
          <w:shd w:val="clear" w:color="auto" w:fill="FFFF99"/>
          <w:rtl/>
        </w:rPr>
        <w:tab/>
        <w:t>(ב)</w:t>
      </w:r>
      <w:r w:rsidRPr="00A83424">
        <w:rPr>
          <w:rStyle w:val="default"/>
          <w:rFonts w:cs="FrankRuehl" w:hint="cs"/>
          <w:vanish/>
          <w:sz w:val="22"/>
          <w:szCs w:val="22"/>
          <w:shd w:val="clear" w:color="auto" w:fill="FFFF99"/>
          <w:rtl/>
        </w:rPr>
        <w:tab/>
        <w:t xml:space="preserve">תוקפה של תקנה 3(ג)(1) </w:t>
      </w:r>
      <w:r w:rsidRPr="00A83424">
        <w:rPr>
          <w:rStyle w:val="default"/>
          <w:rFonts w:cs="FrankRuehl" w:hint="cs"/>
          <w:strike/>
          <w:vanish/>
          <w:sz w:val="22"/>
          <w:szCs w:val="22"/>
          <w:shd w:val="clear" w:color="auto" w:fill="FFFF99"/>
          <w:rtl/>
        </w:rPr>
        <w:t>לשנתיים</w:t>
      </w:r>
      <w:r w:rsidRPr="00A83424">
        <w:rPr>
          <w:rStyle w:val="default"/>
          <w:rFonts w:cs="FrankRuehl" w:hint="cs"/>
          <w:vanish/>
          <w:sz w:val="22"/>
          <w:szCs w:val="22"/>
          <w:shd w:val="clear" w:color="auto" w:fill="FFFF99"/>
          <w:rtl/>
        </w:rPr>
        <w:t xml:space="preserve"> </w:t>
      </w:r>
      <w:r w:rsidRPr="00A83424">
        <w:rPr>
          <w:rStyle w:val="default"/>
          <w:rFonts w:cs="FrankRuehl" w:hint="cs"/>
          <w:vanish/>
          <w:sz w:val="22"/>
          <w:szCs w:val="22"/>
          <w:u w:val="single"/>
          <w:shd w:val="clear" w:color="auto" w:fill="FFFF99"/>
          <w:rtl/>
        </w:rPr>
        <w:t>עד יום י"ב בסיוון התשס"ח (15 ביוני 2008)</w:t>
      </w:r>
      <w:r w:rsidRPr="00A83424">
        <w:rPr>
          <w:rStyle w:val="default"/>
          <w:rFonts w:cs="FrankRuehl" w:hint="cs"/>
          <w:vanish/>
          <w:sz w:val="22"/>
          <w:szCs w:val="22"/>
          <w:shd w:val="clear" w:color="auto" w:fill="FFFF99"/>
          <w:rtl/>
        </w:rPr>
        <w:t xml:space="preserve"> מיום תחילתן של תקנות אלה.</w:t>
      </w:r>
    </w:p>
    <w:p w:rsidR="00020586" w:rsidRPr="00A83424" w:rsidRDefault="00020586" w:rsidP="00020586">
      <w:pPr>
        <w:pStyle w:val="P00"/>
        <w:spacing w:before="0"/>
        <w:ind w:left="0" w:right="1134"/>
        <w:rPr>
          <w:rStyle w:val="default"/>
          <w:rFonts w:cs="FrankRuehl" w:hint="cs"/>
          <w:vanish/>
          <w:sz w:val="20"/>
          <w:szCs w:val="20"/>
          <w:shd w:val="clear" w:color="auto" w:fill="FFFF99"/>
          <w:rtl/>
        </w:rPr>
      </w:pPr>
    </w:p>
    <w:p w:rsidR="00020586" w:rsidRPr="00A83424" w:rsidRDefault="00020586" w:rsidP="00020586">
      <w:pPr>
        <w:pStyle w:val="P00"/>
        <w:spacing w:before="0"/>
        <w:ind w:left="0" w:right="1134"/>
        <w:rPr>
          <w:rStyle w:val="default"/>
          <w:rFonts w:cs="FrankRuehl" w:hint="cs"/>
          <w:vanish/>
          <w:color w:val="FF0000"/>
          <w:sz w:val="20"/>
          <w:szCs w:val="20"/>
          <w:shd w:val="clear" w:color="auto" w:fill="FFFF99"/>
          <w:rtl/>
        </w:rPr>
      </w:pPr>
      <w:r w:rsidRPr="00A83424">
        <w:rPr>
          <w:rStyle w:val="default"/>
          <w:rFonts w:cs="FrankRuehl" w:hint="cs"/>
          <w:vanish/>
          <w:color w:val="FF0000"/>
          <w:sz w:val="20"/>
          <w:szCs w:val="20"/>
          <w:shd w:val="clear" w:color="auto" w:fill="FFFF99"/>
          <w:rtl/>
        </w:rPr>
        <w:t>מיום 14.8.2008</w:t>
      </w:r>
    </w:p>
    <w:p w:rsidR="00020586" w:rsidRPr="00A83424" w:rsidRDefault="00020586" w:rsidP="00020586">
      <w:pPr>
        <w:pStyle w:val="P00"/>
        <w:spacing w:before="0"/>
        <w:ind w:left="0" w:right="1134"/>
        <w:rPr>
          <w:rStyle w:val="default"/>
          <w:rFonts w:cs="FrankRuehl" w:hint="cs"/>
          <w:vanish/>
          <w:sz w:val="20"/>
          <w:szCs w:val="20"/>
          <w:shd w:val="clear" w:color="auto" w:fill="FFFF99"/>
          <w:rtl/>
        </w:rPr>
      </w:pPr>
      <w:r w:rsidRPr="00A83424">
        <w:rPr>
          <w:rStyle w:val="default"/>
          <w:rFonts w:cs="FrankRuehl" w:hint="cs"/>
          <w:b/>
          <w:bCs/>
          <w:vanish/>
          <w:sz w:val="20"/>
          <w:szCs w:val="20"/>
          <w:shd w:val="clear" w:color="auto" w:fill="FFFF99"/>
          <w:rtl/>
        </w:rPr>
        <w:t>תק' (מס' 2) תשס"ח-2008</w:t>
      </w:r>
    </w:p>
    <w:p w:rsidR="00020586" w:rsidRPr="00A83424" w:rsidRDefault="00020586" w:rsidP="00020586">
      <w:pPr>
        <w:pStyle w:val="P00"/>
        <w:spacing w:before="0"/>
        <w:ind w:left="0" w:right="1134"/>
        <w:rPr>
          <w:rStyle w:val="default"/>
          <w:rFonts w:cs="FrankRuehl" w:hint="cs"/>
          <w:vanish/>
          <w:sz w:val="20"/>
          <w:szCs w:val="20"/>
          <w:shd w:val="clear" w:color="auto" w:fill="FFFF99"/>
          <w:rtl/>
        </w:rPr>
      </w:pPr>
      <w:hyperlink r:id="rId9" w:history="1">
        <w:r w:rsidRPr="00A83424">
          <w:rPr>
            <w:rStyle w:val="Hyperlink"/>
            <w:rFonts w:cs="FrankRuehl" w:hint="cs"/>
            <w:vanish/>
            <w:szCs w:val="20"/>
            <w:shd w:val="clear" w:color="auto" w:fill="FFFF99"/>
            <w:rtl/>
          </w:rPr>
          <w:t>ק"ת תשס"ח מס' 6702</w:t>
        </w:r>
      </w:hyperlink>
      <w:r w:rsidRPr="00A83424">
        <w:rPr>
          <w:rStyle w:val="default"/>
          <w:rFonts w:cs="FrankRuehl" w:hint="cs"/>
          <w:vanish/>
          <w:sz w:val="20"/>
          <w:szCs w:val="20"/>
          <w:shd w:val="clear" w:color="auto" w:fill="FFFF99"/>
          <w:rtl/>
        </w:rPr>
        <w:t xml:space="preserve"> מיום 14.8.2008 עמ' 1232</w:t>
      </w:r>
    </w:p>
    <w:p w:rsidR="00020586" w:rsidRPr="00A83424" w:rsidRDefault="00020586" w:rsidP="00020586">
      <w:pPr>
        <w:pStyle w:val="P00"/>
        <w:spacing w:before="0"/>
        <w:ind w:left="0" w:right="1134"/>
        <w:rPr>
          <w:rStyle w:val="default"/>
          <w:rFonts w:cs="FrankRuehl" w:hint="cs"/>
          <w:vanish/>
          <w:sz w:val="20"/>
          <w:szCs w:val="20"/>
          <w:shd w:val="clear" w:color="auto" w:fill="FFFF99"/>
          <w:rtl/>
        </w:rPr>
      </w:pPr>
      <w:r w:rsidRPr="00A83424">
        <w:rPr>
          <w:rStyle w:val="default"/>
          <w:rFonts w:cs="FrankRuehl" w:hint="cs"/>
          <w:b/>
          <w:bCs/>
          <w:vanish/>
          <w:sz w:val="20"/>
          <w:szCs w:val="20"/>
          <w:shd w:val="clear" w:color="auto" w:fill="FFFF99"/>
          <w:rtl/>
        </w:rPr>
        <w:t>החלפת תקנת משנה 4(ב)</w:t>
      </w:r>
    </w:p>
    <w:p w:rsidR="00020586" w:rsidRPr="00A83424" w:rsidRDefault="00020586" w:rsidP="00020586">
      <w:pPr>
        <w:pStyle w:val="P00"/>
        <w:ind w:left="0" w:right="1134"/>
        <w:rPr>
          <w:rStyle w:val="default"/>
          <w:rFonts w:cs="FrankRuehl" w:hint="cs"/>
          <w:vanish/>
          <w:sz w:val="20"/>
          <w:szCs w:val="20"/>
          <w:shd w:val="clear" w:color="auto" w:fill="FFFF99"/>
          <w:rtl/>
        </w:rPr>
      </w:pPr>
      <w:r w:rsidRPr="00A83424">
        <w:rPr>
          <w:rStyle w:val="default"/>
          <w:rFonts w:cs="FrankRuehl" w:hint="cs"/>
          <w:vanish/>
          <w:sz w:val="20"/>
          <w:szCs w:val="20"/>
          <w:shd w:val="clear" w:color="auto" w:fill="FFFF99"/>
          <w:rtl/>
        </w:rPr>
        <w:t>הנוסח הקודם:</w:t>
      </w:r>
    </w:p>
    <w:p w:rsidR="00020586" w:rsidRPr="00020586" w:rsidRDefault="00020586" w:rsidP="00020586">
      <w:pPr>
        <w:pStyle w:val="P00"/>
        <w:spacing w:before="0"/>
        <w:ind w:left="0" w:right="1134"/>
        <w:rPr>
          <w:rStyle w:val="default"/>
          <w:rFonts w:cs="FrankRuehl" w:hint="cs"/>
          <w:strike/>
          <w:sz w:val="2"/>
          <w:szCs w:val="2"/>
          <w:rtl/>
        </w:rPr>
      </w:pPr>
      <w:r w:rsidRPr="00A83424">
        <w:rPr>
          <w:rStyle w:val="default"/>
          <w:rFonts w:cs="FrankRuehl" w:hint="cs"/>
          <w:vanish/>
          <w:sz w:val="22"/>
          <w:szCs w:val="22"/>
          <w:shd w:val="clear" w:color="auto" w:fill="FFFF99"/>
          <w:rtl/>
        </w:rPr>
        <w:tab/>
      </w:r>
      <w:r w:rsidRPr="00A83424">
        <w:rPr>
          <w:rStyle w:val="default"/>
          <w:rFonts w:cs="FrankRuehl" w:hint="cs"/>
          <w:strike/>
          <w:vanish/>
          <w:sz w:val="22"/>
          <w:szCs w:val="22"/>
          <w:shd w:val="clear" w:color="auto" w:fill="FFFF99"/>
          <w:rtl/>
        </w:rPr>
        <w:t>(ב)</w:t>
      </w:r>
      <w:r w:rsidRPr="00A83424">
        <w:rPr>
          <w:rStyle w:val="default"/>
          <w:rFonts w:cs="FrankRuehl" w:hint="cs"/>
          <w:strike/>
          <w:vanish/>
          <w:sz w:val="22"/>
          <w:szCs w:val="22"/>
          <w:shd w:val="clear" w:color="auto" w:fill="FFFF99"/>
          <w:rtl/>
        </w:rPr>
        <w:tab/>
        <w:t>תוקפה של תקנה 3(ג)(1) עד יום י"ב בסיוון התשס"ח (15 ביוני 2008) מיום תחילתן של תקנות אלה.</w:t>
      </w:r>
      <w:bookmarkEnd w:id="4"/>
    </w:p>
    <w:p w:rsidR="002C2A5B" w:rsidRDefault="002C2A5B">
      <w:pPr>
        <w:pStyle w:val="P00"/>
        <w:spacing w:before="72"/>
        <w:ind w:left="0" w:right="1134"/>
        <w:rPr>
          <w:rStyle w:val="default"/>
          <w:rFonts w:cs="FrankRuehl" w:hint="cs"/>
          <w:rtl/>
        </w:rPr>
      </w:pPr>
    </w:p>
    <w:p w:rsidR="002C2A5B" w:rsidRDefault="002C2A5B">
      <w:pPr>
        <w:pStyle w:val="P00"/>
        <w:spacing w:before="72"/>
        <w:ind w:left="0" w:right="1134"/>
        <w:rPr>
          <w:rStyle w:val="default"/>
          <w:rFonts w:cs="FrankRuehl" w:hint="cs"/>
          <w:rtl/>
        </w:rPr>
      </w:pPr>
    </w:p>
    <w:p w:rsidR="002C2A5B" w:rsidRDefault="002C2A5B" w:rsidP="00A8342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י"א באב התשס"ד (29 ביולי 2004)</w:t>
      </w:r>
      <w:r>
        <w:rPr>
          <w:rStyle w:val="default"/>
          <w:rFonts w:cs="FrankRuehl" w:hint="cs"/>
          <w:rtl/>
        </w:rPr>
        <w:tab/>
        <w:t>אהוד אולמרט</w:t>
      </w:r>
    </w:p>
    <w:p w:rsidR="002C2A5B" w:rsidRDefault="002C2A5B" w:rsidP="00A83424">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התעשיה המסחר והתעסוקה</w:t>
      </w:r>
    </w:p>
    <w:p w:rsidR="002C2A5B" w:rsidRPr="00A83424" w:rsidRDefault="002C2A5B" w:rsidP="00A83424">
      <w:pPr>
        <w:pStyle w:val="P00"/>
        <w:spacing w:before="72"/>
        <w:ind w:left="0" w:right="1134"/>
        <w:rPr>
          <w:rStyle w:val="default"/>
          <w:rFonts w:cs="FrankRuehl" w:hint="cs"/>
          <w:rtl/>
        </w:rPr>
      </w:pPr>
    </w:p>
    <w:p w:rsidR="002C2A5B" w:rsidRPr="00A83424" w:rsidRDefault="002C2A5B" w:rsidP="00A83424">
      <w:pPr>
        <w:pStyle w:val="P00"/>
        <w:spacing w:before="72"/>
        <w:ind w:left="0" w:right="1134"/>
        <w:rPr>
          <w:rStyle w:val="default"/>
          <w:rFonts w:cs="FrankRuehl" w:hint="cs"/>
          <w:rtl/>
        </w:rPr>
      </w:pPr>
    </w:p>
    <w:p w:rsidR="002C2A5B" w:rsidRDefault="00C130CD">
      <w:pPr>
        <w:pStyle w:val="sig-0"/>
        <w:ind w:left="0" w:right="1134"/>
        <w:rPr>
          <w:rFonts w:cs="FrankRuehl" w:hint="cs"/>
          <w:sz w:val="16"/>
          <w:szCs w:val="16"/>
          <w:rtl/>
        </w:rPr>
      </w:pPr>
      <w:r w:rsidRPr="00C130CD">
        <w:rPr>
          <w:rFonts w:cs="FrankRuehl"/>
          <w:sz w:val="16"/>
          <w:szCs w:val="16"/>
          <w:rtl/>
        </w:rPr>
        <w:t>גפני</w:t>
      </w:r>
    </w:p>
    <w:p w:rsidR="00A83424" w:rsidRPr="00A83424" w:rsidRDefault="00A83424" w:rsidP="00A83424">
      <w:pPr>
        <w:pStyle w:val="P00"/>
        <w:spacing w:before="72"/>
        <w:ind w:left="0" w:right="1134"/>
        <w:rPr>
          <w:rStyle w:val="default"/>
          <w:rFonts w:cs="FrankRuehl"/>
          <w:rtl/>
        </w:rPr>
      </w:pPr>
    </w:p>
    <w:sectPr w:rsidR="00A83424" w:rsidRPr="00A8342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5AF9" w:rsidRPr="00BF182E" w:rsidRDefault="00D45AF9">
      <w:pPr>
        <w:rPr>
          <w:rFonts w:cs="Arial"/>
          <w:szCs w:val="20"/>
        </w:rPr>
      </w:pPr>
      <w:r>
        <w:separator/>
      </w:r>
    </w:p>
  </w:endnote>
  <w:endnote w:type="continuationSeparator" w:id="0">
    <w:p w:rsidR="00D45AF9" w:rsidRPr="00BF182E" w:rsidRDefault="00D45AF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A5B" w:rsidRDefault="002C2A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C2A5B" w:rsidRDefault="002C2A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2A5B" w:rsidRDefault="002C2A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C:\Yael\hakika\022608\999_879.doc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A5B" w:rsidRDefault="002C2A5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3424">
      <w:rPr>
        <w:rFonts w:hAnsi="FrankRuehl" w:cs="FrankRuehl"/>
        <w:noProof/>
        <w:sz w:val="24"/>
        <w:szCs w:val="24"/>
        <w:rtl/>
      </w:rPr>
      <w:t>2</w:t>
    </w:r>
    <w:r>
      <w:rPr>
        <w:rFonts w:hAnsi="FrankRuehl" w:cs="FrankRuehl"/>
        <w:sz w:val="24"/>
        <w:szCs w:val="24"/>
        <w:rtl/>
      </w:rPr>
      <w:fldChar w:fldCharType="end"/>
    </w:r>
  </w:p>
  <w:p w:rsidR="002C2A5B" w:rsidRDefault="002C2A5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C2A5B" w:rsidRDefault="002C2A5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C:\Yael\hakika\022608\999_879.doc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5AF9" w:rsidRDefault="00D45AF9">
      <w:pPr>
        <w:pStyle w:val="a5"/>
        <w:rPr>
          <w:rFonts w:cs="David"/>
          <w:sz w:val="24"/>
          <w:szCs w:val="24"/>
        </w:rPr>
      </w:pPr>
      <w:r>
        <w:separator/>
      </w:r>
    </w:p>
  </w:footnote>
  <w:footnote w:type="continuationSeparator" w:id="0">
    <w:p w:rsidR="00D45AF9" w:rsidRPr="00BF182E" w:rsidRDefault="00D45AF9">
      <w:pPr>
        <w:rPr>
          <w:rFonts w:cs="Arial"/>
          <w:szCs w:val="20"/>
        </w:rPr>
      </w:pPr>
      <w:r>
        <w:continuationSeparator/>
      </w:r>
    </w:p>
  </w:footnote>
  <w:footnote w:id="1">
    <w:p w:rsidR="002C2A5B" w:rsidRDefault="002C2A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תשס"ד מס' 6335</w:t>
        </w:r>
      </w:hyperlink>
      <w:r>
        <w:rPr>
          <w:rFonts w:cs="FrankRuehl" w:hint="cs"/>
          <w:rtl/>
        </w:rPr>
        <w:t xml:space="preserve"> מיום 17.8.2004 עמ' 931.</w:t>
      </w:r>
    </w:p>
    <w:p w:rsidR="00925FC9" w:rsidRDefault="002C2A5B" w:rsidP="004020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00925FC9">
          <w:rPr>
            <w:rStyle w:val="Hyperlink"/>
            <w:rFonts w:cs="FrankRuehl" w:hint="eastAsia"/>
            <w:rtl/>
          </w:rPr>
          <w:t>ק</w:t>
        </w:r>
        <w:r w:rsidR="00925FC9">
          <w:rPr>
            <w:rStyle w:val="Hyperlink"/>
            <w:rFonts w:cs="FrankRuehl"/>
            <w:rtl/>
          </w:rPr>
          <w:t>"ת תשס"ח מס' 6650</w:t>
        </w:r>
      </w:hyperlink>
      <w:r>
        <w:rPr>
          <w:rFonts w:cs="FrankRuehl" w:hint="cs"/>
          <w:rtl/>
        </w:rPr>
        <w:t xml:space="preserve"> מיום 25.2.2008 עמ' 549 </w:t>
      </w:r>
      <w:r>
        <w:rPr>
          <w:rFonts w:cs="FrankRuehl"/>
          <w:rtl/>
        </w:rPr>
        <w:t>–</w:t>
      </w:r>
      <w:r>
        <w:rPr>
          <w:rFonts w:cs="FrankRuehl" w:hint="cs"/>
          <w:rtl/>
        </w:rPr>
        <w:t xml:space="preserve"> תק' תשס"ח-2008.</w:t>
      </w:r>
      <w:r w:rsidR="00020586">
        <w:rPr>
          <w:rFonts w:cs="FrankRuehl" w:hint="cs"/>
          <w:rtl/>
        </w:rPr>
        <w:t xml:space="preserve"> </w:t>
      </w:r>
    </w:p>
    <w:p w:rsidR="00402091" w:rsidRDefault="00925FC9" w:rsidP="004020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925FC9">
          <w:rPr>
            <w:rStyle w:val="Hyperlink"/>
            <w:rFonts w:cs="FrankRuehl" w:hint="cs"/>
            <w:rtl/>
          </w:rPr>
          <w:t xml:space="preserve">ק"ת תשס"ח </w:t>
        </w:r>
        <w:r w:rsidR="00020586" w:rsidRPr="00925FC9">
          <w:rPr>
            <w:rStyle w:val="Hyperlink"/>
            <w:rFonts w:cs="FrankRuehl" w:hint="cs"/>
            <w:rtl/>
          </w:rPr>
          <w:t>מס' 6702</w:t>
        </w:r>
      </w:hyperlink>
      <w:r w:rsidR="00020586">
        <w:rPr>
          <w:rFonts w:cs="FrankRuehl" w:hint="cs"/>
          <w:rtl/>
        </w:rPr>
        <w:t xml:space="preserve"> מיום 14.8.2008 עמ' 1232 </w:t>
      </w:r>
      <w:r w:rsidR="00020586">
        <w:rPr>
          <w:rFonts w:cs="FrankRuehl"/>
          <w:rtl/>
        </w:rPr>
        <w:t>–</w:t>
      </w:r>
      <w:r w:rsidR="00020586">
        <w:rPr>
          <w:rFonts w:cs="FrankRuehl" w:hint="cs"/>
          <w:rtl/>
        </w:rPr>
        <w:t xml:space="preserve"> תק' (מס' 2)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A5B" w:rsidRDefault="002C2A5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2C2A5B" w:rsidRDefault="002C2A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2A5B" w:rsidRDefault="002C2A5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2A5B" w:rsidRDefault="002C2A5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מינהל מקרקעי ישראל (מאגר המידע), תשס"ד-2004</w:t>
    </w:r>
  </w:p>
  <w:p w:rsidR="002C2A5B" w:rsidRDefault="002C2A5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2A5B" w:rsidRDefault="002C2A5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1895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67D6"/>
    <w:rsid w:val="00013E2A"/>
    <w:rsid w:val="00020586"/>
    <w:rsid w:val="00051219"/>
    <w:rsid w:val="000A54EA"/>
    <w:rsid w:val="001A67D6"/>
    <w:rsid w:val="002C2A5B"/>
    <w:rsid w:val="00402091"/>
    <w:rsid w:val="006C6A44"/>
    <w:rsid w:val="007A0FD0"/>
    <w:rsid w:val="00822671"/>
    <w:rsid w:val="00925FC9"/>
    <w:rsid w:val="009E3BC3"/>
    <w:rsid w:val="00A83424"/>
    <w:rsid w:val="00C130CD"/>
    <w:rsid w:val="00C45BED"/>
    <w:rsid w:val="00D45AF9"/>
    <w:rsid w:val="00E26A78"/>
    <w:rsid w:val="00E54E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5BA7722-308F-42BB-A62C-1D5B5C33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50.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mmi.gov.i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6702.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02.pdf" TargetMode="External"/><Relationship Id="rId2" Type="http://schemas.openxmlformats.org/officeDocument/2006/relationships/hyperlink" Target="http://www.nevo.co.il/Law_word/law06/tak-6650.pdf" TargetMode="External"/><Relationship Id="rId1" Type="http://schemas.openxmlformats.org/officeDocument/2006/relationships/hyperlink" Target="http://www.nevo.co.il/Law_word/law06/TAK-63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בריאות</vt:lpstr>
    </vt:vector>
  </TitlesOfParts>
  <Company/>
  <LinksUpToDate>false</LinksUpToDate>
  <CharactersWithSpaces>4472</CharactersWithSpaces>
  <SharedDoc>false</SharedDoc>
  <HLinks>
    <vt:vector size="60" baseType="variant">
      <vt:variant>
        <vt:i4>8323085</vt:i4>
      </vt:variant>
      <vt:variant>
        <vt:i4>18</vt:i4>
      </vt:variant>
      <vt:variant>
        <vt:i4>0</vt:i4>
      </vt:variant>
      <vt:variant>
        <vt:i4>5</vt:i4>
      </vt:variant>
      <vt:variant>
        <vt:lpwstr>http://www.nevo.co.il/Law_word/law06/TAK-6702.pdf</vt:lpwstr>
      </vt:variant>
      <vt:variant>
        <vt:lpwstr/>
      </vt:variant>
      <vt:variant>
        <vt:i4>7995406</vt:i4>
      </vt:variant>
      <vt:variant>
        <vt:i4>15</vt:i4>
      </vt:variant>
      <vt:variant>
        <vt:i4>0</vt:i4>
      </vt:variant>
      <vt:variant>
        <vt:i4>5</vt:i4>
      </vt:variant>
      <vt:variant>
        <vt:lpwstr>http://www.nevo.co.il/Law_word/law06/TAK-6650.pdf</vt:lpwstr>
      </vt:variant>
      <vt:variant>
        <vt:lpwstr/>
      </vt:variant>
      <vt:variant>
        <vt:i4>7864382</vt:i4>
      </vt:variant>
      <vt:variant>
        <vt:i4>12</vt:i4>
      </vt:variant>
      <vt:variant>
        <vt:i4>0</vt:i4>
      </vt:variant>
      <vt:variant>
        <vt:i4>5</vt:i4>
      </vt:variant>
      <vt:variant>
        <vt:lpwstr>http://www.mmi.gov.il/</vt:lpwstr>
      </vt:variant>
      <vt:variant>
        <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8323085</vt:i4>
      </vt:variant>
      <vt:variant>
        <vt:i4>6</vt:i4>
      </vt:variant>
      <vt:variant>
        <vt:i4>0</vt:i4>
      </vt:variant>
      <vt:variant>
        <vt:i4>5</vt:i4>
      </vt:variant>
      <vt:variant>
        <vt:lpwstr>http://www.nevo.co.il/Law_word/law06/tak-6702.pdf</vt:lpwstr>
      </vt:variant>
      <vt:variant>
        <vt:lpwstr/>
      </vt:variant>
      <vt:variant>
        <vt:i4>7995406</vt:i4>
      </vt:variant>
      <vt:variant>
        <vt:i4>3</vt:i4>
      </vt:variant>
      <vt:variant>
        <vt:i4>0</vt:i4>
      </vt:variant>
      <vt:variant>
        <vt:i4>5</vt:i4>
      </vt:variant>
      <vt:variant>
        <vt:lpwstr>http://www.nevo.co.il/Law_word/law06/tak-6650.pdf</vt:lpwstr>
      </vt:variant>
      <vt:variant>
        <vt:lpwstr/>
      </vt:variant>
      <vt:variant>
        <vt:i4>8126478</vt:i4>
      </vt:variant>
      <vt:variant>
        <vt:i4>0</vt:i4>
      </vt:variant>
      <vt:variant>
        <vt:i4>0</vt:i4>
      </vt:variant>
      <vt:variant>
        <vt:i4>5</vt:i4>
      </vt:variant>
      <vt:variant>
        <vt:lpwstr>http://www.nevo.co.il/Law_word/law06/TAK-6335.pdf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בריאות</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מינהל מקרקעי ישראל (מאגר המידע), תשס"ד-2004</vt:lpwstr>
  </property>
  <property fmtid="{D5CDD505-2E9C-101B-9397-08002B2CF9AE}" pid="4" name="LAWNUMBER">
    <vt:lpwstr>0879</vt:lpwstr>
  </property>
  <property fmtid="{D5CDD505-2E9C-101B-9397-08002B2CF9AE}" pid="5" name="TYPE">
    <vt:lpwstr>01</vt:lpwstr>
  </property>
  <property fmtid="{D5CDD505-2E9C-101B-9397-08002B2CF9AE}" pid="6" name="CHNAME">
    <vt:lpwstr>מקרקעי ישראל</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http://www.nevo.co.il/Law_word/law06/tak-6702.pdf;‎רשומות - תקנות כלליות#מס' 6702 #מיום ‏‏14.8.2008 #עמ' 1232 – תק' (מס' 2) תשס"ח-2008‏</vt:lpwstr>
  </property>
  <property fmtid="{D5CDD505-2E9C-101B-9397-08002B2CF9AE}" pid="22" name="mekor_samchut">
    <vt:lpwstr/>
  </property>
  <property fmtid="{D5CDD505-2E9C-101B-9397-08002B2CF9AE}" pid="23" name="MEKOR_NAME1">
    <vt:lpwstr>חוק מינהל מקרקעי ישראל</vt:lpwstr>
  </property>
  <property fmtid="{D5CDD505-2E9C-101B-9397-08002B2CF9AE}" pid="24" name="MEKOR_SAIF1">
    <vt:lpwstr>4טוXגX1X</vt:lpwstr>
  </property>
  <property fmtid="{D5CDD505-2E9C-101B-9397-08002B2CF9AE}" pid="25" name="NOSE11">
    <vt:lpwstr>משפט פרטי וכלכלה</vt:lpwstr>
  </property>
  <property fmtid="{D5CDD505-2E9C-101B-9397-08002B2CF9AE}" pid="26" name="NOSE21">
    <vt:lpwstr>קניין</vt:lpwstr>
  </property>
  <property fmtid="{D5CDD505-2E9C-101B-9397-08002B2CF9AE}" pid="27" name="NOSE31">
    <vt:lpwstr>מקרקעין</vt:lpwstr>
  </property>
  <property fmtid="{D5CDD505-2E9C-101B-9397-08002B2CF9AE}" pid="28" name="NOSE41">
    <vt:lpwstr>מקרקעי ישראל</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