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46A9" w:rsidRDefault="002C46A9">
      <w:pPr>
        <w:pStyle w:val="big-header"/>
        <w:ind w:left="0" w:right="1134"/>
        <w:rPr>
          <w:rFonts w:cs="FrankRuehl"/>
          <w:sz w:val="32"/>
        </w:rPr>
      </w:pPr>
      <w:r>
        <w:rPr>
          <w:rFonts w:cs="FrankRuehl" w:hint="cs"/>
          <w:sz w:val="32"/>
          <w:rtl/>
        </w:rPr>
        <w:t>תקנות מיסוי מקרקעין (שבח, מכירה ורכישה) (חילוף זכויות במקרקעין) (הוראת שעה), תשס"ד-2003</w:t>
      </w:r>
    </w:p>
    <w:p w:rsidR="003861BB" w:rsidRPr="003861BB" w:rsidRDefault="003861BB" w:rsidP="003861BB">
      <w:pPr>
        <w:spacing w:line="320" w:lineRule="auto"/>
        <w:rPr>
          <w:rFonts w:cs="FrankRuehl"/>
          <w:szCs w:val="26"/>
          <w:rtl/>
        </w:rPr>
      </w:pPr>
    </w:p>
    <w:p w:rsidR="003861BB" w:rsidRDefault="003861BB" w:rsidP="003861BB">
      <w:pPr>
        <w:spacing w:line="320" w:lineRule="auto"/>
        <w:rPr>
          <w:rtl/>
        </w:rPr>
      </w:pPr>
    </w:p>
    <w:p w:rsidR="003861BB" w:rsidRDefault="003861BB" w:rsidP="003861BB">
      <w:pPr>
        <w:spacing w:line="320" w:lineRule="auto"/>
        <w:rPr>
          <w:rFonts w:cs="FrankRuehl"/>
          <w:szCs w:val="26"/>
          <w:rtl/>
        </w:rPr>
      </w:pPr>
      <w:r w:rsidRPr="003861BB">
        <w:rPr>
          <w:rFonts w:cs="Miriam"/>
          <w:szCs w:val="22"/>
          <w:rtl/>
        </w:rPr>
        <w:t>מסים</w:t>
      </w:r>
      <w:r w:rsidRPr="003861BB">
        <w:rPr>
          <w:rFonts w:cs="FrankRuehl"/>
          <w:szCs w:val="26"/>
          <w:rtl/>
        </w:rPr>
        <w:t xml:space="preserve"> – מיסוי מקרקעין – מס שבח מקרקעין</w:t>
      </w:r>
    </w:p>
    <w:p w:rsidR="003861BB" w:rsidRPr="003861BB" w:rsidRDefault="003861BB" w:rsidP="003861BB">
      <w:pPr>
        <w:spacing w:line="320" w:lineRule="auto"/>
        <w:rPr>
          <w:rFonts w:cs="Miriam"/>
          <w:szCs w:val="22"/>
          <w:rtl/>
        </w:rPr>
      </w:pPr>
      <w:r w:rsidRPr="003861BB">
        <w:rPr>
          <w:rFonts w:cs="Miriam"/>
          <w:szCs w:val="22"/>
          <w:rtl/>
        </w:rPr>
        <w:t>מסים</w:t>
      </w:r>
      <w:r w:rsidRPr="003861BB">
        <w:rPr>
          <w:rFonts w:cs="FrankRuehl"/>
          <w:szCs w:val="26"/>
          <w:rtl/>
        </w:rPr>
        <w:t xml:space="preserve"> – מיסוי מקרקעין – מס רכישה</w:t>
      </w:r>
    </w:p>
    <w:p w:rsidR="002C46A9" w:rsidRDefault="002C46A9">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C46A9">
        <w:tblPrEx>
          <w:tblCellMar>
            <w:top w:w="0" w:type="dxa"/>
            <w:bottom w:w="0" w:type="dxa"/>
          </w:tblCellMar>
        </w:tblPrEx>
        <w:trPr>
          <w:jc w:val="right"/>
        </w:trPr>
        <w:tc>
          <w:tcPr>
            <w:tcW w:w="850" w:type="dxa"/>
          </w:tcPr>
          <w:p w:rsidR="002C46A9" w:rsidRDefault="002C46A9">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rsidR="002C46A9" w:rsidRDefault="002C46A9">
            <w:hyperlink w:anchor="Seif0" w:tooltip="הגדרות ופרשנות" w:history="1">
              <w:r>
                <w:rPr>
                  <w:rStyle w:val="Hyperlink"/>
                </w:rPr>
                <w:t>Go</w:t>
              </w:r>
            </w:hyperlink>
          </w:p>
        </w:tc>
        <w:tc>
          <w:tcPr>
            <w:tcW w:w="5669" w:type="dxa"/>
          </w:tcPr>
          <w:p w:rsidR="002C46A9" w:rsidRDefault="002C46A9">
            <w:pPr>
              <w:rPr>
                <w:rtl/>
              </w:rPr>
            </w:pPr>
            <w:r>
              <w:rPr>
                <w:rtl/>
              </w:rPr>
              <w:t>הגדרות ופרשנות</w:t>
            </w:r>
          </w:p>
        </w:tc>
        <w:tc>
          <w:tcPr>
            <w:tcW w:w="1247" w:type="dxa"/>
          </w:tcPr>
          <w:p w:rsidR="002C46A9" w:rsidRDefault="002C46A9">
            <w:r>
              <w:rPr>
                <w:rtl/>
              </w:rPr>
              <w:t xml:space="preserve">סעיף 1 </w:t>
            </w:r>
          </w:p>
        </w:tc>
      </w:tr>
      <w:tr w:rsidR="002C46A9">
        <w:tblPrEx>
          <w:tblCellMar>
            <w:top w:w="0" w:type="dxa"/>
            <w:bottom w:w="0" w:type="dxa"/>
          </w:tblCellMar>
        </w:tblPrEx>
        <w:trPr>
          <w:jc w:val="right"/>
        </w:trPr>
        <w:tc>
          <w:tcPr>
            <w:tcW w:w="850" w:type="dxa"/>
          </w:tcPr>
          <w:p w:rsidR="002C46A9" w:rsidRDefault="002C46A9">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rsidR="002C46A9" w:rsidRDefault="002C46A9">
            <w:hyperlink w:anchor="Seif1" w:tooltip="תנאי למתן פטור בחילוף" w:history="1">
              <w:r>
                <w:rPr>
                  <w:rStyle w:val="Hyperlink"/>
                </w:rPr>
                <w:t>Go</w:t>
              </w:r>
            </w:hyperlink>
          </w:p>
        </w:tc>
        <w:tc>
          <w:tcPr>
            <w:tcW w:w="5669" w:type="dxa"/>
          </w:tcPr>
          <w:p w:rsidR="002C46A9" w:rsidRDefault="002C46A9">
            <w:pPr>
              <w:rPr>
                <w:rtl/>
              </w:rPr>
            </w:pPr>
            <w:r>
              <w:rPr>
                <w:rtl/>
              </w:rPr>
              <w:t>תנאי למתן פטור בחילוף</w:t>
            </w:r>
          </w:p>
        </w:tc>
        <w:tc>
          <w:tcPr>
            <w:tcW w:w="1247" w:type="dxa"/>
          </w:tcPr>
          <w:p w:rsidR="002C46A9" w:rsidRDefault="002C46A9">
            <w:r>
              <w:rPr>
                <w:rtl/>
              </w:rPr>
              <w:t xml:space="preserve">סעיף 2 </w:t>
            </w:r>
          </w:p>
        </w:tc>
      </w:tr>
      <w:tr w:rsidR="002C46A9">
        <w:tblPrEx>
          <w:tblCellMar>
            <w:top w:w="0" w:type="dxa"/>
            <w:bottom w:w="0" w:type="dxa"/>
          </w:tblCellMar>
        </w:tblPrEx>
        <w:trPr>
          <w:jc w:val="right"/>
        </w:trPr>
        <w:tc>
          <w:tcPr>
            <w:tcW w:w="850" w:type="dxa"/>
          </w:tcPr>
          <w:p w:rsidR="002C46A9" w:rsidRDefault="002C46A9">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2</w:t>
            </w:r>
            <w:r>
              <w:rPr>
                <w:rtl/>
              </w:rPr>
              <w:fldChar w:fldCharType="end"/>
            </w:r>
          </w:p>
        </w:tc>
        <w:tc>
          <w:tcPr>
            <w:tcW w:w="567" w:type="dxa"/>
          </w:tcPr>
          <w:p w:rsidR="002C46A9" w:rsidRDefault="002C46A9">
            <w:hyperlink w:anchor="Seif2" w:tooltip="הוראות תיאום" w:history="1">
              <w:r>
                <w:rPr>
                  <w:rStyle w:val="Hyperlink"/>
                </w:rPr>
                <w:t>Go</w:t>
              </w:r>
            </w:hyperlink>
          </w:p>
        </w:tc>
        <w:tc>
          <w:tcPr>
            <w:tcW w:w="5669" w:type="dxa"/>
          </w:tcPr>
          <w:p w:rsidR="002C46A9" w:rsidRDefault="002C46A9">
            <w:pPr>
              <w:rPr>
                <w:rtl/>
              </w:rPr>
            </w:pPr>
            <w:r>
              <w:rPr>
                <w:rtl/>
              </w:rPr>
              <w:t>הוראות תיאום</w:t>
            </w:r>
          </w:p>
        </w:tc>
        <w:tc>
          <w:tcPr>
            <w:tcW w:w="1247" w:type="dxa"/>
          </w:tcPr>
          <w:p w:rsidR="002C46A9" w:rsidRDefault="002C46A9">
            <w:r>
              <w:rPr>
                <w:rtl/>
              </w:rPr>
              <w:t xml:space="preserve">סעיף 3 </w:t>
            </w:r>
          </w:p>
        </w:tc>
      </w:tr>
      <w:tr w:rsidR="002C46A9">
        <w:tblPrEx>
          <w:tblCellMar>
            <w:top w:w="0" w:type="dxa"/>
            <w:bottom w:w="0" w:type="dxa"/>
          </w:tblCellMar>
        </w:tblPrEx>
        <w:trPr>
          <w:jc w:val="right"/>
        </w:trPr>
        <w:tc>
          <w:tcPr>
            <w:tcW w:w="850" w:type="dxa"/>
          </w:tcPr>
          <w:p w:rsidR="002C46A9" w:rsidRDefault="002C46A9">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2</w:t>
            </w:r>
            <w:r>
              <w:rPr>
                <w:rtl/>
              </w:rPr>
              <w:fldChar w:fldCharType="end"/>
            </w:r>
          </w:p>
        </w:tc>
        <w:tc>
          <w:tcPr>
            <w:tcW w:w="567" w:type="dxa"/>
          </w:tcPr>
          <w:p w:rsidR="002C46A9" w:rsidRDefault="002C46A9">
            <w:hyperlink w:anchor="Seif3" w:tooltip="תחילה" w:history="1">
              <w:r>
                <w:rPr>
                  <w:rStyle w:val="Hyperlink"/>
                </w:rPr>
                <w:t>Go</w:t>
              </w:r>
            </w:hyperlink>
          </w:p>
        </w:tc>
        <w:tc>
          <w:tcPr>
            <w:tcW w:w="5669" w:type="dxa"/>
          </w:tcPr>
          <w:p w:rsidR="002C46A9" w:rsidRDefault="002C46A9">
            <w:pPr>
              <w:rPr>
                <w:rtl/>
              </w:rPr>
            </w:pPr>
            <w:r>
              <w:rPr>
                <w:rtl/>
              </w:rPr>
              <w:t>תחילה</w:t>
            </w:r>
          </w:p>
        </w:tc>
        <w:tc>
          <w:tcPr>
            <w:tcW w:w="1247" w:type="dxa"/>
          </w:tcPr>
          <w:p w:rsidR="002C46A9" w:rsidRDefault="002C46A9">
            <w:r>
              <w:rPr>
                <w:rtl/>
              </w:rPr>
              <w:t xml:space="preserve">סעיף 4 </w:t>
            </w:r>
          </w:p>
        </w:tc>
      </w:tr>
    </w:tbl>
    <w:p w:rsidR="002C46A9" w:rsidRDefault="002C46A9">
      <w:pPr>
        <w:pStyle w:val="big-header"/>
        <w:ind w:left="0" w:right="1134"/>
        <w:rPr>
          <w:rtl/>
        </w:rPr>
      </w:pPr>
    </w:p>
    <w:p w:rsidR="002C46A9" w:rsidRDefault="002C46A9" w:rsidP="003861BB">
      <w:pPr>
        <w:pStyle w:val="big-header"/>
        <w:ind w:left="0" w:right="1134"/>
        <w:rPr>
          <w:rFonts w:cs="FrankRuehl" w:hint="cs"/>
          <w:sz w:val="32"/>
          <w:rtl/>
        </w:rPr>
      </w:pPr>
      <w:r>
        <w:rPr>
          <w:rtl/>
        </w:rPr>
        <w:br w:type="page"/>
      </w:r>
      <w:r>
        <w:rPr>
          <w:rFonts w:cs="FrankRuehl" w:hint="cs"/>
          <w:sz w:val="32"/>
          <w:rtl/>
        </w:rPr>
        <w:lastRenderedPageBreak/>
        <w:t>תקנות מיסוי מקרקעין (שבח, מכירה ורכישה) (חילוף זכויות במקרקעין) (הוראת שעה), תשס"ד-2003</w:t>
      </w:r>
      <w:r>
        <w:rPr>
          <w:rStyle w:val="default"/>
          <w:sz w:val="22"/>
          <w:szCs w:val="22"/>
          <w:rtl/>
        </w:rPr>
        <w:footnoteReference w:customMarkFollows="1" w:id="1"/>
        <w:t>*</w:t>
      </w:r>
    </w:p>
    <w:p w:rsidR="002C46A9" w:rsidRDefault="002C46A9">
      <w:pPr>
        <w:pStyle w:val="P00"/>
        <w:spacing w:before="72"/>
        <w:ind w:left="0" w:right="1134"/>
        <w:rPr>
          <w:rStyle w:val="default"/>
          <w:rFonts w:cs="FrankRuehl" w:hint="cs"/>
          <w:rtl/>
        </w:rPr>
      </w:pPr>
      <w:r>
        <w:rPr>
          <w:rStyle w:val="default"/>
          <w:rFonts w:cs="FrankRuehl" w:hint="cs"/>
          <w:rtl/>
        </w:rPr>
        <w:tab/>
        <w:t xml:space="preserve">בתוקף סמכותי לפי סעיף 115(ה) לחוק מיסוי מקרקעין (שבח, מכירה ורכישה), התשכ"ג-1963 (להלן </w:t>
      </w:r>
      <w:r>
        <w:rPr>
          <w:rStyle w:val="default"/>
          <w:rFonts w:cs="FrankRuehl"/>
          <w:rtl/>
        </w:rPr>
        <w:t>–</w:t>
      </w:r>
      <w:r>
        <w:rPr>
          <w:rStyle w:val="default"/>
          <w:rFonts w:cs="FrankRuehl" w:hint="cs"/>
          <w:rtl/>
        </w:rPr>
        <w:t xml:space="preserve"> החוק), ובאישור ועדת הכספים של הכנסת אני מתקין תקנות אלה:</w:t>
      </w:r>
    </w:p>
    <w:p w:rsidR="002C46A9" w:rsidRDefault="002C46A9">
      <w:pPr>
        <w:pStyle w:val="P00"/>
        <w:spacing w:before="72"/>
        <w:ind w:left="0" w:right="1134"/>
        <w:rPr>
          <w:rStyle w:val="default"/>
          <w:rFonts w:cs="FrankRuehl" w:hint="cs"/>
          <w:rtl/>
        </w:rPr>
      </w:pPr>
      <w:bookmarkStart w:id="0" w:name="Seif0"/>
      <w:bookmarkEnd w:id="0"/>
      <w:r>
        <w:rPr>
          <w:rFonts w:cs="Miriam"/>
          <w:lang w:val="he-IL"/>
        </w:rPr>
        <w:pict>
          <v:rect id="_x0000_s1026" style="position:absolute;left:0;text-align:left;margin-left:463.5pt;margin-top:8.05pt;width:75.05pt;height:8.95pt;z-index:251656192" filled="f" stroked="f" strokecolor="lime" strokeweight=".25pt">
            <v:textbox style="mso-next-textbox:#_x0000_s1026" inset="1mm,0,1mm,0">
              <w:txbxContent>
                <w:p w:rsidR="002C46A9" w:rsidRDefault="002C46A9">
                  <w:pPr>
                    <w:spacing w:line="160" w:lineRule="exact"/>
                    <w:rPr>
                      <w:rFonts w:cs="Miriam" w:hint="cs"/>
                      <w:noProof/>
                      <w:sz w:val="18"/>
                      <w:szCs w:val="18"/>
                      <w:rtl/>
                    </w:rPr>
                  </w:pPr>
                  <w:r>
                    <w:rPr>
                      <w:rFonts w:cs="Miriam" w:hint="cs"/>
                      <w:sz w:val="18"/>
                      <w:szCs w:val="18"/>
                      <w:rtl/>
                    </w:rPr>
                    <w:t>הגדרות ופרשנות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בתקנות אלה, "זכות חלופית" לרבות כלאחת מאלה: קרקע חקלאית חלופית, דירת מגורים חלופית או זכות בבית אבות, לפי הענין.</w:t>
      </w:r>
    </w:p>
    <w:p w:rsidR="002C46A9" w:rsidRDefault="002C46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אחר בתקנות אלה תהא המשמעות הנודעת לו בפרק חמישי 3 לחוק.</w:t>
      </w:r>
    </w:p>
    <w:p w:rsidR="002C46A9" w:rsidRDefault="002C46A9">
      <w:pPr>
        <w:pStyle w:val="P00"/>
        <w:spacing w:before="72"/>
        <w:ind w:left="0" w:right="1134"/>
        <w:rPr>
          <w:rStyle w:val="default"/>
          <w:rFonts w:cs="FrankRuehl" w:hint="cs"/>
          <w:rtl/>
        </w:rPr>
      </w:pPr>
      <w:bookmarkStart w:id="1" w:name="Seif1"/>
      <w:bookmarkEnd w:id="1"/>
      <w:r>
        <w:rPr>
          <w:rFonts w:cs="Miriam"/>
          <w:lang w:val="he-IL"/>
        </w:rPr>
        <w:pict>
          <v:rect id="_x0000_s1059" style="position:absolute;left:0;text-align:left;margin-left:464.35pt;margin-top:8.05pt;width:75.05pt;height:14.5pt;z-index:251657216" o:allowincell="f" filled="f" stroked="f" strokecolor="lime" strokeweight=".25pt">
            <v:textbox style="mso-next-textbox:#_x0000_s1059" inset="1mm,0,1mm,0">
              <w:txbxContent>
                <w:p w:rsidR="002C46A9" w:rsidRDefault="002C46A9">
                  <w:pPr>
                    <w:spacing w:line="160" w:lineRule="exact"/>
                    <w:rPr>
                      <w:rFonts w:cs="Miriam" w:hint="cs"/>
                      <w:noProof/>
                      <w:sz w:val="18"/>
                      <w:szCs w:val="18"/>
                      <w:rtl/>
                    </w:rPr>
                  </w:pPr>
                  <w:r>
                    <w:rPr>
                      <w:rFonts w:cs="Miriam" w:hint="cs"/>
                      <w:sz w:val="18"/>
                      <w:szCs w:val="18"/>
                      <w:rtl/>
                    </w:rPr>
                    <w:t>תנאי למתן פטור בחילוף</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פטור ממס במכירת זכות במקרקעין כאמור בסעיפים 49יא(ב), 49יא1(א), 49יב(א) ו-(ג) לחוק או הקלה במס רכישה כאמור בסעיף 49יז לחוק יינתנו בהתקיים כל אלה:</w:t>
      </w:r>
    </w:p>
    <w:p w:rsidR="002C46A9" w:rsidRDefault="002C46A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ברכישת זכות חלופית, או במכירת הזכות הנמכרת, לפי המאוחר, נמסרה הודעה בטופס שקבע המנהל, במועד הקבוע בסעיף 73 לחוק, כי הרכישה או המכירה, לפי הענין, הינה רכישה או מכירה של זכות כאמור;</w:t>
      </w:r>
    </w:p>
    <w:p w:rsidR="002C46A9" w:rsidRDefault="002C46A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ברכישת זכות חלופית שהיא קרקע לבניית מבנה עסקי, כאמור בסעיף 49יא(ב)(2), נמסרה הודעה בטופס שקבע המנהל, בתוך 60 ימים ממועד סיום בנייתו של המבנה העסקי כאמור בפסקאות משנה (א) ו-(ב) לאותו סעיף.</w:t>
      </w:r>
    </w:p>
    <w:p w:rsidR="002C46A9" w:rsidRDefault="002C46A9">
      <w:pPr>
        <w:pStyle w:val="P00"/>
        <w:spacing w:before="72"/>
        <w:ind w:left="0" w:right="1134"/>
        <w:rPr>
          <w:rStyle w:val="default"/>
          <w:rFonts w:cs="FrankRuehl" w:hint="cs"/>
          <w:rtl/>
        </w:rPr>
      </w:pPr>
      <w:bookmarkStart w:id="2" w:name="Seif2"/>
      <w:bookmarkEnd w:id="2"/>
      <w:r>
        <w:rPr>
          <w:rFonts w:cs="Miriam"/>
          <w:lang w:val="he-IL"/>
        </w:rPr>
        <w:pict>
          <v:rect id="_x0000_s1061" style="position:absolute;left:0;text-align:left;margin-left:463.5pt;margin-top:8.05pt;width:75.05pt;height:15.55pt;z-index:251658240" filled="f" stroked="f" strokecolor="lime" strokeweight=".25pt">
            <v:textbox style="mso-next-textbox:#_x0000_s1061" inset="1mm,0,1mm,0">
              <w:txbxContent>
                <w:p w:rsidR="002C46A9" w:rsidRDefault="002C46A9">
                  <w:pPr>
                    <w:spacing w:line="160" w:lineRule="exact"/>
                    <w:rPr>
                      <w:rFonts w:cs="Miriam" w:hint="cs"/>
                      <w:noProof/>
                      <w:sz w:val="18"/>
                      <w:szCs w:val="18"/>
                      <w:rtl/>
                    </w:rPr>
                  </w:pPr>
                  <w:r>
                    <w:rPr>
                      <w:rFonts w:cs="Miriam" w:hint="cs"/>
                      <w:sz w:val="18"/>
                      <w:szCs w:val="18"/>
                      <w:rtl/>
                    </w:rPr>
                    <w:t>הוראות תיאום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לבדיקת התקיימות התנאי כאמור בסעיף 49יא(ב)(2), יובאו בחשבון הוצאות הבניה, כאמור באותו סעיף, כשהן מוכפלות במדד יום המכירה של הזכות הנמכרת ומחולקות במדד יום ההוצאה; לענין זה יראו כיום ההוצאה את היום שבו תמו שני שלישים מהתקופה המתחילה ביום תחילת הבניה, ומסתיימת ביום גמר הבניה.</w:t>
      </w:r>
    </w:p>
    <w:p w:rsidR="002C46A9" w:rsidRDefault="002C46A9">
      <w:pPr>
        <w:pStyle w:val="P00"/>
        <w:spacing w:before="72"/>
        <w:ind w:left="0" w:right="1134"/>
        <w:rPr>
          <w:rStyle w:val="default"/>
          <w:rFonts w:cs="FrankRuehl" w:hint="cs"/>
          <w:rtl/>
        </w:rPr>
      </w:pPr>
      <w:bookmarkStart w:id="3" w:name="Seif3"/>
      <w:bookmarkEnd w:id="3"/>
      <w:r>
        <w:rPr>
          <w:rFonts w:cs="Miriam"/>
          <w:lang w:val="he-IL"/>
        </w:rPr>
        <w:pict>
          <v:rect id="_x0000_s1062" style="position:absolute;left:0;text-align:left;margin-left:463.5pt;margin-top:8.05pt;width:75.05pt;height:8.95pt;z-index:251659264" filled="f" stroked="f" strokecolor="lime" strokeweight=".25pt">
            <v:textbox style="mso-next-textbox:#_x0000_s1062" inset="1mm,0,1mm,0">
              <w:txbxContent>
                <w:p w:rsidR="002C46A9" w:rsidRDefault="002C46A9">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ביום כ"א בחשון התשס"ב (7 בנובמבר 2001).</w:t>
      </w:r>
    </w:p>
    <w:p w:rsidR="002C46A9" w:rsidRDefault="002C46A9">
      <w:pPr>
        <w:pStyle w:val="P00"/>
        <w:spacing w:before="72"/>
        <w:ind w:left="0" w:right="1134"/>
        <w:rPr>
          <w:rStyle w:val="default"/>
          <w:rFonts w:cs="FrankRuehl" w:hint="cs"/>
          <w:rtl/>
        </w:rPr>
      </w:pPr>
    </w:p>
    <w:p w:rsidR="002C46A9" w:rsidRDefault="002C46A9">
      <w:pPr>
        <w:pStyle w:val="sig-1"/>
        <w:widowControl/>
        <w:ind w:left="0" w:right="1134"/>
        <w:rPr>
          <w:rFonts w:cs="FrankRuehl" w:hint="cs"/>
          <w:sz w:val="26"/>
          <w:szCs w:val="26"/>
          <w:rtl/>
        </w:rPr>
      </w:pPr>
    </w:p>
    <w:p w:rsidR="002C46A9" w:rsidRDefault="002C46A9">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ט"ו בכסלו התשס"ד (10 בדצמבר 2003)</w:t>
      </w:r>
    </w:p>
    <w:p w:rsidR="002C46A9" w:rsidRDefault="002C46A9">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ab/>
        <w:t>בנימין נתניהו</w:t>
      </w:r>
    </w:p>
    <w:p w:rsidR="002C46A9" w:rsidRDefault="002C46A9">
      <w:pPr>
        <w:pStyle w:val="sig-1"/>
        <w:widowControl/>
        <w:tabs>
          <w:tab w:val="clear" w:pos="851"/>
          <w:tab w:val="clear" w:pos="2835"/>
          <w:tab w:val="clear" w:pos="4820"/>
          <w:tab w:val="center" w:pos="4536"/>
        </w:tabs>
        <w:ind w:left="0" w:right="1134"/>
        <w:rPr>
          <w:rFonts w:cs="FrankRuehl" w:hint="cs"/>
          <w:sz w:val="22"/>
          <w:rtl/>
        </w:rPr>
      </w:pPr>
      <w:r>
        <w:rPr>
          <w:rFonts w:cs="FrankRuehl" w:hint="cs"/>
          <w:sz w:val="22"/>
          <w:rtl/>
        </w:rPr>
        <w:tab/>
        <w:t>שר האוצר</w:t>
      </w:r>
    </w:p>
    <w:p w:rsidR="002C46A9" w:rsidRDefault="002C46A9">
      <w:pPr>
        <w:pStyle w:val="sig-1"/>
        <w:widowControl/>
        <w:tabs>
          <w:tab w:val="clear" w:pos="851"/>
          <w:tab w:val="clear" w:pos="2835"/>
          <w:tab w:val="clear" w:pos="4820"/>
          <w:tab w:val="center" w:pos="4536"/>
        </w:tabs>
        <w:ind w:left="0" w:right="1134"/>
        <w:rPr>
          <w:rFonts w:cs="FrankRuehl" w:hint="cs"/>
          <w:sz w:val="26"/>
          <w:szCs w:val="26"/>
          <w:rtl/>
        </w:rPr>
      </w:pPr>
    </w:p>
    <w:sectPr w:rsidR="002C46A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6117" w:rsidRDefault="00546117">
      <w:r>
        <w:separator/>
      </w:r>
    </w:p>
  </w:endnote>
  <w:endnote w:type="continuationSeparator" w:id="0">
    <w:p w:rsidR="00546117" w:rsidRDefault="00546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46A9" w:rsidRDefault="002C46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C46A9" w:rsidRDefault="002C46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C46A9" w:rsidRDefault="002C46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Z:\000000000000-law\yael\07-04-22-d\tikunim\999_232.doc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46A9" w:rsidRDefault="002C46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861BB">
      <w:rPr>
        <w:rFonts w:hAnsi="FrankRuehl" w:cs="FrankRuehl"/>
        <w:noProof/>
        <w:sz w:val="24"/>
        <w:szCs w:val="24"/>
        <w:rtl/>
      </w:rPr>
      <w:t>1</w:t>
    </w:r>
    <w:r>
      <w:rPr>
        <w:rFonts w:hAnsi="FrankRuehl" w:cs="FrankRuehl"/>
        <w:sz w:val="24"/>
        <w:szCs w:val="24"/>
        <w:rtl/>
      </w:rPr>
      <w:fldChar w:fldCharType="end"/>
    </w:r>
  </w:p>
  <w:p w:rsidR="002C46A9" w:rsidRDefault="002C46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C46A9" w:rsidRDefault="002C46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Z:\000000000000-law\yael\07-04-22-d\tikunim\999_232.doc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6117" w:rsidRDefault="00546117">
      <w:pPr>
        <w:spacing w:before="60"/>
        <w:ind w:right="1134"/>
      </w:pPr>
      <w:r>
        <w:separator/>
      </w:r>
    </w:p>
  </w:footnote>
  <w:footnote w:type="continuationSeparator" w:id="0">
    <w:p w:rsidR="00546117" w:rsidRDefault="00546117">
      <w:pPr>
        <w:spacing w:before="60"/>
        <w:ind w:right="1134"/>
      </w:pPr>
      <w:r>
        <w:separator/>
      </w:r>
    </w:p>
  </w:footnote>
  <w:footnote w:id="1">
    <w:p w:rsidR="002C46A9" w:rsidRDefault="002C46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תשס"ד מס' 6280</w:t>
        </w:r>
      </w:hyperlink>
      <w:r>
        <w:rPr>
          <w:rFonts w:cs="FrankRuehl" w:hint="cs"/>
          <w:rtl/>
        </w:rPr>
        <w:t xml:space="preserve"> מיום 28.12.2003 עמ' 100.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46A9" w:rsidRDefault="002C46A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C46A9" w:rsidRDefault="002C46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C46A9" w:rsidRDefault="002C46A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46A9" w:rsidRDefault="002C46A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מיסוי מקרקעין (שבח, מכירה ורכישה) (חילוף זכויות במקרקעין) (הוראת שעה), תשס"ד-2003</w:t>
    </w:r>
  </w:p>
  <w:p w:rsidR="002C46A9" w:rsidRDefault="002C46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C46A9" w:rsidRDefault="002C46A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9072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46A9"/>
    <w:rsid w:val="002C46A9"/>
    <w:rsid w:val="003861BB"/>
    <w:rsid w:val="00546117"/>
    <w:rsid w:val="005879BD"/>
    <w:rsid w:val="00742A89"/>
    <w:rsid w:val="00F226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CFB2DD8E-31C0-41D9-AEA3-5259A5CB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1895</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7798794</vt:i4>
      </vt:variant>
      <vt:variant>
        <vt:i4>0</vt:i4>
      </vt:variant>
      <vt:variant>
        <vt:i4>0</vt:i4>
      </vt:variant>
      <vt:variant>
        <vt:i4>5</vt:i4>
      </vt:variant>
      <vt:variant>
        <vt:lpwstr>http://www.nevo.co.il/Law_word/law06/TAK-6280.pdf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מיסוי מקרקעין (שבח, מכירה ורכישה) (חילוף זכויות במקרקעין) (הוראת שעה), תשס"ד-2003</vt:lpwstr>
  </property>
  <property fmtid="{D5CDD505-2E9C-101B-9397-08002B2CF9AE}" pid="4" name="LAWNUMBER">
    <vt:lpwstr>0232</vt:lpwstr>
  </property>
  <property fmtid="{D5CDD505-2E9C-101B-9397-08002B2CF9AE}" pid="5" name="TYPE">
    <vt:lpwstr>01</vt:lpwstr>
  </property>
  <property fmtid="{D5CDD505-2E9C-101B-9397-08002B2CF9AE}" pid="6" name="CHNAME">
    <vt:lpwstr>מיסוי מקרקעין</vt:lpwstr>
  </property>
  <property fmtid="{D5CDD505-2E9C-101B-9397-08002B2CF9AE}" pid="7" name="MEKOR_NAME1">
    <vt:lpwstr>חוק מיסוי מקרקעין (שבח‏, מכירה ורכישה)‏</vt:lpwstr>
  </property>
  <property fmtid="{D5CDD505-2E9C-101B-9397-08002B2CF9AE}" pid="8" name="MEKOR_SAIF1">
    <vt:lpwstr>115XהX</vt:lpwstr>
  </property>
  <property fmtid="{D5CDD505-2E9C-101B-9397-08002B2CF9AE}" pid="9" name="NOSE11">
    <vt:lpwstr>מסים</vt:lpwstr>
  </property>
  <property fmtid="{D5CDD505-2E9C-101B-9397-08002B2CF9AE}" pid="10" name="NOSE21">
    <vt:lpwstr>מיסוי מקרקעין</vt:lpwstr>
  </property>
  <property fmtid="{D5CDD505-2E9C-101B-9397-08002B2CF9AE}" pid="11" name="NOSE31">
    <vt:lpwstr>מס שבח מקרקעין</vt:lpwstr>
  </property>
  <property fmtid="{D5CDD505-2E9C-101B-9397-08002B2CF9AE}" pid="12" name="NOSE41">
    <vt:lpwstr/>
  </property>
  <property fmtid="{D5CDD505-2E9C-101B-9397-08002B2CF9AE}" pid="13" name="NOSE12">
    <vt:lpwstr>מסים</vt:lpwstr>
  </property>
  <property fmtid="{D5CDD505-2E9C-101B-9397-08002B2CF9AE}" pid="14" name="NOSE22">
    <vt:lpwstr>מיסוי מקרקעין</vt:lpwstr>
  </property>
  <property fmtid="{D5CDD505-2E9C-101B-9397-08002B2CF9AE}" pid="15" name="NOSE32">
    <vt:lpwstr>מס רכישה</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