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4AA" w:rsidRDefault="007B44AA">
      <w:pPr>
        <w:pStyle w:val="big-header"/>
        <w:ind w:left="0" w:right="1134"/>
      </w:pPr>
      <w:r>
        <w:rPr>
          <w:rFonts w:hint="cs"/>
          <w:rtl/>
        </w:rPr>
        <w:t>תקנות מיסוי מקרקעין (שבח, מכירה ורכישה) (מאגר מידע), תשס"ג-2003</w:t>
      </w:r>
    </w:p>
    <w:p w:rsidR="006D1CFC" w:rsidRPr="006D1CFC" w:rsidRDefault="006D1CFC" w:rsidP="006D1CFC">
      <w:pPr>
        <w:spacing w:line="320" w:lineRule="auto"/>
        <w:jc w:val="left"/>
        <w:rPr>
          <w:rFonts w:cs="FrankRuehl"/>
          <w:szCs w:val="26"/>
          <w:rtl/>
        </w:rPr>
      </w:pPr>
    </w:p>
    <w:p w:rsidR="006D1CFC" w:rsidRDefault="006D1CFC" w:rsidP="006D1CFC">
      <w:pPr>
        <w:spacing w:line="320" w:lineRule="auto"/>
        <w:jc w:val="left"/>
        <w:rPr>
          <w:rFonts w:cs="FrankRuehl"/>
          <w:szCs w:val="26"/>
          <w:rtl/>
        </w:rPr>
      </w:pPr>
      <w:r w:rsidRPr="006D1CFC">
        <w:rPr>
          <w:rFonts w:cs="Miriam"/>
          <w:szCs w:val="22"/>
          <w:rtl/>
        </w:rPr>
        <w:t>מסים</w:t>
      </w:r>
      <w:r w:rsidRPr="006D1CFC">
        <w:rPr>
          <w:rFonts w:cs="FrankRuehl"/>
          <w:szCs w:val="26"/>
          <w:rtl/>
        </w:rPr>
        <w:t xml:space="preserve"> – מיסוי מקרקעין – מס שבח מקרקעין</w:t>
      </w:r>
    </w:p>
    <w:p w:rsidR="006D1CFC" w:rsidRPr="006D1CFC" w:rsidRDefault="006D1CFC" w:rsidP="006D1CFC">
      <w:pPr>
        <w:spacing w:line="320" w:lineRule="auto"/>
        <w:jc w:val="left"/>
        <w:rPr>
          <w:rFonts w:cs="Miriam"/>
          <w:szCs w:val="22"/>
          <w:rtl/>
        </w:rPr>
      </w:pPr>
      <w:r w:rsidRPr="006D1CFC">
        <w:rPr>
          <w:rFonts w:cs="Miriam"/>
          <w:szCs w:val="22"/>
          <w:rtl/>
        </w:rPr>
        <w:t>מסים</w:t>
      </w:r>
      <w:r w:rsidRPr="006D1CFC">
        <w:rPr>
          <w:rFonts w:cs="FrankRuehl"/>
          <w:szCs w:val="26"/>
          <w:rtl/>
        </w:rPr>
        <w:t xml:space="preserve"> – מיסוי מקרקעין – מס רכישה</w:t>
      </w:r>
    </w:p>
    <w:p w:rsidR="007B44AA" w:rsidRDefault="007B44AA">
      <w:pPr>
        <w:pStyle w:val="big-header"/>
        <w:ind w:left="0" w:right="1134"/>
        <w:rPr>
          <w:sz w:val="32"/>
          <w:rtl/>
        </w:rPr>
      </w:pPr>
      <w:r>
        <w:rPr>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44AA">
        <w:tblPrEx>
          <w:tblCellMar>
            <w:top w:w="0" w:type="dxa"/>
            <w:bottom w:w="0" w:type="dxa"/>
          </w:tblCellMar>
        </w:tblPrEx>
        <w:trPr>
          <w:jc w:val="right"/>
        </w:trPr>
        <w:tc>
          <w:tcPr>
            <w:tcW w:w="850" w:type="dxa"/>
          </w:tcPr>
          <w:p w:rsidR="007B44AA" w:rsidRDefault="007B44AA">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44AA" w:rsidRDefault="007B44AA">
            <w:pPr>
              <w:spacing w:line="240" w:lineRule="auto"/>
              <w:jc w:val="left"/>
              <w:rPr>
                <w:sz w:val="24"/>
              </w:rPr>
            </w:pPr>
            <w:hyperlink w:anchor="Seif0" w:tooltip="הגדרות" w:history="1">
              <w:r>
                <w:rPr>
                  <w:rStyle w:val="Hyperlink"/>
                </w:rPr>
                <w:t>Go</w:t>
              </w:r>
            </w:hyperlink>
          </w:p>
        </w:tc>
        <w:tc>
          <w:tcPr>
            <w:tcW w:w="5669" w:type="dxa"/>
          </w:tcPr>
          <w:p w:rsidR="007B44AA" w:rsidRDefault="007B44AA">
            <w:pPr>
              <w:spacing w:line="240" w:lineRule="auto"/>
              <w:jc w:val="left"/>
              <w:rPr>
                <w:sz w:val="24"/>
                <w:rtl/>
              </w:rPr>
            </w:pPr>
            <w:r>
              <w:rPr>
                <w:sz w:val="24"/>
                <w:rtl/>
              </w:rPr>
              <w:t>הגדרות</w:t>
            </w:r>
          </w:p>
        </w:tc>
        <w:tc>
          <w:tcPr>
            <w:tcW w:w="1247" w:type="dxa"/>
          </w:tcPr>
          <w:p w:rsidR="007B44AA" w:rsidRDefault="007B44AA">
            <w:pPr>
              <w:spacing w:line="240" w:lineRule="auto"/>
              <w:jc w:val="left"/>
              <w:rPr>
                <w:sz w:val="24"/>
              </w:rPr>
            </w:pPr>
            <w:r>
              <w:rPr>
                <w:sz w:val="24"/>
                <w:rtl/>
              </w:rPr>
              <w:t xml:space="preserve">סעיף 1 </w:t>
            </w:r>
          </w:p>
        </w:tc>
      </w:tr>
      <w:tr w:rsidR="007B44AA">
        <w:tblPrEx>
          <w:tblCellMar>
            <w:top w:w="0" w:type="dxa"/>
            <w:bottom w:w="0" w:type="dxa"/>
          </w:tblCellMar>
        </w:tblPrEx>
        <w:trPr>
          <w:jc w:val="right"/>
        </w:trPr>
        <w:tc>
          <w:tcPr>
            <w:tcW w:w="850" w:type="dxa"/>
          </w:tcPr>
          <w:p w:rsidR="007B44AA" w:rsidRDefault="007B44AA">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44AA" w:rsidRDefault="007B44AA">
            <w:pPr>
              <w:spacing w:line="240" w:lineRule="auto"/>
              <w:jc w:val="left"/>
              <w:rPr>
                <w:sz w:val="24"/>
              </w:rPr>
            </w:pPr>
            <w:hyperlink w:anchor="Seif1" w:tooltip="פרטים שיכלול מאגר מידע" w:history="1">
              <w:r>
                <w:rPr>
                  <w:rStyle w:val="Hyperlink"/>
                </w:rPr>
                <w:t>Go</w:t>
              </w:r>
            </w:hyperlink>
          </w:p>
        </w:tc>
        <w:tc>
          <w:tcPr>
            <w:tcW w:w="5669" w:type="dxa"/>
          </w:tcPr>
          <w:p w:rsidR="007B44AA" w:rsidRDefault="007B44AA">
            <w:pPr>
              <w:spacing w:line="240" w:lineRule="auto"/>
              <w:jc w:val="left"/>
              <w:rPr>
                <w:sz w:val="24"/>
                <w:rtl/>
              </w:rPr>
            </w:pPr>
            <w:r>
              <w:rPr>
                <w:sz w:val="24"/>
                <w:rtl/>
              </w:rPr>
              <w:t>פרטים שיכלול מאגר מידע</w:t>
            </w:r>
          </w:p>
        </w:tc>
        <w:tc>
          <w:tcPr>
            <w:tcW w:w="1247" w:type="dxa"/>
          </w:tcPr>
          <w:p w:rsidR="007B44AA" w:rsidRDefault="007B44AA">
            <w:pPr>
              <w:spacing w:line="240" w:lineRule="auto"/>
              <w:jc w:val="left"/>
              <w:rPr>
                <w:sz w:val="24"/>
              </w:rPr>
            </w:pPr>
            <w:r>
              <w:rPr>
                <w:sz w:val="24"/>
                <w:rtl/>
              </w:rPr>
              <w:t xml:space="preserve">סעיף 2 </w:t>
            </w:r>
          </w:p>
        </w:tc>
      </w:tr>
      <w:tr w:rsidR="007B44AA">
        <w:tblPrEx>
          <w:tblCellMar>
            <w:top w:w="0" w:type="dxa"/>
            <w:bottom w:w="0" w:type="dxa"/>
          </w:tblCellMar>
        </w:tblPrEx>
        <w:trPr>
          <w:jc w:val="right"/>
        </w:trPr>
        <w:tc>
          <w:tcPr>
            <w:tcW w:w="850" w:type="dxa"/>
          </w:tcPr>
          <w:p w:rsidR="007B44AA" w:rsidRDefault="007B44AA">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44AA" w:rsidRDefault="007B44AA">
            <w:pPr>
              <w:spacing w:line="240" w:lineRule="auto"/>
              <w:jc w:val="left"/>
              <w:rPr>
                <w:sz w:val="24"/>
              </w:rPr>
            </w:pPr>
            <w:hyperlink w:anchor="Seif2" w:tooltip="סמכות המנהל" w:history="1">
              <w:r>
                <w:rPr>
                  <w:rStyle w:val="Hyperlink"/>
                </w:rPr>
                <w:t>Go</w:t>
              </w:r>
            </w:hyperlink>
          </w:p>
        </w:tc>
        <w:tc>
          <w:tcPr>
            <w:tcW w:w="5669" w:type="dxa"/>
          </w:tcPr>
          <w:p w:rsidR="007B44AA" w:rsidRDefault="007B44AA">
            <w:pPr>
              <w:spacing w:line="240" w:lineRule="auto"/>
              <w:jc w:val="left"/>
              <w:rPr>
                <w:sz w:val="24"/>
                <w:rtl/>
              </w:rPr>
            </w:pPr>
            <w:r>
              <w:rPr>
                <w:sz w:val="24"/>
                <w:rtl/>
              </w:rPr>
              <w:t>סמכות המנהל</w:t>
            </w:r>
          </w:p>
        </w:tc>
        <w:tc>
          <w:tcPr>
            <w:tcW w:w="1247" w:type="dxa"/>
          </w:tcPr>
          <w:p w:rsidR="007B44AA" w:rsidRDefault="007B44AA">
            <w:pPr>
              <w:spacing w:line="240" w:lineRule="auto"/>
              <w:jc w:val="left"/>
              <w:rPr>
                <w:sz w:val="24"/>
              </w:rPr>
            </w:pPr>
            <w:r>
              <w:rPr>
                <w:sz w:val="24"/>
                <w:rtl/>
              </w:rPr>
              <w:t xml:space="preserve">סעיף 3 </w:t>
            </w:r>
          </w:p>
        </w:tc>
      </w:tr>
    </w:tbl>
    <w:p w:rsidR="007B44AA" w:rsidRDefault="007B44AA">
      <w:pPr>
        <w:pStyle w:val="big-header"/>
        <w:ind w:left="0" w:right="1134"/>
        <w:rPr>
          <w:rtl/>
        </w:rPr>
      </w:pPr>
    </w:p>
    <w:p w:rsidR="007B44AA" w:rsidRDefault="007B44AA" w:rsidP="006D1CFC">
      <w:pPr>
        <w:pStyle w:val="big-header"/>
        <w:ind w:left="0" w:right="1134"/>
        <w:rPr>
          <w:rStyle w:val="default"/>
          <w:rFonts w:cs="FrankRuehl" w:hint="cs"/>
          <w:rtl/>
        </w:rPr>
      </w:pPr>
      <w:r>
        <w:rPr>
          <w:rtl/>
        </w:rPr>
        <w:br w:type="page"/>
      </w:r>
      <w:r>
        <w:rPr>
          <w:rFonts w:hint="cs"/>
          <w:rtl/>
        </w:rPr>
        <w:lastRenderedPageBreak/>
        <w:t>תקנות מיסוי מקרקעין (שבח, מכירה ורכישה) (מאגר מידע), תשס"ג-2003</w:t>
      </w:r>
      <w:r>
        <w:rPr>
          <w:rStyle w:val="default"/>
          <w:sz w:val="22"/>
          <w:szCs w:val="22"/>
          <w:rtl/>
        </w:rPr>
        <w:footnoteReference w:customMarkFollows="1" w:id="1"/>
        <w:t>*</w:t>
      </w:r>
    </w:p>
    <w:p w:rsidR="007B44AA" w:rsidRDefault="007B44AA">
      <w:pPr>
        <w:pStyle w:val="P00"/>
        <w:spacing w:before="72"/>
        <w:ind w:left="0" w:right="1134"/>
        <w:rPr>
          <w:rStyle w:val="default"/>
          <w:rFonts w:cs="FrankRuehl" w:hint="cs"/>
          <w:rtl/>
        </w:rPr>
      </w:pPr>
      <w:r>
        <w:rPr>
          <w:rStyle w:val="default"/>
          <w:rFonts w:cs="FrankRuehl" w:hint="cs"/>
          <w:rtl/>
        </w:rPr>
        <w:tab/>
        <w:t xml:space="preserve">בתוקף סמכותי לפי סעיפים 105א ו-115 לחוק מיסוי מקרקעין (שבח, מכירה ורכישה), התשכ"ג-1963 (להלן </w:t>
      </w:r>
      <w:r>
        <w:rPr>
          <w:rStyle w:val="default"/>
          <w:rFonts w:cs="FrankRuehl"/>
          <w:rtl/>
        </w:rPr>
        <w:t>–</w:t>
      </w:r>
      <w:r>
        <w:rPr>
          <w:rStyle w:val="default"/>
          <w:rFonts w:cs="FrankRuehl" w:hint="cs"/>
          <w:rtl/>
        </w:rPr>
        <w:t xml:space="preserve"> החוק), בהתייעצות עם שר המשפטים ובאישור ועדת הכספים של הכנסת, אני מתקין תקנות אלה:</w:t>
      </w:r>
    </w:p>
    <w:p w:rsidR="007B44AA" w:rsidRDefault="007B44A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4pt;z-index:251656704" o:allowincell="f" filled="f" stroked="f" strokecolor="lime" strokeweight=".25pt">
            <v:textbox style="mso-next-textbox:#_x0000_s1026" inset="0,0,0,0">
              <w:txbxContent>
                <w:p w:rsidR="007B44AA" w:rsidRDefault="007B44AA">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7B44AA" w:rsidRDefault="007B44AA">
      <w:pPr>
        <w:pStyle w:val="P00"/>
        <w:spacing w:before="72"/>
        <w:ind w:left="0" w:right="1134"/>
        <w:rPr>
          <w:rStyle w:val="default"/>
          <w:rFonts w:cs="FrankRuehl" w:hint="cs"/>
          <w:rtl/>
        </w:rPr>
      </w:pPr>
      <w:r>
        <w:rPr>
          <w:rStyle w:val="default"/>
          <w:rFonts w:cs="FrankRuehl" w:hint="cs"/>
          <w:rtl/>
        </w:rPr>
        <w:tab/>
        <w:t xml:space="preserve">"מאגר מידע" </w:t>
      </w:r>
      <w:r>
        <w:rPr>
          <w:rStyle w:val="default"/>
          <w:rFonts w:cs="FrankRuehl"/>
          <w:rtl/>
        </w:rPr>
        <w:t>–</w:t>
      </w:r>
      <w:r>
        <w:rPr>
          <w:rStyle w:val="default"/>
          <w:rFonts w:cs="FrankRuehl" w:hint="cs"/>
          <w:rtl/>
        </w:rPr>
        <w:t xml:space="preserve"> המאגר כמשמעותו בסעיף 105א לחוק;</w:t>
      </w:r>
    </w:p>
    <w:p w:rsidR="007B44AA" w:rsidRDefault="007B44AA">
      <w:pPr>
        <w:pStyle w:val="P00"/>
        <w:spacing w:before="72"/>
        <w:ind w:left="0" w:right="1134"/>
        <w:rPr>
          <w:rStyle w:val="default"/>
          <w:rFonts w:cs="FrankRuehl" w:hint="cs"/>
          <w:rtl/>
        </w:rPr>
      </w:pPr>
      <w:r>
        <w:rPr>
          <w:rStyle w:val="default"/>
          <w:rFonts w:cs="FrankRuehl" w:hint="cs"/>
          <w:rtl/>
        </w:rPr>
        <w:tab/>
        <w:t xml:space="preserve">"מכירה רגילה" </w:t>
      </w:r>
      <w:r>
        <w:rPr>
          <w:rStyle w:val="default"/>
          <w:rFonts w:cs="FrankRuehl"/>
          <w:rtl/>
        </w:rPr>
        <w:t>–</w:t>
      </w:r>
      <w:r>
        <w:rPr>
          <w:rStyle w:val="default"/>
          <w:rFonts w:cs="FrankRuehl" w:hint="cs"/>
          <w:rtl/>
        </w:rPr>
        <w:t xml:space="preserve"> מכירה בתמורה של זכות במקרקעין בין מוכר מרצון לקונה מרצון, או מכירה של זכות במקרקעין שלא בתמורה, שהמנהל קבע לגביה שווי מכירה לצורך חיוב במס, למעט מכירה הפטורה במלואה ממס לפי הוראות סעיפים 60, 61(א), 62, 64, 65, 66, 67, 68 או 69 לחוק.</w:t>
      </w:r>
    </w:p>
    <w:p w:rsidR="007B44AA" w:rsidRDefault="007B44AA">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70.25pt;margin-top:4.95pt;width:1in;height:24.8pt;z-index:251657728" filled="f" stroked="f">
            <v:textbox inset="1mm,,1mm">
              <w:txbxContent>
                <w:p w:rsidR="007B44AA" w:rsidRDefault="007B44AA">
                  <w:pPr>
                    <w:spacing w:line="160" w:lineRule="exact"/>
                    <w:jc w:val="left"/>
                    <w:rPr>
                      <w:rFonts w:cs="Miriam" w:hint="cs"/>
                      <w:szCs w:val="18"/>
                      <w:rtl/>
                    </w:rPr>
                  </w:pPr>
                  <w:r>
                    <w:rPr>
                      <w:rFonts w:cs="Miriam" w:hint="cs"/>
                      <w:szCs w:val="18"/>
                      <w:rtl/>
                    </w:rPr>
                    <w:t>פרטים שיכלול מאגר מידע</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מאגר המידע יכלול, לגבי מכירה רגילה של זכות במקרקעין שבוצעה בשנת המס 1998 ואילך, נתונים כמפורט להלן:</w:t>
      </w:r>
    </w:p>
    <w:p w:rsidR="007B44AA" w:rsidRDefault="007B44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הרישום של המקרקעין;</w:t>
      </w:r>
    </w:p>
    <w:p w:rsidR="007B44AA" w:rsidRDefault="007B44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היישוב שבו נמצאים המקרקעין;</w:t>
      </w:r>
    </w:p>
    <w:p w:rsidR="007B44AA" w:rsidRDefault="007B44A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יום המכירה של הזכות במקרקעין כפי שנקבע לענין סעיף 19 לחוק;</w:t>
      </w:r>
    </w:p>
    <w:p w:rsidR="007B44AA" w:rsidRDefault="007B44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שווי המכירה של הזכות במקרקעין כפי שהוצהר, ואם נקבע על ידי המנהל או על ידי בית המשפט </w:t>
      </w:r>
      <w:r>
        <w:rPr>
          <w:rStyle w:val="default"/>
          <w:rFonts w:cs="FrankRuehl"/>
          <w:rtl/>
        </w:rPr>
        <w:t>–</w:t>
      </w:r>
      <w:r>
        <w:rPr>
          <w:rStyle w:val="default"/>
          <w:rFonts w:cs="FrankRuehl" w:hint="cs"/>
          <w:rtl/>
        </w:rPr>
        <w:t xml:space="preserve"> כפי שנקבע;</w:t>
      </w:r>
    </w:p>
    <w:p w:rsidR="007B44AA" w:rsidRDefault="007B44A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חלק הזכות במקרקעין הנמכרת;</w:t>
      </w:r>
    </w:p>
    <w:p w:rsidR="007B44AA" w:rsidRDefault="007B44A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סיווג המקרקעין כדירת מגורים, בנין, קרקע, משק חקלאי, או בנין תעשיה, כפי שהוצהר על ידי הצדדים לעסקה, ואם נקבע על ידי המנהל או על ידי בית המשפט </w:t>
      </w:r>
      <w:r>
        <w:rPr>
          <w:rStyle w:val="default"/>
          <w:rFonts w:cs="FrankRuehl"/>
          <w:rtl/>
        </w:rPr>
        <w:t>–</w:t>
      </w:r>
      <w:r>
        <w:rPr>
          <w:rStyle w:val="default"/>
          <w:rFonts w:cs="FrankRuehl" w:hint="cs"/>
          <w:rtl/>
        </w:rPr>
        <w:t xml:space="preserve"> כפי שנקבע.</w:t>
      </w:r>
    </w:p>
    <w:p w:rsidR="007B44AA" w:rsidRDefault="007B44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הנתונים המפורטים בפסקה משנה (א) ייכללו במאגר המידע כפי שהם מצויים לצורך שומת מס בבסיס הנתונים הממוכן שבידי המנהל.</w:t>
      </w:r>
    </w:p>
    <w:p w:rsidR="007B44AA" w:rsidRDefault="007B44AA">
      <w:pPr>
        <w:pStyle w:val="P00"/>
        <w:spacing w:before="72"/>
        <w:ind w:left="0" w:right="1134"/>
        <w:rPr>
          <w:rStyle w:val="default"/>
          <w:rFonts w:cs="FrankRuehl" w:hint="cs"/>
          <w:rtl/>
        </w:rPr>
      </w:pPr>
      <w:bookmarkStart w:id="2" w:name="Seif2"/>
      <w:bookmarkEnd w:id="2"/>
      <w:r>
        <w:rPr>
          <w:rFonts w:cs="Miriam"/>
          <w:szCs w:val="32"/>
          <w:rtl/>
          <w:lang w:val="he-IL"/>
        </w:rPr>
        <w:pict>
          <v:shape id="_x0000_s1127" type="#_x0000_t202" style="position:absolute;left:0;text-align:left;margin-left:470.25pt;margin-top:2.6pt;width:1in;height:17.4pt;z-index:251658752" filled="f" stroked="f">
            <v:textbox inset="1mm,,1mm">
              <w:txbxContent>
                <w:p w:rsidR="007B44AA" w:rsidRDefault="007B44AA">
                  <w:pPr>
                    <w:spacing w:line="160" w:lineRule="exact"/>
                    <w:jc w:val="left"/>
                    <w:rPr>
                      <w:rFonts w:cs="Miriam" w:hint="cs"/>
                      <w:szCs w:val="18"/>
                      <w:rtl/>
                    </w:rPr>
                  </w:pPr>
                  <w:r>
                    <w:rPr>
                      <w:rFonts w:cs="Miriam" w:hint="cs"/>
                      <w:szCs w:val="18"/>
                      <w:rtl/>
                    </w:rPr>
                    <w:t>סמכות המנהל</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המנהל רשאי להוסיף נתונים במאגר המידע לגבי זכות במקרקעין, כגון שטח המקרקעין, מספר חדרים וכיוצא באלה, כפי שהם מצויים במאגר הנתונים הממוכן של המנהל והכל בכפוף לסיפה של סעיף 105א(א) לחוק.</w:t>
      </w:r>
    </w:p>
    <w:p w:rsidR="007B44AA" w:rsidRDefault="007B44AA">
      <w:pPr>
        <w:pStyle w:val="P00"/>
        <w:spacing w:before="72"/>
        <w:ind w:left="0" w:right="1134"/>
        <w:rPr>
          <w:rStyle w:val="default"/>
          <w:rFonts w:cs="FrankRuehl" w:hint="cs"/>
          <w:rtl/>
        </w:rPr>
      </w:pPr>
    </w:p>
    <w:p w:rsidR="007B44AA" w:rsidRDefault="007B44AA">
      <w:pPr>
        <w:pStyle w:val="P00"/>
        <w:spacing w:before="72"/>
        <w:ind w:left="0" w:right="1134"/>
        <w:rPr>
          <w:rStyle w:val="default"/>
          <w:rFonts w:cs="FrankRuehl" w:hint="cs"/>
          <w:rtl/>
        </w:rPr>
      </w:pPr>
    </w:p>
    <w:p w:rsidR="007B44AA" w:rsidRDefault="007B44AA">
      <w:pPr>
        <w:pStyle w:val="P00"/>
        <w:spacing w:before="72"/>
        <w:ind w:left="0" w:right="1134"/>
        <w:rPr>
          <w:rStyle w:val="default"/>
          <w:rFonts w:cs="FrankRuehl" w:hint="cs"/>
          <w:rtl/>
        </w:rPr>
      </w:pPr>
      <w:r>
        <w:rPr>
          <w:rStyle w:val="default"/>
          <w:rFonts w:cs="FrankRuehl" w:hint="cs"/>
          <w:rtl/>
        </w:rPr>
        <w:t>כ"ו בשבט התשס"ג (29 בינואר 2003)</w:t>
      </w:r>
    </w:p>
    <w:p w:rsidR="007B44AA" w:rsidRDefault="007B44AA">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r>
      <w:r>
        <w:rPr>
          <w:rStyle w:val="default"/>
          <w:rFonts w:cs="FrankRuehl" w:hint="cs"/>
          <w:sz w:val="26"/>
          <w:rtl/>
        </w:rPr>
        <w:tab/>
        <w:t>סילבן שלום</w:t>
      </w:r>
    </w:p>
    <w:p w:rsidR="007B44AA" w:rsidRDefault="007B44AA">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שר האוצר</w:t>
      </w:r>
    </w:p>
    <w:sectPr w:rsidR="007B44A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44AA" w:rsidRDefault="007B44AA">
      <w:r>
        <w:separator/>
      </w:r>
    </w:p>
  </w:endnote>
  <w:endnote w:type="continuationSeparator" w:id="0">
    <w:p w:rsidR="007B44AA" w:rsidRDefault="007B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44AA" w:rsidRDefault="007B44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44AA" w:rsidRDefault="007B44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1CFC">
      <w:rPr>
        <w:rFonts w:hAnsi="FrankRuehl" w:cs="FrankRuehl"/>
        <w:noProof/>
        <w:sz w:val="24"/>
        <w:szCs w:val="24"/>
        <w:rtl/>
      </w:rPr>
      <w:t>2</w:t>
    </w:r>
    <w:r>
      <w:rPr>
        <w:rFonts w:hAnsi="FrankRuehl" w:cs="FrankRuehl"/>
        <w:sz w:val="24"/>
        <w:szCs w:val="24"/>
        <w:rtl/>
      </w:rPr>
      <w:fldChar w:fldCharType="end"/>
    </w:r>
  </w:p>
  <w:p w:rsidR="007B44AA" w:rsidRDefault="007B44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B44AA" w:rsidRDefault="007B44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44AA" w:rsidRDefault="007B44AA">
      <w:pPr>
        <w:spacing w:before="60" w:line="240" w:lineRule="auto"/>
        <w:ind w:right="1134"/>
      </w:pPr>
      <w:r>
        <w:separator/>
      </w:r>
    </w:p>
  </w:footnote>
  <w:footnote w:type="continuationSeparator" w:id="0">
    <w:p w:rsidR="007B44AA" w:rsidRDefault="007B44AA">
      <w:pPr>
        <w:spacing w:before="60" w:line="240" w:lineRule="auto"/>
        <w:ind w:right="1134"/>
      </w:pPr>
      <w:r>
        <w:separator/>
      </w:r>
    </w:p>
  </w:footnote>
  <w:footnote w:id="1">
    <w:p w:rsidR="007B44AA" w:rsidRDefault="007B44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תשס"ג מס' 6227</w:t>
        </w:r>
      </w:hyperlink>
      <w:r>
        <w:rPr>
          <w:rFonts w:hint="cs"/>
          <w:sz w:val="20"/>
          <w:rtl/>
        </w:rPr>
        <w:t xml:space="preserve"> מיום 17.2.2003 עמ' 522.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AA" w:rsidRDefault="007B44A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(מאגר מידע), תשס"ג-2003</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44AA" w:rsidRDefault="007B44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1CFC"/>
    <w:rsid w:val="006D1CFC"/>
    <w:rsid w:val="00701DD3"/>
    <w:rsid w:val="007B44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8365FB12-F7E0-45E5-9133-6DEABD7F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1872</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8192013</vt:i4>
      </vt:variant>
      <vt:variant>
        <vt:i4>0</vt:i4>
      </vt:variant>
      <vt:variant>
        <vt:i4>0</vt:i4>
      </vt:variant>
      <vt:variant>
        <vt:i4>5</vt:i4>
      </vt:variant>
      <vt:variant>
        <vt:lpwstr>http://www.nevo.co.il/Law_word/law06/TAK-6227.pdf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מיסוי מקרקעין (שבח, מכירה ורכישה) (מאגר מידע), תשס"ג-2003</vt:lpwstr>
  </property>
  <property fmtid="{D5CDD505-2E9C-101B-9397-08002B2CF9AE}" pid="4" name="LAWNUMBER">
    <vt:lpwstr>0115</vt:lpwstr>
  </property>
  <property fmtid="{D5CDD505-2E9C-101B-9397-08002B2CF9AE}" pid="5" name="TYPE">
    <vt:lpwstr>01</vt:lpwstr>
  </property>
  <property fmtid="{D5CDD505-2E9C-101B-9397-08002B2CF9AE}" pid="6" name="NOSE11">
    <vt:lpwstr>מסים</vt:lpwstr>
  </property>
  <property fmtid="{D5CDD505-2E9C-101B-9397-08002B2CF9AE}" pid="7" name="NOSE21">
    <vt:lpwstr>מיסוי מקרקעין</vt:lpwstr>
  </property>
  <property fmtid="{D5CDD505-2E9C-101B-9397-08002B2CF9AE}" pid="8" name="NOSE31">
    <vt:lpwstr>מס שבח מקרקעין</vt:lpwstr>
  </property>
  <property fmtid="{D5CDD505-2E9C-101B-9397-08002B2CF9AE}" pid="9" name="NOSE41">
    <vt:lpwstr/>
  </property>
  <property fmtid="{D5CDD505-2E9C-101B-9397-08002B2CF9AE}" pid="10" name="NOSE12">
    <vt:lpwstr>מסים</vt:lpwstr>
  </property>
  <property fmtid="{D5CDD505-2E9C-101B-9397-08002B2CF9AE}" pid="11" name="NOSE22">
    <vt:lpwstr>מיסוי מקרקעין</vt:lpwstr>
  </property>
  <property fmtid="{D5CDD505-2E9C-101B-9397-08002B2CF9AE}" pid="12" name="NOSE32">
    <vt:lpwstr>מס רכישה</vt:lpwstr>
  </property>
  <property fmtid="{D5CDD505-2E9C-101B-9397-08002B2CF9AE}" pid="13" name="NOSE42">
    <vt:lpwstr/>
  </property>
  <property fmtid="{D5CDD505-2E9C-101B-9397-08002B2CF9AE}" pid="14" name="NOSE13">
    <vt:lpwstr/>
  </property>
  <property fmtid="{D5CDD505-2E9C-101B-9397-08002B2CF9AE}" pid="15" name="NOSE23">
    <vt:lpwstr/>
  </property>
  <property fmtid="{D5CDD505-2E9C-101B-9397-08002B2CF9AE}" pid="16" name="NOSE33">
    <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ies>
</file>