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7C0" w:rsidRDefault="007437C0">
      <w:pPr>
        <w:pStyle w:val="big-header"/>
        <w:ind w:left="0" w:right="1134"/>
        <w:rPr>
          <w:rFonts w:cs="FrankRuehl"/>
          <w:sz w:val="32"/>
        </w:rPr>
      </w:pPr>
      <w:r>
        <w:rPr>
          <w:rFonts w:cs="FrankRuehl" w:hint="cs"/>
          <w:sz w:val="32"/>
          <w:rtl/>
        </w:rPr>
        <w:t>תקנות מיסוי מקרקעין (שבח, מכירה ורכישה) (פטור ממס במכירת זכות באיגוד מקרקעין), תשס"ג-2002</w:t>
      </w:r>
    </w:p>
    <w:p w:rsidR="00122704" w:rsidRPr="00122704" w:rsidRDefault="00122704" w:rsidP="00122704">
      <w:pPr>
        <w:spacing w:line="320" w:lineRule="auto"/>
        <w:rPr>
          <w:rFonts w:cs="FrankRuehl"/>
          <w:szCs w:val="26"/>
          <w:rtl/>
        </w:rPr>
      </w:pPr>
    </w:p>
    <w:p w:rsidR="00122704" w:rsidRDefault="00122704" w:rsidP="00122704">
      <w:pPr>
        <w:spacing w:line="320" w:lineRule="auto"/>
        <w:rPr>
          <w:rtl/>
        </w:rPr>
      </w:pPr>
    </w:p>
    <w:p w:rsidR="00122704" w:rsidRDefault="00122704" w:rsidP="00122704">
      <w:pPr>
        <w:spacing w:line="320" w:lineRule="auto"/>
        <w:rPr>
          <w:rFonts w:cs="FrankRuehl"/>
          <w:szCs w:val="26"/>
          <w:rtl/>
        </w:rPr>
      </w:pPr>
      <w:r w:rsidRPr="00122704">
        <w:rPr>
          <w:rFonts w:cs="Miriam"/>
          <w:szCs w:val="22"/>
          <w:rtl/>
        </w:rPr>
        <w:t>מסים</w:t>
      </w:r>
      <w:r w:rsidRPr="00122704">
        <w:rPr>
          <w:rFonts w:cs="FrankRuehl"/>
          <w:szCs w:val="26"/>
          <w:rtl/>
        </w:rPr>
        <w:t xml:space="preserve"> – מיסוי מקרקעין – מס שבח מקרקעין</w:t>
      </w:r>
    </w:p>
    <w:p w:rsidR="00122704" w:rsidRDefault="00122704" w:rsidP="00122704">
      <w:pPr>
        <w:spacing w:line="320" w:lineRule="auto"/>
        <w:rPr>
          <w:rFonts w:cs="FrankRuehl"/>
          <w:szCs w:val="26"/>
          <w:rtl/>
        </w:rPr>
      </w:pPr>
      <w:r w:rsidRPr="00122704">
        <w:rPr>
          <w:rFonts w:cs="Miriam"/>
          <w:szCs w:val="22"/>
          <w:rtl/>
        </w:rPr>
        <w:t>מסים</w:t>
      </w:r>
      <w:r w:rsidRPr="00122704">
        <w:rPr>
          <w:rFonts w:cs="FrankRuehl"/>
          <w:szCs w:val="26"/>
          <w:rtl/>
        </w:rPr>
        <w:t xml:space="preserve"> – מיסוי מקרקעין – מס רכישה</w:t>
      </w:r>
    </w:p>
    <w:p w:rsidR="00122704" w:rsidRDefault="00122704" w:rsidP="00122704">
      <w:pPr>
        <w:spacing w:line="320" w:lineRule="auto"/>
        <w:rPr>
          <w:rFonts w:cs="FrankRuehl"/>
          <w:szCs w:val="26"/>
          <w:rtl/>
        </w:rPr>
      </w:pPr>
      <w:r w:rsidRPr="00122704">
        <w:rPr>
          <w:rFonts w:cs="Miriam"/>
          <w:szCs w:val="22"/>
          <w:rtl/>
        </w:rPr>
        <w:t>מסים</w:t>
      </w:r>
      <w:r w:rsidRPr="00122704">
        <w:rPr>
          <w:rFonts w:cs="FrankRuehl"/>
          <w:szCs w:val="26"/>
          <w:rtl/>
        </w:rPr>
        <w:t xml:space="preserve"> – מיסוי מקרקעין – פטור</w:t>
      </w:r>
    </w:p>
    <w:p w:rsidR="00122704" w:rsidRPr="00122704" w:rsidRDefault="00122704" w:rsidP="00122704">
      <w:pPr>
        <w:spacing w:line="320" w:lineRule="auto"/>
        <w:rPr>
          <w:rFonts w:cs="Miriam"/>
          <w:szCs w:val="22"/>
          <w:rtl/>
        </w:rPr>
      </w:pPr>
      <w:r w:rsidRPr="00122704">
        <w:rPr>
          <w:rFonts w:cs="Miriam"/>
          <w:szCs w:val="22"/>
          <w:rtl/>
        </w:rPr>
        <w:t>מסים</w:t>
      </w:r>
      <w:r w:rsidRPr="00122704">
        <w:rPr>
          <w:rFonts w:cs="FrankRuehl"/>
          <w:szCs w:val="26"/>
          <w:rtl/>
        </w:rPr>
        <w:t xml:space="preserve"> – מיסוי מקרקעין – איגוד מקרקעין</w:t>
      </w:r>
    </w:p>
    <w:p w:rsidR="007437C0" w:rsidRDefault="007437C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437C0">
        <w:tblPrEx>
          <w:tblCellMar>
            <w:top w:w="0" w:type="dxa"/>
            <w:bottom w:w="0" w:type="dxa"/>
          </w:tblCellMar>
        </w:tblPrEx>
        <w:trPr>
          <w:jc w:val="right"/>
        </w:trPr>
        <w:tc>
          <w:tcPr>
            <w:tcW w:w="850" w:type="dxa"/>
          </w:tcPr>
          <w:p w:rsidR="007437C0" w:rsidRDefault="007437C0">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7437C0" w:rsidRDefault="007437C0">
            <w:hyperlink w:anchor="Seif0" w:tooltip="פטור ממס רכישה וממס מכירה" w:history="1">
              <w:r>
                <w:rPr>
                  <w:rStyle w:val="Hyperlink"/>
                </w:rPr>
                <w:t>Go</w:t>
              </w:r>
            </w:hyperlink>
          </w:p>
        </w:tc>
        <w:tc>
          <w:tcPr>
            <w:tcW w:w="5669" w:type="dxa"/>
          </w:tcPr>
          <w:p w:rsidR="007437C0" w:rsidRDefault="007437C0">
            <w:pPr>
              <w:rPr>
                <w:rtl/>
              </w:rPr>
            </w:pPr>
            <w:r>
              <w:rPr>
                <w:rtl/>
              </w:rPr>
              <w:t>פטור ממס רכישה וממס מכירה</w:t>
            </w:r>
          </w:p>
        </w:tc>
        <w:tc>
          <w:tcPr>
            <w:tcW w:w="1247" w:type="dxa"/>
          </w:tcPr>
          <w:p w:rsidR="007437C0" w:rsidRDefault="007437C0">
            <w:r>
              <w:rPr>
                <w:rtl/>
              </w:rPr>
              <w:t xml:space="preserve">סעיף 1 </w:t>
            </w:r>
          </w:p>
        </w:tc>
      </w:tr>
      <w:tr w:rsidR="007437C0">
        <w:tblPrEx>
          <w:tblCellMar>
            <w:top w:w="0" w:type="dxa"/>
            <w:bottom w:w="0" w:type="dxa"/>
          </w:tblCellMar>
        </w:tblPrEx>
        <w:trPr>
          <w:jc w:val="right"/>
        </w:trPr>
        <w:tc>
          <w:tcPr>
            <w:tcW w:w="850" w:type="dxa"/>
          </w:tcPr>
          <w:p w:rsidR="007437C0" w:rsidRDefault="007437C0">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7437C0" w:rsidRDefault="007437C0">
            <w:hyperlink w:anchor="Seif1" w:tooltip="תחילה ותחולה" w:history="1">
              <w:r>
                <w:rPr>
                  <w:rStyle w:val="Hyperlink"/>
                </w:rPr>
                <w:t>Go</w:t>
              </w:r>
            </w:hyperlink>
          </w:p>
        </w:tc>
        <w:tc>
          <w:tcPr>
            <w:tcW w:w="5669" w:type="dxa"/>
          </w:tcPr>
          <w:p w:rsidR="007437C0" w:rsidRDefault="007437C0">
            <w:pPr>
              <w:rPr>
                <w:rtl/>
              </w:rPr>
            </w:pPr>
            <w:r>
              <w:rPr>
                <w:rtl/>
              </w:rPr>
              <w:t>תחילה ותחולה</w:t>
            </w:r>
          </w:p>
        </w:tc>
        <w:tc>
          <w:tcPr>
            <w:tcW w:w="1247" w:type="dxa"/>
          </w:tcPr>
          <w:p w:rsidR="007437C0" w:rsidRDefault="007437C0">
            <w:r>
              <w:rPr>
                <w:rtl/>
              </w:rPr>
              <w:t xml:space="preserve">סעיף 2 </w:t>
            </w:r>
          </w:p>
        </w:tc>
      </w:tr>
    </w:tbl>
    <w:p w:rsidR="007437C0" w:rsidRDefault="007437C0">
      <w:pPr>
        <w:pStyle w:val="big-header"/>
        <w:ind w:left="0" w:right="1134"/>
        <w:rPr>
          <w:rtl/>
        </w:rPr>
      </w:pPr>
    </w:p>
    <w:p w:rsidR="007437C0" w:rsidRDefault="007437C0" w:rsidP="00122704">
      <w:pPr>
        <w:pStyle w:val="big-header"/>
        <w:ind w:left="0" w:right="1134"/>
        <w:rPr>
          <w:rFonts w:cs="FrankRuehl" w:hint="cs"/>
          <w:sz w:val="32"/>
          <w:rtl/>
        </w:rPr>
      </w:pPr>
      <w:r>
        <w:rPr>
          <w:rtl/>
        </w:rPr>
        <w:br w:type="page"/>
      </w:r>
      <w:r>
        <w:rPr>
          <w:rFonts w:cs="FrankRuehl" w:hint="cs"/>
          <w:sz w:val="32"/>
          <w:rtl/>
        </w:rPr>
        <w:lastRenderedPageBreak/>
        <w:t>תקנות מיסוי מקרקעין (שבח, מכירה ורכישה) (פטור ממס במכירת זכות באיגוד מקרקעין), תשס"ג-2002</w:t>
      </w:r>
      <w:r>
        <w:rPr>
          <w:rStyle w:val="default"/>
          <w:sz w:val="22"/>
          <w:szCs w:val="22"/>
          <w:rtl/>
        </w:rPr>
        <w:footnoteReference w:customMarkFollows="1" w:id="1"/>
        <w:t>*</w:t>
      </w:r>
    </w:p>
    <w:p w:rsidR="007437C0" w:rsidRDefault="007437C0">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w:t>
      </w:r>
      <w:r>
        <w:rPr>
          <w:rStyle w:val="default"/>
          <w:rFonts w:cs="FrankRuehl" w:hint="cs"/>
          <w:rtl/>
        </w:rPr>
        <w:t xml:space="preserve">על </w:t>
      </w:r>
      <w:r>
        <w:rPr>
          <w:rStyle w:val="default"/>
          <w:rFonts w:cs="FrankRuehl"/>
          <w:rtl/>
        </w:rPr>
        <w:t xml:space="preserve">פי </w:t>
      </w:r>
      <w:r>
        <w:rPr>
          <w:rStyle w:val="default"/>
          <w:rFonts w:cs="FrankRuehl" w:hint="cs"/>
          <w:rtl/>
        </w:rPr>
        <w:t xml:space="preserve">סעיפים 7א(ד)(1), 9, 59, 72יא ו-115(ג) ו-(ה) לחוק מיסוי מקרקעין (שבח, מכירה ורכישה), התשכ"ג-1963, ובאישור ועדת הכספים של הכנסת, </w:t>
      </w:r>
      <w:r>
        <w:rPr>
          <w:rStyle w:val="default"/>
          <w:rFonts w:cs="FrankRuehl"/>
          <w:rtl/>
        </w:rPr>
        <w:t xml:space="preserve">אני </w:t>
      </w:r>
      <w:r>
        <w:rPr>
          <w:rStyle w:val="default"/>
          <w:rFonts w:cs="FrankRuehl" w:hint="cs"/>
          <w:rtl/>
        </w:rPr>
        <w:t>מתקין תקנות אלה</w:t>
      </w:r>
      <w:r>
        <w:rPr>
          <w:rStyle w:val="default"/>
          <w:rFonts w:cs="FrankRuehl"/>
          <w:rtl/>
        </w:rPr>
        <w:t>:</w:t>
      </w:r>
    </w:p>
    <w:p w:rsidR="007437C0" w:rsidRDefault="007437C0">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17pt;z-index:251657216" o:allowincell="f" filled="f" stroked="f" strokecolor="lime" strokeweight=".25pt">
            <v:textbox inset="0,0,0,0">
              <w:txbxContent>
                <w:p w:rsidR="007437C0" w:rsidRDefault="007437C0">
                  <w:pPr>
                    <w:spacing w:line="160" w:lineRule="exact"/>
                    <w:rPr>
                      <w:rFonts w:cs="Miriam" w:hint="cs"/>
                      <w:noProof/>
                      <w:sz w:val="18"/>
                      <w:szCs w:val="18"/>
                      <w:rtl/>
                    </w:rPr>
                  </w:pPr>
                  <w:r>
                    <w:rPr>
                      <w:rFonts w:cs="Miriam" w:hint="cs"/>
                      <w:sz w:val="18"/>
                      <w:szCs w:val="18"/>
                      <w:rtl/>
                    </w:rPr>
                    <w:t>פטור ממס רכישה וממס מכירה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בפעולה איגוד מקרקעין שהיא פעולה במניות הנסחרות בבורסה בישראל, או באיגוד מקרקעין במכירה וברכישה של יחידות השתתפות בשותפות הרשומות למסחר בבורסה כאמור או בשותפות רשומה שעיקר עיסוקה בניה או השכרת דירות, יחולו הוראות צו מס הכנסה (פטור ממס על רווח הון ממכירת מניות), התשמ"ב-1981 (להלן בתקנות אלה </w:t>
      </w:r>
      <w:r>
        <w:rPr>
          <w:rStyle w:val="default"/>
          <w:rFonts w:cs="FrankRuehl"/>
          <w:rtl/>
        </w:rPr>
        <w:t>–</w:t>
      </w:r>
      <w:r>
        <w:rPr>
          <w:rStyle w:val="default"/>
          <w:rFonts w:cs="FrankRuehl" w:hint="cs"/>
          <w:rtl/>
        </w:rPr>
        <w:t xml:space="preserve"> צו הפטור), בשינויים המחויבים, ובכל מקום, במקום "פטור ממס" יקראו כאילו נאמר "פטור ממס שבח, ממס מכירה וממס רכישה, לפי הענין".</w:t>
      </w:r>
    </w:p>
    <w:p w:rsidR="007437C0" w:rsidRDefault="007437C0">
      <w:pPr>
        <w:pStyle w:val="P00"/>
        <w:spacing w:before="72"/>
        <w:ind w:left="0" w:right="1134"/>
        <w:rPr>
          <w:rStyle w:val="default"/>
          <w:rFonts w:cs="FrankRuehl" w:hint="cs"/>
          <w:rtl/>
        </w:rPr>
      </w:pPr>
      <w:bookmarkStart w:id="1" w:name="Seif1"/>
      <w:bookmarkEnd w:id="1"/>
      <w:r>
        <w:rPr>
          <w:rFonts w:cs="Miriam"/>
          <w:lang w:val="he-IL"/>
        </w:rPr>
        <w:pict>
          <v:rect id="_x0000_s1032" style="position:absolute;left:0;text-align:left;margin-left:459pt;margin-top:8.05pt;width:80.55pt;height:24.3pt;z-index:251658240" o:allowincell="f" filled="f" stroked="f" strokecolor="lime" strokeweight=".25pt">
            <v:textbox style="mso-next-textbox:#_x0000_s1032" inset="0,0,0,0">
              <w:txbxContent>
                <w:p w:rsidR="007437C0" w:rsidRDefault="007437C0">
                  <w:pPr>
                    <w:pStyle w:val="a7"/>
                    <w:rPr>
                      <w:rFonts w:hint="cs"/>
                      <w:noProof/>
                      <w:rtl/>
                    </w:rPr>
                  </w:pPr>
                  <w:r>
                    <w:rPr>
                      <w:rFonts w:hint="cs"/>
                      <w:rtl/>
                    </w:rPr>
                    <w:t>תחילה ותחולה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ביום כ"א בחשון התשס"ב (7 בנובמבר 2001) והן יחולו בתקופה שבה חל צו הפטור.</w:t>
      </w:r>
    </w:p>
    <w:p w:rsidR="007437C0" w:rsidRDefault="007437C0">
      <w:pPr>
        <w:pStyle w:val="page"/>
        <w:widowControl/>
        <w:ind w:right="1134"/>
        <w:rPr>
          <w:rStyle w:val="default"/>
          <w:rFonts w:cs="FrankRuehl"/>
          <w:position w:val="0"/>
          <w:rtl/>
        </w:rPr>
      </w:pPr>
    </w:p>
    <w:p w:rsidR="007437C0" w:rsidRDefault="007437C0">
      <w:pPr>
        <w:pStyle w:val="page"/>
        <w:widowControl/>
        <w:ind w:right="1134"/>
        <w:rPr>
          <w:rStyle w:val="default"/>
          <w:rFonts w:cs="FrankRuehl"/>
          <w:position w:val="0"/>
          <w:rtl/>
        </w:rPr>
      </w:pPr>
    </w:p>
    <w:p w:rsidR="007437C0" w:rsidRDefault="007437C0">
      <w:pPr>
        <w:pStyle w:val="sig-0"/>
        <w:ind w:left="0" w:right="1134"/>
        <w:rPr>
          <w:rFonts w:cs="FrankRuehl" w:hint="cs"/>
          <w:sz w:val="26"/>
          <w:rtl/>
        </w:rPr>
      </w:pPr>
      <w:r>
        <w:rPr>
          <w:rFonts w:cs="FrankRuehl" w:hint="cs"/>
          <w:sz w:val="26"/>
          <w:rtl/>
        </w:rPr>
        <w:t>ג' בתשרי התשס"ג (9 בספטמבר 2002)</w:t>
      </w:r>
      <w:r>
        <w:rPr>
          <w:rFonts w:cs="FrankRuehl"/>
          <w:sz w:val="26"/>
          <w:rtl/>
        </w:rPr>
        <w:tab/>
      </w:r>
      <w:r>
        <w:rPr>
          <w:rFonts w:cs="FrankRuehl" w:hint="cs"/>
          <w:sz w:val="26"/>
          <w:rtl/>
        </w:rPr>
        <w:t>סילבן שלום</w:t>
      </w:r>
    </w:p>
    <w:p w:rsidR="007437C0" w:rsidRDefault="007437C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האוצר</w:t>
      </w:r>
    </w:p>
    <w:p w:rsidR="007437C0" w:rsidRDefault="007437C0">
      <w:pPr>
        <w:pStyle w:val="sig-1"/>
        <w:widowControl/>
        <w:ind w:left="0" w:right="1134"/>
        <w:rPr>
          <w:rFonts w:cs="FrankRuehl"/>
          <w:sz w:val="22"/>
          <w:rtl/>
        </w:rPr>
      </w:pPr>
    </w:p>
    <w:p w:rsidR="007437C0" w:rsidRDefault="007437C0">
      <w:pPr>
        <w:pStyle w:val="sig-1"/>
        <w:widowControl/>
        <w:ind w:left="0" w:right="1134"/>
        <w:rPr>
          <w:rFonts w:cs="FrankRuehl"/>
          <w:sz w:val="22"/>
          <w:rtl/>
        </w:rPr>
      </w:pPr>
    </w:p>
    <w:sectPr w:rsidR="007437C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0CF" w:rsidRDefault="00E710CF">
      <w:r>
        <w:separator/>
      </w:r>
    </w:p>
  </w:endnote>
  <w:endnote w:type="continuationSeparator" w:id="0">
    <w:p w:rsidR="00E710CF" w:rsidRDefault="00E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7C0" w:rsidRDefault="007437C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437C0" w:rsidRDefault="007437C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437C0" w:rsidRDefault="007437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7C0" w:rsidRDefault="007437C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2704">
      <w:rPr>
        <w:rFonts w:hAnsi="FrankRuehl" w:cs="FrankRuehl"/>
        <w:noProof/>
        <w:sz w:val="24"/>
        <w:szCs w:val="24"/>
        <w:rtl/>
      </w:rPr>
      <w:t>2</w:t>
    </w:r>
    <w:r>
      <w:rPr>
        <w:rFonts w:hAnsi="FrankRuehl" w:cs="FrankRuehl"/>
        <w:sz w:val="24"/>
        <w:szCs w:val="24"/>
        <w:rtl/>
      </w:rPr>
      <w:fldChar w:fldCharType="end"/>
    </w:r>
  </w:p>
  <w:p w:rsidR="007437C0" w:rsidRDefault="007437C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437C0" w:rsidRDefault="007437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0CF" w:rsidRDefault="00E710CF">
      <w:pPr>
        <w:spacing w:before="60"/>
        <w:ind w:right="1134"/>
      </w:pPr>
      <w:r>
        <w:separator/>
      </w:r>
    </w:p>
  </w:footnote>
  <w:footnote w:type="continuationSeparator" w:id="0">
    <w:p w:rsidR="00E710CF" w:rsidRDefault="00E710CF">
      <w:pPr>
        <w:spacing w:before="60"/>
        <w:ind w:right="1134"/>
      </w:pPr>
      <w:r>
        <w:separator/>
      </w:r>
    </w:p>
  </w:footnote>
  <w:footnote w:id="1">
    <w:p w:rsidR="007437C0" w:rsidRDefault="007437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6199</w:t>
        </w:r>
      </w:hyperlink>
      <w:r>
        <w:rPr>
          <w:rFonts w:cs="FrankRuehl" w:hint="cs"/>
          <w:rtl/>
        </w:rPr>
        <w:t xml:space="preserve"> מיום 30.9.2002 עמ' 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7C0" w:rsidRDefault="007437C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437C0" w:rsidRDefault="007437C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437C0" w:rsidRDefault="007437C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7C0" w:rsidRDefault="007437C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(פטור ממס במכירת זכות באיגוד מקרקעין), תשס"ג-2002</w:t>
    </w:r>
  </w:p>
  <w:p w:rsidR="007437C0" w:rsidRDefault="007437C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437C0" w:rsidRDefault="007437C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1461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7C0"/>
    <w:rsid w:val="00122704"/>
    <w:rsid w:val="001A5D6A"/>
    <w:rsid w:val="001B7531"/>
    <w:rsid w:val="0056611B"/>
    <w:rsid w:val="00696295"/>
    <w:rsid w:val="007437C0"/>
    <w:rsid w:val="009620B8"/>
    <w:rsid w:val="00E710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BAB9F324-F561-49D9-B865-45F4A52D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1281</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7733248</vt:i4>
      </vt:variant>
      <vt:variant>
        <vt:i4>0</vt:i4>
      </vt:variant>
      <vt:variant>
        <vt:i4>0</vt:i4>
      </vt:variant>
      <vt:variant>
        <vt:i4>5</vt:i4>
      </vt:variant>
      <vt:variant>
        <vt:lpwstr>http://www.nevo.co.il/Law_word/law06/TAK-6199.pdf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(פטור ממס במכירת זכות באיגוד מקרקעין), תשס"ג-2002</vt:lpwstr>
  </property>
  <property fmtid="{D5CDD505-2E9C-101B-9397-08002B2CF9AE}" pid="4" name="LAWNUMBER">
    <vt:lpwstr>0048</vt:lpwstr>
  </property>
  <property fmtid="{D5CDD505-2E9C-101B-9397-08002B2CF9AE}" pid="5" name="TYPE">
    <vt:lpwstr>01</vt:lpwstr>
  </property>
  <property fmtid="{D5CDD505-2E9C-101B-9397-08002B2CF9AE}" pid="6" name="MEKOR_NAME1">
    <vt:lpwstr>חוק מיסוי מקרקעין (שבח‏, מכירה ורכישה)‏</vt:lpwstr>
  </property>
  <property fmtid="{D5CDD505-2E9C-101B-9397-08002B2CF9AE}" pid="7" name="MEKOR_SAIF1">
    <vt:lpwstr>7אXדX1X;9X;59X;72יאX</vt:lpwstr>
  </property>
  <property fmtid="{D5CDD505-2E9C-101B-9397-08002B2CF9AE}" pid="8" name="MEKOR_NAME2">
    <vt:lpwstr>חוק מיסוי מקרקעין (שבח‏, מכירה ורכישה)‏</vt:lpwstr>
  </property>
  <property fmtid="{D5CDD505-2E9C-101B-9397-08002B2CF9AE}" pid="9" name="MEKOR_SAIF2">
    <vt:lpwstr>115XגX;115XהX</vt:lpwstr>
  </property>
  <property fmtid="{D5CDD505-2E9C-101B-9397-08002B2CF9AE}" pid="10" name="NOSE11">
    <vt:lpwstr>מסים</vt:lpwstr>
  </property>
  <property fmtid="{D5CDD505-2E9C-101B-9397-08002B2CF9AE}" pid="11" name="NOSE21">
    <vt:lpwstr>מיסוי מקרקעין</vt:lpwstr>
  </property>
  <property fmtid="{D5CDD505-2E9C-101B-9397-08002B2CF9AE}" pid="12" name="NOSE31">
    <vt:lpwstr>מס שבח מקרקעין</vt:lpwstr>
  </property>
  <property fmtid="{D5CDD505-2E9C-101B-9397-08002B2CF9AE}" pid="13" name="NOSE41">
    <vt:lpwstr/>
  </property>
  <property fmtid="{D5CDD505-2E9C-101B-9397-08002B2CF9AE}" pid="14" name="NOSE12">
    <vt:lpwstr>מסים</vt:lpwstr>
  </property>
  <property fmtid="{D5CDD505-2E9C-101B-9397-08002B2CF9AE}" pid="15" name="NOSE22">
    <vt:lpwstr>מיסוי מקרקעין</vt:lpwstr>
  </property>
  <property fmtid="{D5CDD505-2E9C-101B-9397-08002B2CF9AE}" pid="16" name="NOSE32">
    <vt:lpwstr>מס רכישה</vt:lpwstr>
  </property>
  <property fmtid="{D5CDD505-2E9C-101B-9397-08002B2CF9AE}" pid="17" name="NOSE42">
    <vt:lpwstr/>
  </property>
  <property fmtid="{D5CDD505-2E9C-101B-9397-08002B2CF9AE}" pid="18" name="NOSE13">
    <vt:lpwstr>מסים</vt:lpwstr>
  </property>
  <property fmtid="{D5CDD505-2E9C-101B-9397-08002B2CF9AE}" pid="19" name="NOSE23">
    <vt:lpwstr>מיסוי מקרקעין</vt:lpwstr>
  </property>
  <property fmtid="{D5CDD505-2E9C-101B-9397-08002B2CF9AE}" pid="20" name="NOSE33">
    <vt:lpwstr>פטור</vt:lpwstr>
  </property>
  <property fmtid="{D5CDD505-2E9C-101B-9397-08002B2CF9AE}" pid="21" name="NOSE43">
    <vt:lpwstr/>
  </property>
  <property fmtid="{D5CDD505-2E9C-101B-9397-08002B2CF9AE}" pid="22" name="NOSE14">
    <vt:lpwstr>מסים</vt:lpwstr>
  </property>
  <property fmtid="{D5CDD505-2E9C-101B-9397-08002B2CF9AE}" pid="23" name="NOSE24">
    <vt:lpwstr>מיסוי מקרקעין</vt:lpwstr>
  </property>
  <property fmtid="{D5CDD505-2E9C-101B-9397-08002B2CF9AE}" pid="24" name="NOSE34">
    <vt:lpwstr>איגוד מקרקעין</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ies>
</file>