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2001" w:rsidRDefault="00632001">
      <w:pPr>
        <w:pStyle w:val="big-header"/>
        <w:ind w:left="0" w:right="1134"/>
        <w:rPr>
          <w:rFonts w:cs="FrankRuehl"/>
          <w:sz w:val="32"/>
        </w:rPr>
      </w:pPr>
      <w:r>
        <w:rPr>
          <w:rFonts w:cs="FrankRuehl" w:hint="cs"/>
          <w:sz w:val="32"/>
          <w:rtl/>
        </w:rPr>
        <w:t>תקנות מיסוי מקרקעין (שבח, מכירה ורכישה) (קביעת שווי רכישה לענין אופציה במקרקעין), תשס"ג-2003</w:t>
      </w:r>
    </w:p>
    <w:p w:rsidR="006518A2" w:rsidRPr="006518A2" w:rsidRDefault="006518A2" w:rsidP="006518A2">
      <w:pPr>
        <w:spacing w:line="320" w:lineRule="auto"/>
        <w:jc w:val="left"/>
        <w:rPr>
          <w:rFonts w:cs="FrankRuehl"/>
          <w:szCs w:val="26"/>
          <w:rtl/>
        </w:rPr>
      </w:pPr>
    </w:p>
    <w:p w:rsidR="006518A2" w:rsidRDefault="006518A2" w:rsidP="006518A2">
      <w:pPr>
        <w:spacing w:line="320" w:lineRule="auto"/>
        <w:jc w:val="left"/>
        <w:rPr>
          <w:rtl/>
        </w:rPr>
      </w:pPr>
    </w:p>
    <w:p w:rsidR="006518A2" w:rsidRDefault="006518A2" w:rsidP="006518A2">
      <w:pPr>
        <w:spacing w:line="320" w:lineRule="auto"/>
        <w:jc w:val="left"/>
        <w:rPr>
          <w:rFonts w:cs="FrankRuehl"/>
          <w:szCs w:val="26"/>
          <w:rtl/>
        </w:rPr>
      </w:pPr>
      <w:r w:rsidRPr="006518A2">
        <w:rPr>
          <w:rFonts w:cs="Miriam"/>
          <w:szCs w:val="22"/>
          <w:rtl/>
        </w:rPr>
        <w:t>מסים</w:t>
      </w:r>
      <w:r w:rsidRPr="006518A2">
        <w:rPr>
          <w:rFonts w:cs="FrankRuehl"/>
          <w:szCs w:val="26"/>
          <w:rtl/>
        </w:rPr>
        <w:t xml:space="preserve"> – מיסוי מקרקעין – מס שבח מקרקעין</w:t>
      </w:r>
    </w:p>
    <w:p w:rsidR="006518A2" w:rsidRPr="006518A2" w:rsidRDefault="006518A2" w:rsidP="006518A2">
      <w:pPr>
        <w:spacing w:line="320" w:lineRule="auto"/>
        <w:jc w:val="left"/>
        <w:rPr>
          <w:rFonts w:cs="Miriam"/>
          <w:szCs w:val="22"/>
          <w:rtl/>
        </w:rPr>
      </w:pPr>
      <w:r w:rsidRPr="006518A2">
        <w:rPr>
          <w:rFonts w:cs="Miriam"/>
          <w:szCs w:val="22"/>
          <w:rtl/>
        </w:rPr>
        <w:t>מסים</w:t>
      </w:r>
      <w:r w:rsidRPr="006518A2">
        <w:rPr>
          <w:rFonts w:cs="FrankRuehl"/>
          <w:szCs w:val="26"/>
          <w:rtl/>
        </w:rPr>
        <w:t xml:space="preserve"> – מיסוי מקרקעין – מס רכישה</w:t>
      </w:r>
    </w:p>
    <w:p w:rsidR="00632001" w:rsidRDefault="00632001">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632001">
        <w:tblPrEx>
          <w:tblCellMar>
            <w:top w:w="0" w:type="dxa"/>
            <w:bottom w:w="0" w:type="dxa"/>
          </w:tblCellMar>
        </w:tblPrEx>
        <w:trPr>
          <w:jc w:val="right"/>
        </w:trPr>
        <w:tc>
          <w:tcPr>
            <w:tcW w:w="850" w:type="dxa"/>
          </w:tcPr>
          <w:p w:rsidR="00632001" w:rsidRDefault="00632001">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632001" w:rsidRDefault="00632001">
            <w:pPr>
              <w:spacing w:line="240" w:lineRule="auto"/>
              <w:jc w:val="left"/>
              <w:rPr>
                <w:sz w:val="24"/>
              </w:rPr>
            </w:pPr>
            <w:hyperlink w:anchor="Seif0" w:tooltip="קביעת שווי רכישה" w:history="1">
              <w:r>
                <w:rPr>
                  <w:rStyle w:val="Hyperlink"/>
                </w:rPr>
                <w:t>Go</w:t>
              </w:r>
            </w:hyperlink>
          </w:p>
        </w:tc>
        <w:tc>
          <w:tcPr>
            <w:tcW w:w="5669" w:type="dxa"/>
          </w:tcPr>
          <w:p w:rsidR="00632001" w:rsidRDefault="00632001">
            <w:pPr>
              <w:spacing w:line="240" w:lineRule="auto"/>
              <w:jc w:val="left"/>
              <w:rPr>
                <w:sz w:val="24"/>
                <w:rtl/>
              </w:rPr>
            </w:pPr>
            <w:r>
              <w:rPr>
                <w:sz w:val="24"/>
                <w:rtl/>
              </w:rPr>
              <w:t>קביעת שווי רכישה</w:t>
            </w:r>
          </w:p>
        </w:tc>
        <w:tc>
          <w:tcPr>
            <w:tcW w:w="1247" w:type="dxa"/>
          </w:tcPr>
          <w:p w:rsidR="00632001" w:rsidRDefault="00632001">
            <w:pPr>
              <w:spacing w:line="240" w:lineRule="auto"/>
              <w:jc w:val="left"/>
              <w:rPr>
                <w:sz w:val="24"/>
              </w:rPr>
            </w:pPr>
            <w:r>
              <w:rPr>
                <w:sz w:val="24"/>
                <w:rtl/>
              </w:rPr>
              <w:t xml:space="preserve">סעיף 1 </w:t>
            </w:r>
          </w:p>
        </w:tc>
      </w:tr>
      <w:tr w:rsidR="00632001">
        <w:tblPrEx>
          <w:tblCellMar>
            <w:top w:w="0" w:type="dxa"/>
            <w:bottom w:w="0" w:type="dxa"/>
          </w:tblCellMar>
        </w:tblPrEx>
        <w:trPr>
          <w:jc w:val="right"/>
        </w:trPr>
        <w:tc>
          <w:tcPr>
            <w:tcW w:w="850" w:type="dxa"/>
          </w:tcPr>
          <w:p w:rsidR="00632001" w:rsidRDefault="00632001">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632001" w:rsidRDefault="00632001">
            <w:pPr>
              <w:spacing w:line="240" w:lineRule="auto"/>
              <w:jc w:val="left"/>
              <w:rPr>
                <w:sz w:val="24"/>
              </w:rPr>
            </w:pPr>
            <w:hyperlink w:anchor="Seif1" w:tooltip="תחולה" w:history="1">
              <w:r>
                <w:rPr>
                  <w:rStyle w:val="Hyperlink"/>
                </w:rPr>
                <w:t>Go</w:t>
              </w:r>
            </w:hyperlink>
          </w:p>
        </w:tc>
        <w:tc>
          <w:tcPr>
            <w:tcW w:w="5669" w:type="dxa"/>
          </w:tcPr>
          <w:p w:rsidR="00632001" w:rsidRDefault="00632001">
            <w:pPr>
              <w:spacing w:line="240" w:lineRule="auto"/>
              <w:jc w:val="left"/>
              <w:rPr>
                <w:sz w:val="24"/>
                <w:rtl/>
              </w:rPr>
            </w:pPr>
            <w:r>
              <w:rPr>
                <w:sz w:val="24"/>
                <w:rtl/>
              </w:rPr>
              <w:t>תחולה</w:t>
            </w:r>
          </w:p>
        </w:tc>
        <w:tc>
          <w:tcPr>
            <w:tcW w:w="1247" w:type="dxa"/>
          </w:tcPr>
          <w:p w:rsidR="00632001" w:rsidRDefault="00632001">
            <w:pPr>
              <w:spacing w:line="240" w:lineRule="auto"/>
              <w:jc w:val="left"/>
              <w:rPr>
                <w:sz w:val="24"/>
              </w:rPr>
            </w:pPr>
            <w:r>
              <w:rPr>
                <w:sz w:val="24"/>
                <w:rtl/>
              </w:rPr>
              <w:t xml:space="preserve">סעיף 2 </w:t>
            </w:r>
          </w:p>
        </w:tc>
      </w:tr>
    </w:tbl>
    <w:p w:rsidR="00632001" w:rsidRDefault="00632001">
      <w:pPr>
        <w:pStyle w:val="big-header"/>
        <w:ind w:left="0" w:right="1134"/>
        <w:rPr>
          <w:rtl/>
        </w:rPr>
      </w:pPr>
    </w:p>
    <w:p w:rsidR="00632001" w:rsidRDefault="00632001" w:rsidP="006518A2">
      <w:pPr>
        <w:pStyle w:val="big-header"/>
        <w:ind w:left="0" w:right="1134"/>
        <w:rPr>
          <w:rStyle w:val="default"/>
          <w:rFonts w:cs="FrankRuehl" w:hint="cs"/>
          <w:rtl/>
        </w:rPr>
      </w:pPr>
      <w:r>
        <w:rPr>
          <w:rtl/>
        </w:rPr>
        <w:br w:type="page"/>
      </w:r>
      <w:r>
        <w:rPr>
          <w:rFonts w:cs="FrankRuehl" w:hint="cs"/>
          <w:sz w:val="32"/>
          <w:rtl/>
        </w:rPr>
        <w:lastRenderedPageBreak/>
        <w:t>תקנות מיסוי מקרקעין (שבח, מכירה ורכישה) (קביעת שווי רכישה לענין אופציה במקרקעין), תשס"ג-2003</w:t>
      </w:r>
      <w:r>
        <w:rPr>
          <w:rStyle w:val="default"/>
          <w:sz w:val="22"/>
          <w:szCs w:val="22"/>
          <w:rtl/>
        </w:rPr>
        <w:footnoteReference w:customMarkFollows="1" w:id="2"/>
        <w:t>*</w:t>
      </w:r>
    </w:p>
    <w:p w:rsidR="00632001" w:rsidRDefault="00632001">
      <w:pPr>
        <w:pStyle w:val="P00"/>
        <w:spacing w:before="72"/>
        <w:ind w:left="0" w:right="1134"/>
        <w:rPr>
          <w:rStyle w:val="default"/>
          <w:rFonts w:cs="FrankRuehl" w:hint="cs"/>
          <w:rtl/>
        </w:rPr>
      </w:pPr>
      <w:r>
        <w:rPr>
          <w:rStyle w:val="default"/>
          <w:rFonts w:cs="FrankRuehl" w:hint="cs"/>
          <w:rtl/>
        </w:rPr>
        <w:tab/>
        <w:t xml:space="preserve">בתוקף סמכותי לפי סעיף 115(ה) לחוק מיסוי מקרקעין (שבח, מכירה ורכישה), התשכ"ג-1963 (להלן </w:t>
      </w:r>
      <w:r>
        <w:rPr>
          <w:rStyle w:val="default"/>
          <w:rFonts w:cs="FrankRuehl"/>
          <w:rtl/>
        </w:rPr>
        <w:t>–</w:t>
      </w:r>
      <w:r>
        <w:rPr>
          <w:rStyle w:val="default"/>
          <w:rFonts w:cs="FrankRuehl" w:hint="cs"/>
          <w:rtl/>
        </w:rPr>
        <w:t xml:space="preserve"> החוק), ובאישור ועדת הכספים של הכנסת, אני מתקין תקנות אלה:</w:t>
      </w:r>
    </w:p>
    <w:p w:rsidR="00632001" w:rsidRDefault="00632001">
      <w:pPr>
        <w:pStyle w:val="P00"/>
        <w:spacing w:before="72"/>
        <w:ind w:left="0" w:right="1134"/>
        <w:rPr>
          <w:rStyle w:val="default"/>
          <w:rFonts w:cs="FrankRuehl" w:hint="cs"/>
          <w:rtl/>
        </w:rPr>
      </w:pPr>
      <w:bookmarkStart w:id="0" w:name="Seif0"/>
      <w:bookmarkEnd w:id="0"/>
      <w:r>
        <w:rPr>
          <w:rFonts w:cs="Miriam"/>
          <w:sz w:val="32"/>
          <w:szCs w:val="32"/>
          <w:rtl/>
          <w:lang w:val="he-IL"/>
        </w:rPr>
        <w:pict>
          <v:shapetype id="_x0000_t202" coordsize="21600,21600" o:spt="202" path="m,l,21600r21600,l21600,xe">
            <v:stroke joinstyle="miter"/>
            <v:path gradientshapeok="t" o:connecttype="rect"/>
          </v:shapetype>
          <v:shape id="_x0000_s1028" type="#_x0000_t202" style="position:absolute;left:0;text-align:left;margin-left:470.25pt;margin-top:4pt;width:1in;height:14.15pt;z-index:251657216" filled="f" stroked="f">
            <v:textbox style="mso-next-textbox:#_x0000_s1028" inset="1mm,,1mm">
              <w:txbxContent>
                <w:p w:rsidR="00632001" w:rsidRDefault="00632001">
                  <w:pPr>
                    <w:spacing w:line="160" w:lineRule="exact"/>
                    <w:jc w:val="left"/>
                    <w:rPr>
                      <w:rFonts w:cs="Miriam" w:hint="cs"/>
                      <w:szCs w:val="18"/>
                      <w:rtl/>
                    </w:rPr>
                  </w:pPr>
                  <w:r>
                    <w:rPr>
                      <w:rFonts w:cs="Miriam" w:hint="cs"/>
                      <w:szCs w:val="18"/>
                      <w:rtl/>
                    </w:rPr>
                    <w:t>קביעת שווי רכישה</w:t>
                  </w:r>
                </w:p>
              </w:txbxContent>
            </v:textbox>
            <w10:anchorlock/>
          </v:shape>
        </w:pict>
      </w:r>
      <w:r>
        <w:rPr>
          <w:rStyle w:val="default"/>
          <w:rFonts w:cs="Miriam" w:hint="cs"/>
          <w:sz w:val="32"/>
          <w:szCs w:val="32"/>
          <w:rtl/>
        </w:rPr>
        <w:t>1</w:t>
      </w:r>
      <w:r>
        <w:rPr>
          <w:rStyle w:val="default"/>
          <w:rFonts w:cs="FrankRuehl" w:hint="cs"/>
          <w:rtl/>
        </w:rPr>
        <w:t>.</w:t>
      </w:r>
      <w:r>
        <w:rPr>
          <w:rStyle w:val="default"/>
          <w:rFonts w:cs="FrankRuehl" w:hint="cs"/>
          <w:rtl/>
        </w:rPr>
        <w:tab/>
        <w:t xml:space="preserve">במכירת זכות במקרקעין שנרכשה במימוש אופציה, כאמור בסעיף 49י(ג) לחוק, בידי מי שרכש את האופציה ממי שאינו בעל הזכות במקרקעין, יראו כשווי הרכישה של הזכות במקרקעין את שווי הרכישה של הזכות במקרקעין שנקבע לפי סעיף 21(ב) לחוק, בתוספת שווי הרכישה של האופציה; ואולם אם חלו על האופציה הוראות הפקודה </w:t>
      </w:r>
      <w:r>
        <w:rPr>
          <w:rStyle w:val="default"/>
          <w:rFonts w:cs="FrankRuehl"/>
          <w:rtl/>
        </w:rPr>
        <w:t>–</w:t>
      </w:r>
      <w:r>
        <w:rPr>
          <w:rStyle w:val="default"/>
          <w:rFonts w:cs="FrankRuehl" w:hint="cs"/>
          <w:rtl/>
        </w:rPr>
        <w:t xml:space="preserve"> בתוספת התמורה או הסכום שנקבע כהכנסה בידי מוכר האופציה, לפי הענין.</w:t>
      </w:r>
    </w:p>
    <w:p w:rsidR="00632001" w:rsidRDefault="00632001">
      <w:pPr>
        <w:pStyle w:val="P00"/>
        <w:spacing w:before="72"/>
        <w:ind w:left="0" w:right="1134"/>
        <w:rPr>
          <w:rStyle w:val="default"/>
          <w:rFonts w:cs="FrankRuehl" w:hint="cs"/>
          <w:rtl/>
        </w:rPr>
      </w:pPr>
      <w:bookmarkStart w:id="1" w:name="Seif1"/>
      <w:bookmarkEnd w:id="1"/>
      <w:r>
        <w:rPr>
          <w:rFonts w:cs="Miriam"/>
          <w:sz w:val="32"/>
          <w:szCs w:val="32"/>
          <w:rtl/>
          <w:lang w:val="he-IL"/>
        </w:rPr>
        <w:pict>
          <v:shape id="_x0000_s1053" type="#_x0000_t202" style="position:absolute;left:0;text-align:left;margin-left:470.25pt;margin-top:4pt;width:1in;height:14.15pt;z-index:251658240" filled="f" stroked="f">
            <v:textbox style="mso-next-textbox:#_x0000_s1053" inset="1mm,,1mm">
              <w:txbxContent>
                <w:p w:rsidR="00632001" w:rsidRDefault="00632001">
                  <w:pPr>
                    <w:spacing w:line="160" w:lineRule="exact"/>
                    <w:jc w:val="left"/>
                    <w:rPr>
                      <w:rFonts w:cs="Miriam" w:hint="cs"/>
                      <w:szCs w:val="18"/>
                      <w:rtl/>
                    </w:rPr>
                  </w:pPr>
                  <w:r>
                    <w:rPr>
                      <w:rFonts w:cs="Miriam" w:hint="cs"/>
                      <w:szCs w:val="18"/>
                      <w:rtl/>
                    </w:rPr>
                    <w:t>תחולה</w:t>
                  </w:r>
                </w:p>
              </w:txbxContent>
            </v:textbox>
            <w10:anchorlock/>
          </v:shape>
        </w:pict>
      </w:r>
      <w:r>
        <w:rPr>
          <w:rStyle w:val="default"/>
          <w:rFonts w:cs="Miriam" w:hint="cs"/>
          <w:sz w:val="32"/>
          <w:szCs w:val="32"/>
          <w:rtl/>
        </w:rPr>
        <w:t>2</w:t>
      </w:r>
      <w:r>
        <w:rPr>
          <w:rStyle w:val="default"/>
          <w:rFonts w:cs="FrankRuehl" w:hint="cs"/>
          <w:rtl/>
        </w:rPr>
        <w:t>.</w:t>
      </w:r>
      <w:r>
        <w:rPr>
          <w:rStyle w:val="default"/>
          <w:rFonts w:cs="FrankRuehl" w:hint="cs"/>
          <w:rtl/>
        </w:rPr>
        <w:tab/>
        <w:t>תקנות אלה יחולו לגבי רכישת אופציה ביום כ"א בחשון התשס"ב (7 בנובמבר 2001) או לאחריו.</w:t>
      </w:r>
    </w:p>
    <w:p w:rsidR="00632001" w:rsidRDefault="00632001">
      <w:pPr>
        <w:pStyle w:val="P00"/>
        <w:tabs>
          <w:tab w:val="clear" w:pos="624"/>
          <w:tab w:val="clear" w:pos="1021"/>
          <w:tab w:val="clear" w:pos="1474"/>
          <w:tab w:val="clear" w:pos="1928"/>
          <w:tab w:val="clear" w:pos="2381"/>
          <w:tab w:val="clear" w:pos="2835"/>
          <w:tab w:val="clear" w:pos="6259"/>
          <w:tab w:val="left" w:pos="284"/>
          <w:tab w:val="left" w:pos="567"/>
        </w:tabs>
        <w:spacing w:before="72"/>
        <w:ind w:left="0" w:right="1134"/>
        <w:rPr>
          <w:rStyle w:val="default"/>
          <w:rFonts w:cs="FrankRuehl" w:hint="cs"/>
          <w:rtl/>
        </w:rPr>
      </w:pPr>
    </w:p>
    <w:p w:rsidR="00632001" w:rsidRDefault="00632001">
      <w:pPr>
        <w:pStyle w:val="P00"/>
        <w:tabs>
          <w:tab w:val="clear" w:pos="624"/>
          <w:tab w:val="clear" w:pos="1021"/>
          <w:tab w:val="clear" w:pos="1474"/>
          <w:tab w:val="clear" w:pos="1928"/>
          <w:tab w:val="clear" w:pos="2381"/>
          <w:tab w:val="clear" w:pos="2835"/>
          <w:tab w:val="clear" w:pos="6259"/>
          <w:tab w:val="left" w:pos="284"/>
          <w:tab w:val="left" w:pos="567"/>
        </w:tabs>
        <w:spacing w:before="72"/>
        <w:ind w:left="0" w:right="1134"/>
        <w:rPr>
          <w:rStyle w:val="default"/>
          <w:rFonts w:cs="FrankRuehl" w:hint="cs"/>
          <w:rtl/>
        </w:rPr>
      </w:pPr>
    </w:p>
    <w:p w:rsidR="00632001" w:rsidRDefault="00632001">
      <w:pPr>
        <w:pStyle w:val="P00"/>
        <w:tabs>
          <w:tab w:val="clear" w:pos="624"/>
          <w:tab w:val="clear" w:pos="1021"/>
          <w:tab w:val="clear" w:pos="1474"/>
          <w:tab w:val="clear" w:pos="1928"/>
          <w:tab w:val="clear" w:pos="2381"/>
          <w:tab w:val="clear" w:pos="2835"/>
          <w:tab w:val="clear" w:pos="6259"/>
          <w:tab w:val="center" w:pos="4536"/>
        </w:tabs>
        <w:spacing w:before="72"/>
        <w:ind w:left="0" w:right="1134"/>
        <w:rPr>
          <w:rStyle w:val="default"/>
          <w:rFonts w:cs="FrankRuehl" w:hint="cs"/>
          <w:rtl/>
        </w:rPr>
      </w:pPr>
      <w:r>
        <w:rPr>
          <w:rStyle w:val="default"/>
          <w:rFonts w:cs="FrankRuehl" w:hint="cs"/>
          <w:rtl/>
        </w:rPr>
        <w:t>כ"ח בתמוז התשס"ג (28 ביולי 2003)</w:t>
      </w:r>
    </w:p>
    <w:p w:rsidR="00632001" w:rsidRDefault="00632001">
      <w:pPr>
        <w:pStyle w:val="P00"/>
        <w:tabs>
          <w:tab w:val="clear" w:pos="624"/>
          <w:tab w:val="clear" w:pos="1021"/>
          <w:tab w:val="clear" w:pos="1474"/>
          <w:tab w:val="clear" w:pos="1928"/>
          <w:tab w:val="clear" w:pos="2381"/>
          <w:tab w:val="clear" w:pos="2835"/>
          <w:tab w:val="clear" w:pos="6259"/>
          <w:tab w:val="center" w:pos="4536"/>
        </w:tabs>
        <w:spacing w:before="72"/>
        <w:ind w:left="0" w:right="1134"/>
        <w:rPr>
          <w:rStyle w:val="default"/>
          <w:rFonts w:cs="FrankRuehl" w:hint="cs"/>
          <w:rtl/>
        </w:rPr>
      </w:pPr>
      <w:r>
        <w:rPr>
          <w:rStyle w:val="default"/>
          <w:rFonts w:cs="FrankRuehl" w:hint="cs"/>
          <w:rtl/>
        </w:rPr>
        <w:tab/>
        <w:t>בנימין נתניהו</w:t>
      </w:r>
    </w:p>
    <w:p w:rsidR="00632001" w:rsidRDefault="00632001">
      <w:pPr>
        <w:pStyle w:val="P00"/>
        <w:tabs>
          <w:tab w:val="clear" w:pos="624"/>
          <w:tab w:val="clear" w:pos="1021"/>
          <w:tab w:val="clear" w:pos="1474"/>
          <w:tab w:val="clear" w:pos="1928"/>
          <w:tab w:val="clear" w:pos="2381"/>
          <w:tab w:val="clear" w:pos="2835"/>
          <w:tab w:val="clear" w:pos="6259"/>
          <w:tab w:val="center" w:pos="4536"/>
        </w:tabs>
        <w:spacing w:before="72"/>
        <w:ind w:left="0" w:right="1134"/>
        <w:rPr>
          <w:rStyle w:val="default"/>
          <w:rFonts w:cs="FrankRuehl" w:hint="cs"/>
          <w:sz w:val="22"/>
          <w:szCs w:val="22"/>
          <w:rtl/>
        </w:rPr>
      </w:pPr>
      <w:r>
        <w:rPr>
          <w:rStyle w:val="default"/>
          <w:rFonts w:cs="FrankRuehl" w:hint="cs"/>
          <w:sz w:val="22"/>
          <w:szCs w:val="22"/>
          <w:rtl/>
        </w:rPr>
        <w:tab/>
        <w:t>שר האוצר</w:t>
      </w:r>
    </w:p>
    <w:p w:rsidR="00632001" w:rsidRDefault="00632001">
      <w:pPr>
        <w:pStyle w:val="P00"/>
        <w:tabs>
          <w:tab w:val="clear" w:pos="624"/>
          <w:tab w:val="clear" w:pos="1021"/>
          <w:tab w:val="clear" w:pos="1474"/>
          <w:tab w:val="clear" w:pos="1928"/>
          <w:tab w:val="clear" w:pos="2381"/>
          <w:tab w:val="clear" w:pos="2835"/>
          <w:tab w:val="clear" w:pos="6259"/>
          <w:tab w:val="center" w:pos="4536"/>
        </w:tabs>
        <w:spacing w:before="72"/>
        <w:ind w:left="0" w:right="1134"/>
        <w:rPr>
          <w:rStyle w:val="default"/>
          <w:rFonts w:cs="FrankRuehl" w:hint="cs"/>
          <w:rtl/>
        </w:rPr>
      </w:pPr>
    </w:p>
    <w:sectPr w:rsidR="00632001">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948AB" w:rsidRDefault="00C948AB">
      <w:r>
        <w:separator/>
      </w:r>
    </w:p>
  </w:endnote>
  <w:endnote w:type="continuationSeparator" w:id="0">
    <w:p w:rsidR="00C948AB" w:rsidRDefault="00C94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2001" w:rsidRDefault="0063200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32001" w:rsidRDefault="0063200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32001" w:rsidRDefault="0063200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Z:\000000000000-law\yael\07-04-22-d\tikunim\999_179.doc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2001" w:rsidRDefault="0063200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518A2">
      <w:rPr>
        <w:rFonts w:hAnsi="FrankRuehl" w:cs="FrankRuehl"/>
        <w:noProof/>
        <w:sz w:val="24"/>
        <w:szCs w:val="24"/>
        <w:rtl/>
      </w:rPr>
      <w:t>2</w:t>
    </w:r>
    <w:r>
      <w:rPr>
        <w:rFonts w:hAnsi="FrankRuehl" w:cs="FrankRuehl"/>
        <w:sz w:val="24"/>
        <w:szCs w:val="24"/>
        <w:rtl/>
      </w:rPr>
      <w:fldChar w:fldCharType="end"/>
    </w:r>
  </w:p>
  <w:p w:rsidR="00632001" w:rsidRDefault="0063200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632001" w:rsidRDefault="0063200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Z:\000000000000-law\yael\07-04-22-d\tikunim\999_179.doc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948AB" w:rsidRDefault="00C948AB">
      <w:pPr>
        <w:spacing w:before="60" w:line="240" w:lineRule="auto"/>
        <w:ind w:right="1134"/>
      </w:pPr>
      <w:r>
        <w:separator/>
      </w:r>
    </w:p>
  </w:footnote>
  <w:footnote w:type="continuationSeparator" w:id="0">
    <w:p w:rsidR="00C948AB" w:rsidRDefault="00C948AB">
      <w:pPr>
        <w:spacing w:before="60" w:line="240" w:lineRule="auto"/>
        <w:ind w:right="1134"/>
      </w:pPr>
      <w:r>
        <w:separator/>
      </w:r>
    </w:p>
  </w:footnote>
  <w:footnote w:type="continuationNotice" w:id="1">
    <w:p w:rsidR="00C948AB" w:rsidRDefault="00C948AB">
      <w:pPr>
        <w:rPr>
          <w:rtl/>
        </w:rPr>
      </w:pPr>
    </w:p>
  </w:footnote>
  <w:footnote w:id="2">
    <w:p w:rsidR="00632001" w:rsidRDefault="006320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hint="cs"/>
            <w:rtl/>
          </w:rPr>
          <w:t>ק"ת תשס"ג מס' 6254</w:t>
        </w:r>
      </w:hyperlink>
      <w:r>
        <w:rPr>
          <w:rFonts w:cs="FrankRuehl" w:hint="cs"/>
          <w:rtl/>
        </w:rPr>
        <w:t xml:space="preserve"> מיום 6.8.2003 עמ' 881.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2001" w:rsidRDefault="0063200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הודעה בדבר קביעת משרות שלא תחול עליהן חובת מכרז, תשס"א–2001</w:t>
    </w:r>
  </w:p>
  <w:p w:rsidR="00632001" w:rsidRDefault="0063200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32001" w:rsidRDefault="0063200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2001" w:rsidRDefault="00632001">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מיסוי מקרקעין (שבח, מכירה ורכישה) (קביעת שווי רכישה לענין אופציה במקרקעין), תשס"ג-2003</w:t>
    </w:r>
  </w:p>
  <w:p w:rsidR="00632001" w:rsidRDefault="0063200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32001" w:rsidRDefault="0063200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 w:id="1"/>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2001"/>
    <w:rsid w:val="002E46F0"/>
    <w:rsid w:val="00583161"/>
    <w:rsid w:val="00632001"/>
    <w:rsid w:val="006518A2"/>
    <w:rsid w:val="00C948AB"/>
    <w:rsid w:val="00FE69E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5:chartTrackingRefBased/>
  <w15:docId w15:val="{72B7EBB3-6E45-411F-AA8C-7EF9FB8A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Hyperlink">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25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פרק 221א</vt:lpstr>
    </vt:vector>
  </TitlesOfParts>
  <Company/>
  <LinksUpToDate>false</LinksUpToDate>
  <CharactersWithSpaces>1101</CharactersWithSpaces>
  <SharedDoc>false</SharedDoc>
  <HLinks>
    <vt:vector size="18" baseType="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7995406</vt:i4>
      </vt:variant>
      <vt:variant>
        <vt:i4>0</vt:i4>
      </vt:variant>
      <vt:variant>
        <vt:i4>0</vt:i4>
      </vt:variant>
      <vt:variant>
        <vt:i4>5</vt:i4>
      </vt:variant>
      <vt:variant>
        <vt:lpwstr>http://www.nevo.co.il/Law_word/law06/TAK-6254.pdf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221א</dc:title>
  <dc:subject/>
  <dc:creator>eli</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999</vt:lpwstr>
  </property>
  <property fmtid="{D5CDD505-2E9C-101B-9397-08002B2CF9AE}" pid="3" name="LAWNAME">
    <vt:lpwstr>תקנות מיסוי מקרקעין (שבח, מכירה ורכישה) (קביעת שווי רכישה לענין אופציה במקרקעין), תשס"ג-2003</vt:lpwstr>
  </property>
  <property fmtid="{D5CDD505-2E9C-101B-9397-08002B2CF9AE}" pid="4" name="LAWNUMBER">
    <vt:lpwstr>0179</vt:lpwstr>
  </property>
  <property fmtid="{D5CDD505-2E9C-101B-9397-08002B2CF9AE}" pid="5" name="TYPE">
    <vt:lpwstr>01</vt:lpwstr>
  </property>
  <property fmtid="{D5CDD505-2E9C-101B-9397-08002B2CF9AE}" pid="6" name="CHNAME">
    <vt:lpwstr>מיסוי מקרקעין</vt:lpwstr>
  </property>
  <property fmtid="{D5CDD505-2E9C-101B-9397-08002B2CF9AE}" pid="7" name="MEKOR_NAME1">
    <vt:lpwstr>חוק מיסוי מקרקעין (שבח‏, מכירה ורכישה)‏</vt:lpwstr>
  </property>
  <property fmtid="{D5CDD505-2E9C-101B-9397-08002B2CF9AE}" pid="8" name="MEKOR_SAIF1">
    <vt:lpwstr>115XהX</vt:lpwstr>
  </property>
  <property fmtid="{D5CDD505-2E9C-101B-9397-08002B2CF9AE}" pid="9" name="NOSE11">
    <vt:lpwstr>מסים</vt:lpwstr>
  </property>
  <property fmtid="{D5CDD505-2E9C-101B-9397-08002B2CF9AE}" pid="10" name="NOSE21">
    <vt:lpwstr>מיסוי מקרקעין</vt:lpwstr>
  </property>
  <property fmtid="{D5CDD505-2E9C-101B-9397-08002B2CF9AE}" pid="11" name="NOSE31">
    <vt:lpwstr>מס שבח מקרקעין</vt:lpwstr>
  </property>
  <property fmtid="{D5CDD505-2E9C-101B-9397-08002B2CF9AE}" pid="12" name="NOSE41">
    <vt:lpwstr/>
  </property>
  <property fmtid="{D5CDD505-2E9C-101B-9397-08002B2CF9AE}" pid="13" name="NOSE12">
    <vt:lpwstr>מסים</vt:lpwstr>
  </property>
  <property fmtid="{D5CDD505-2E9C-101B-9397-08002B2CF9AE}" pid="14" name="NOSE22">
    <vt:lpwstr>מיסוי מקרקעין</vt:lpwstr>
  </property>
  <property fmtid="{D5CDD505-2E9C-101B-9397-08002B2CF9AE}" pid="15" name="NOSE32">
    <vt:lpwstr>מס רכישה</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