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2184" w14:textId="77777777" w:rsidR="001153D7" w:rsidRDefault="00535CC5" w:rsidP="00B90815">
      <w:pPr>
        <w:pStyle w:val="big-header"/>
        <w:ind w:left="0" w:right="1134"/>
        <w:rPr>
          <w:rFonts w:hint="cs"/>
          <w:rtl/>
        </w:rPr>
      </w:pPr>
      <w:r>
        <w:rPr>
          <w:rFonts w:hint="cs"/>
          <w:rtl/>
        </w:rPr>
        <w:t>תקנות</w:t>
      </w:r>
      <w:r w:rsidR="006A18F9">
        <w:rPr>
          <w:rFonts w:hint="cs"/>
          <w:rtl/>
        </w:rPr>
        <w:t xml:space="preserve"> מיסוי רווחי נפט (מקדמות בשל היטל לש</w:t>
      </w:r>
      <w:r w:rsidR="00B90815">
        <w:rPr>
          <w:rFonts w:hint="cs"/>
          <w:rtl/>
        </w:rPr>
        <w:t>נת 2013</w:t>
      </w:r>
      <w:r w:rsidR="006A18F9">
        <w:rPr>
          <w:rFonts w:hint="cs"/>
          <w:rtl/>
        </w:rPr>
        <w:t>) (הוראת שעה</w:t>
      </w:r>
      <w:r w:rsidR="00A971C7">
        <w:rPr>
          <w:rFonts w:hint="cs"/>
          <w:rtl/>
        </w:rPr>
        <w:t>)</w:t>
      </w:r>
      <w:r w:rsidR="001153D7">
        <w:rPr>
          <w:rFonts w:hint="cs"/>
          <w:rtl/>
        </w:rPr>
        <w:t xml:space="preserve">, </w:t>
      </w:r>
      <w:r w:rsidR="00EE5228">
        <w:rPr>
          <w:rFonts w:hint="cs"/>
          <w:rtl/>
        </w:rPr>
        <w:t>תשע</w:t>
      </w:r>
      <w:r w:rsidR="00C76B56">
        <w:rPr>
          <w:rFonts w:hint="cs"/>
          <w:rtl/>
        </w:rPr>
        <w:t>"</w:t>
      </w:r>
      <w:r w:rsidR="00B90815">
        <w:rPr>
          <w:rFonts w:hint="cs"/>
          <w:rtl/>
        </w:rPr>
        <w:t>ג-2013</w:t>
      </w:r>
    </w:p>
    <w:p w14:paraId="4FC5949A" w14:textId="77777777" w:rsidR="006A18F9" w:rsidRPr="006A18F9" w:rsidRDefault="006A18F9" w:rsidP="006A18F9">
      <w:pPr>
        <w:spacing w:line="320" w:lineRule="auto"/>
        <w:jc w:val="left"/>
        <w:rPr>
          <w:rFonts w:cs="FrankRuehl"/>
          <w:szCs w:val="26"/>
          <w:rtl/>
        </w:rPr>
      </w:pPr>
    </w:p>
    <w:p w14:paraId="69E2B501" w14:textId="77777777" w:rsidR="006A18F9" w:rsidRDefault="006A18F9" w:rsidP="006A18F9">
      <w:pPr>
        <w:spacing w:line="320" w:lineRule="auto"/>
        <w:jc w:val="left"/>
        <w:rPr>
          <w:rtl/>
        </w:rPr>
      </w:pPr>
    </w:p>
    <w:p w14:paraId="3946D822" w14:textId="77777777" w:rsidR="006A18F9" w:rsidRDefault="006A18F9" w:rsidP="006A18F9">
      <w:pPr>
        <w:spacing w:line="320" w:lineRule="auto"/>
        <w:jc w:val="left"/>
        <w:rPr>
          <w:rFonts w:cs="Miriam"/>
          <w:szCs w:val="22"/>
          <w:rtl/>
        </w:rPr>
      </w:pPr>
      <w:r w:rsidRPr="006A18F9">
        <w:rPr>
          <w:rFonts w:cs="Miriam"/>
          <w:szCs w:val="22"/>
          <w:rtl/>
        </w:rPr>
        <w:t>חקלאות טבע וסביבה</w:t>
      </w:r>
      <w:r w:rsidRPr="006A18F9">
        <w:rPr>
          <w:rFonts w:cs="FrankRuehl"/>
          <w:szCs w:val="26"/>
          <w:rtl/>
        </w:rPr>
        <w:t xml:space="preserve"> – אוצרות טבע</w:t>
      </w:r>
    </w:p>
    <w:p w14:paraId="6DDE51FC" w14:textId="77777777" w:rsidR="006A18F9" w:rsidRDefault="006A18F9" w:rsidP="006A18F9">
      <w:pPr>
        <w:spacing w:line="320" w:lineRule="auto"/>
        <w:jc w:val="left"/>
        <w:rPr>
          <w:rFonts w:cs="Miriam"/>
          <w:szCs w:val="22"/>
          <w:rtl/>
        </w:rPr>
      </w:pPr>
      <w:r w:rsidRPr="006A18F9">
        <w:rPr>
          <w:rFonts w:cs="Miriam"/>
          <w:szCs w:val="22"/>
          <w:rtl/>
        </w:rPr>
        <w:t>מסים</w:t>
      </w:r>
      <w:r w:rsidRPr="006A18F9">
        <w:rPr>
          <w:rFonts w:cs="FrankRuehl"/>
          <w:szCs w:val="26"/>
          <w:rtl/>
        </w:rPr>
        <w:t xml:space="preserve"> – היטלים</w:t>
      </w:r>
    </w:p>
    <w:p w14:paraId="04FC3540" w14:textId="77777777" w:rsidR="006A18F9" w:rsidRPr="006A18F9" w:rsidRDefault="006A18F9" w:rsidP="006A18F9">
      <w:pPr>
        <w:spacing w:line="320" w:lineRule="auto"/>
        <w:jc w:val="left"/>
        <w:rPr>
          <w:rFonts w:cs="Miriam" w:hint="cs"/>
          <w:szCs w:val="22"/>
          <w:rtl/>
        </w:rPr>
      </w:pPr>
      <w:r w:rsidRPr="006A18F9">
        <w:rPr>
          <w:rFonts w:cs="Miriam"/>
          <w:szCs w:val="22"/>
          <w:rtl/>
        </w:rPr>
        <w:t>רשויות ומשפט מנהלי</w:t>
      </w:r>
      <w:r w:rsidRPr="006A18F9">
        <w:rPr>
          <w:rFonts w:cs="FrankRuehl"/>
          <w:szCs w:val="26"/>
          <w:rtl/>
        </w:rPr>
        <w:t xml:space="preserve"> – תשתיות – נפט</w:t>
      </w:r>
    </w:p>
    <w:p w14:paraId="5A937FBC"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23F7" w:rsidRPr="00F723F7" w14:paraId="0513172C" w14:textId="77777777">
        <w:tblPrEx>
          <w:tblCellMar>
            <w:top w:w="0" w:type="dxa"/>
            <w:bottom w:w="0" w:type="dxa"/>
          </w:tblCellMar>
        </w:tblPrEx>
        <w:tc>
          <w:tcPr>
            <w:tcW w:w="1247" w:type="dxa"/>
          </w:tcPr>
          <w:p w14:paraId="679844EF"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1 </w:t>
            </w:r>
          </w:p>
        </w:tc>
        <w:tc>
          <w:tcPr>
            <w:tcW w:w="5669" w:type="dxa"/>
          </w:tcPr>
          <w:p w14:paraId="57996568" w14:textId="77777777" w:rsidR="00F723F7" w:rsidRPr="00F723F7" w:rsidRDefault="00F723F7" w:rsidP="00F723F7">
            <w:pPr>
              <w:spacing w:line="240" w:lineRule="auto"/>
              <w:jc w:val="left"/>
              <w:rPr>
                <w:rFonts w:cs="Frankruhel" w:hint="cs"/>
                <w:sz w:val="24"/>
                <w:rtl/>
              </w:rPr>
            </w:pPr>
            <w:r>
              <w:rPr>
                <w:rFonts w:cs="Times New Roman"/>
                <w:sz w:val="24"/>
                <w:rtl/>
              </w:rPr>
              <w:t>הגדרות</w:t>
            </w:r>
          </w:p>
        </w:tc>
        <w:tc>
          <w:tcPr>
            <w:tcW w:w="567" w:type="dxa"/>
          </w:tcPr>
          <w:p w14:paraId="32D425CB" w14:textId="77777777" w:rsidR="00F723F7" w:rsidRPr="00F723F7" w:rsidRDefault="00F723F7" w:rsidP="00F723F7">
            <w:pPr>
              <w:spacing w:line="240" w:lineRule="auto"/>
              <w:jc w:val="left"/>
              <w:rPr>
                <w:rStyle w:val="Hyperlink"/>
                <w:rFonts w:hint="cs"/>
                <w:rtl/>
              </w:rPr>
            </w:pPr>
            <w:hyperlink w:anchor="Seif1" w:tooltip="הגדרות" w:history="1">
              <w:r w:rsidRPr="00F723F7">
                <w:rPr>
                  <w:rStyle w:val="Hyperlink"/>
                </w:rPr>
                <w:t>Go</w:t>
              </w:r>
            </w:hyperlink>
          </w:p>
        </w:tc>
        <w:tc>
          <w:tcPr>
            <w:tcW w:w="850" w:type="dxa"/>
          </w:tcPr>
          <w:p w14:paraId="0FBA9C83"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723F7" w:rsidRPr="00F723F7" w14:paraId="7D218724" w14:textId="77777777">
        <w:tblPrEx>
          <w:tblCellMar>
            <w:top w:w="0" w:type="dxa"/>
            <w:bottom w:w="0" w:type="dxa"/>
          </w:tblCellMar>
        </w:tblPrEx>
        <w:tc>
          <w:tcPr>
            <w:tcW w:w="1247" w:type="dxa"/>
          </w:tcPr>
          <w:p w14:paraId="486CB4B2"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2 </w:t>
            </w:r>
          </w:p>
        </w:tc>
        <w:tc>
          <w:tcPr>
            <w:tcW w:w="5669" w:type="dxa"/>
          </w:tcPr>
          <w:p w14:paraId="0D5CF5F8" w14:textId="77777777" w:rsidR="00F723F7" w:rsidRPr="00F723F7" w:rsidRDefault="00F723F7" w:rsidP="00F723F7">
            <w:pPr>
              <w:spacing w:line="240" w:lineRule="auto"/>
              <w:jc w:val="left"/>
              <w:rPr>
                <w:rFonts w:cs="Frankruhel" w:hint="cs"/>
                <w:sz w:val="24"/>
                <w:rtl/>
              </w:rPr>
            </w:pPr>
            <w:r>
              <w:rPr>
                <w:rFonts w:cs="Times New Roman"/>
                <w:sz w:val="24"/>
                <w:rtl/>
              </w:rPr>
              <w:t>קביעת מקדמות</w:t>
            </w:r>
          </w:p>
        </w:tc>
        <w:tc>
          <w:tcPr>
            <w:tcW w:w="567" w:type="dxa"/>
          </w:tcPr>
          <w:p w14:paraId="4254F4C0" w14:textId="77777777" w:rsidR="00F723F7" w:rsidRPr="00F723F7" w:rsidRDefault="00F723F7" w:rsidP="00F723F7">
            <w:pPr>
              <w:spacing w:line="240" w:lineRule="auto"/>
              <w:jc w:val="left"/>
              <w:rPr>
                <w:rStyle w:val="Hyperlink"/>
                <w:rFonts w:hint="cs"/>
                <w:rtl/>
              </w:rPr>
            </w:pPr>
            <w:hyperlink w:anchor="Seif2" w:tooltip="קביעת מקדמות" w:history="1">
              <w:r w:rsidRPr="00F723F7">
                <w:rPr>
                  <w:rStyle w:val="Hyperlink"/>
                </w:rPr>
                <w:t>Go</w:t>
              </w:r>
            </w:hyperlink>
          </w:p>
        </w:tc>
        <w:tc>
          <w:tcPr>
            <w:tcW w:w="850" w:type="dxa"/>
          </w:tcPr>
          <w:p w14:paraId="503E326E"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723F7" w:rsidRPr="00F723F7" w14:paraId="70B56E9E" w14:textId="77777777">
        <w:tblPrEx>
          <w:tblCellMar>
            <w:top w:w="0" w:type="dxa"/>
            <w:bottom w:w="0" w:type="dxa"/>
          </w:tblCellMar>
        </w:tblPrEx>
        <w:tc>
          <w:tcPr>
            <w:tcW w:w="1247" w:type="dxa"/>
          </w:tcPr>
          <w:p w14:paraId="0A4A6079"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3 </w:t>
            </w:r>
          </w:p>
        </w:tc>
        <w:tc>
          <w:tcPr>
            <w:tcW w:w="5669" w:type="dxa"/>
          </w:tcPr>
          <w:p w14:paraId="6263C71D" w14:textId="77777777" w:rsidR="00F723F7" w:rsidRPr="00F723F7" w:rsidRDefault="00F723F7" w:rsidP="00F723F7">
            <w:pPr>
              <w:spacing w:line="240" w:lineRule="auto"/>
              <w:jc w:val="left"/>
              <w:rPr>
                <w:rFonts w:cs="Frankruhel" w:hint="cs"/>
                <w:sz w:val="24"/>
                <w:rtl/>
              </w:rPr>
            </w:pPr>
            <w:r>
              <w:rPr>
                <w:rFonts w:cs="Times New Roman"/>
                <w:sz w:val="24"/>
                <w:rtl/>
              </w:rPr>
              <w:t>מקדמה בשל שנת 2013</w:t>
            </w:r>
          </w:p>
        </w:tc>
        <w:tc>
          <w:tcPr>
            <w:tcW w:w="567" w:type="dxa"/>
          </w:tcPr>
          <w:p w14:paraId="28DA967A" w14:textId="77777777" w:rsidR="00F723F7" w:rsidRPr="00F723F7" w:rsidRDefault="00F723F7" w:rsidP="00F723F7">
            <w:pPr>
              <w:spacing w:line="240" w:lineRule="auto"/>
              <w:jc w:val="left"/>
              <w:rPr>
                <w:rStyle w:val="Hyperlink"/>
                <w:rFonts w:hint="cs"/>
                <w:rtl/>
              </w:rPr>
            </w:pPr>
            <w:hyperlink w:anchor="Seif3" w:tooltip="מקדמה בשל שנת 2013" w:history="1">
              <w:r w:rsidRPr="00F723F7">
                <w:rPr>
                  <w:rStyle w:val="Hyperlink"/>
                </w:rPr>
                <w:t>Go</w:t>
              </w:r>
            </w:hyperlink>
          </w:p>
        </w:tc>
        <w:tc>
          <w:tcPr>
            <w:tcW w:w="850" w:type="dxa"/>
          </w:tcPr>
          <w:p w14:paraId="64CB9239"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723F7" w:rsidRPr="00F723F7" w14:paraId="5BA5F98F" w14:textId="77777777">
        <w:tblPrEx>
          <w:tblCellMar>
            <w:top w:w="0" w:type="dxa"/>
            <w:bottom w:w="0" w:type="dxa"/>
          </w:tblCellMar>
        </w:tblPrEx>
        <w:tc>
          <w:tcPr>
            <w:tcW w:w="1247" w:type="dxa"/>
          </w:tcPr>
          <w:p w14:paraId="7B61A266"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4 </w:t>
            </w:r>
          </w:p>
        </w:tc>
        <w:tc>
          <w:tcPr>
            <w:tcW w:w="5669" w:type="dxa"/>
          </w:tcPr>
          <w:p w14:paraId="6BA01EC2" w14:textId="77777777" w:rsidR="00F723F7" w:rsidRPr="00F723F7" w:rsidRDefault="00F723F7" w:rsidP="00F723F7">
            <w:pPr>
              <w:spacing w:line="240" w:lineRule="auto"/>
              <w:jc w:val="left"/>
              <w:rPr>
                <w:rFonts w:cs="Frankruhel" w:hint="cs"/>
                <w:sz w:val="24"/>
                <w:rtl/>
              </w:rPr>
            </w:pPr>
            <w:r>
              <w:rPr>
                <w:rFonts w:cs="Times New Roman"/>
                <w:sz w:val="24"/>
                <w:rtl/>
              </w:rPr>
              <w:t>זקיפת תשלומים על חשבון מקדמות</w:t>
            </w:r>
          </w:p>
        </w:tc>
        <w:tc>
          <w:tcPr>
            <w:tcW w:w="567" w:type="dxa"/>
          </w:tcPr>
          <w:p w14:paraId="78C8F47B" w14:textId="77777777" w:rsidR="00F723F7" w:rsidRPr="00F723F7" w:rsidRDefault="00F723F7" w:rsidP="00F723F7">
            <w:pPr>
              <w:spacing w:line="240" w:lineRule="auto"/>
              <w:jc w:val="left"/>
              <w:rPr>
                <w:rStyle w:val="Hyperlink"/>
                <w:rFonts w:hint="cs"/>
                <w:rtl/>
              </w:rPr>
            </w:pPr>
            <w:hyperlink w:anchor="Seif4" w:tooltip="זקיפת תשלומים על חשבון מקדמות" w:history="1">
              <w:r w:rsidRPr="00F723F7">
                <w:rPr>
                  <w:rStyle w:val="Hyperlink"/>
                </w:rPr>
                <w:t>Go</w:t>
              </w:r>
            </w:hyperlink>
          </w:p>
        </w:tc>
        <w:tc>
          <w:tcPr>
            <w:tcW w:w="850" w:type="dxa"/>
          </w:tcPr>
          <w:p w14:paraId="50580433"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723F7" w:rsidRPr="00F723F7" w14:paraId="5437750C" w14:textId="77777777">
        <w:tblPrEx>
          <w:tblCellMar>
            <w:top w:w="0" w:type="dxa"/>
            <w:bottom w:w="0" w:type="dxa"/>
          </w:tblCellMar>
        </w:tblPrEx>
        <w:tc>
          <w:tcPr>
            <w:tcW w:w="1247" w:type="dxa"/>
          </w:tcPr>
          <w:p w14:paraId="0963C569"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5 </w:t>
            </w:r>
          </w:p>
        </w:tc>
        <w:tc>
          <w:tcPr>
            <w:tcW w:w="5669" w:type="dxa"/>
          </w:tcPr>
          <w:p w14:paraId="5398F42E" w14:textId="77777777" w:rsidR="00F723F7" w:rsidRPr="00F723F7" w:rsidRDefault="00F723F7" w:rsidP="00F723F7">
            <w:pPr>
              <w:spacing w:line="240" w:lineRule="auto"/>
              <w:jc w:val="left"/>
              <w:rPr>
                <w:rFonts w:cs="Frankruhel" w:hint="cs"/>
                <w:sz w:val="24"/>
                <w:rtl/>
              </w:rPr>
            </w:pPr>
            <w:r>
              <w:rPr>
                <w:rFonts w:cs="Times New Roman"/>
                <w:sz w:val="24"/>
                <w:rtl/>
              </w:rPr>
              <w:t>פטור</w:t>
            </w:r>
          </w:p>
        </w:tc>
        <w:tc>
          <w:tcPr>
            <w:tcW w:w="567" w:type="dxa"/>
          </w:tcPr>
          <w:p w14:paraId="2DDC7AE7" w14:textId="77777777" w:rsidR="00F723F7" w:rsidRPr="00F723F7" w:rsidRDefault="00F723F7" w:rsidP="00F723F7">
            <w:pPr>
              <w:spacing w:line="240" w:lineRule="auto"/>
              <w:jc w:val="left"/>
              <w:rPr>
                <w:rStyle w:val="Hyperlink"/>
                <w:rFonts w:hint="cs"/>
                <w:rtl/>
              </w:rPr>
            </w:pPr>
            <w:hyperlink w:anchor="Seif5" w:tooltip="פטור" w:history="1">
              <w:r w:rsidRPr="00F723F7">
                <w:rPr>
                  <w:rStyle w:val="Hyperlink"/>
                </w:rPr>
                <w:t>Go</w:t>
              </w:r>
            </w:hyperlink>
          </w:p>
        </w:tc>
        <w:tc>
          <w:tcPr>
            <w:tcW w:w="850" w:type="dxa"/>
          </w:tcPr>
          <w:p w14:paraId="7E63C2DC"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723F7" w:rsidRPr="00F723F7" w14:paraId="2FA5B05F" w14:textId="77777777">
        <w:tblPrEx>
          <w:tblCellMar>
            <w:top w:w="0" w:type="dxa"/>
            <w:bottom w:w="0" w:type="dxa"/>
          </w:tblCellMar>
        </w:tblPrEx>
        <w:tc>
          <w:tcPr>
            <w:tcW w:w="1247" w:type="dxa"/>
          </w:tcPr>
          <w:p w14:paraId="6E922267" w14:textId="77777777" w:rsidR="00F723F7" w:rsidRPr="00F723F7" w:rsidRDefault="00F723F7" w:rsidP="00F723F7">
            <w:pPr>
              <w:spacing w:line="240" w:lineRule="auto"/>
              <w:jc w:val="left"/>
              <w:rPr>
                <w:rFonts w:cs="Frankruhel" w:hint="cs"/>
                <w:sz w:val="24"/>
                <w:rtl/>
              </w:rPr>
            </w:pPr>
            <w:r>
              <w:rPr>
                <w:rFonts w:cs="Times New Roman"/>
                <w:sz w:val="24"/>
                <w:rtl/>
              </w:rPr>
              <w:t xml:space="preserve">סעיף 6 </w:t>
            </w:r>
          </w:p>
        </w:tc>
        <w:tc>
          <w:tcPr>
            <w:tcW w:w="5669" w:type="dxa"/>
          </w:tcPr>
          <w:p w14:paraId="773EA979" w14:textId="77777777" w:rsidR="00F723F7" w:rsidRPr="00F723F7" w:rsidRDefault="00F723F7" w:rsidP="00F723F7">
            <w:pPr>
              <w:spacing w:line="240" w:lineRule="auto"/>
              <w:jc w:val="left"/>
              <w:rPr>
                <w:rFonts w:cs="Frankruhel" w:hint="cs"/>
                <w:sz w:val="24"/>
                <w:rtl/>
              </w:rPr>
            </w:pPr>
            <w:r>
              <w:rPr>
                <w:rFonts w:cs="Times New Roman"/>
                <w:sz w:val="24"/>
                <w:rtl/>
              </w:rPr>
              <w:t>תחולה</w:t>
            </w:r>
          </w:p>
        </w:tc>
        <w:tc>
          <w:tcPr>
            <w:tcW w:w="567" w:type="dxa"/>
          </w:tcPr>
          <w:p w14:paraId="39F88211" w14:textId="77777777" w:rsidR="00F723F7" w:rsidRPr="00F723F7" w:rsidRDefault="00F723F7" w:rsidP="00F723F7">
            <w:pPr>
              <w:spacing w:line="240" w:lineRule="auto"/>
              <w:jc w:val="left"/>
              <w:rPr>
                <w:rStyle w:val="Hyperlink"/>
                <w:rFonts w:hint="cs"/>
                <w:rtl/>
              </w:rPr>
            </w:pPr>
            <w:hyperlink w:anchor="Seif6" w:tooltip="תחולה" w:history="1">
              <w:r w:rsidRPr="00F723F7">
                <w:rPr>
                  <w:rStyle w:val="Hyperlink"/>
                </w:rPr>
                <w:t>Go</w:t>
              </w:r>
            </w:hyperlink>
          </w:p>
        </w:tc>
        <w:tc>
          <w:tcPr>
            <w:tcW w:w="850" w:type="dxa"/>
          </w:tcPr>
          <w:p w14:paraId="0DA28A70" w14:textId="77777777" w:rsidR="00F723F7" w:rsidRPr="00F723F7" w:rsidRDefault="00F723F7" w:rsidP="00F723F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026C0382" w14:textId="77777777" w:rsidR="001153D7" w:rsidRDefault="001153D7">
      <w:pPr>
        <w:pStyle w:val="P00"/>
        <w:spacing w:before="72"/>
        <w:ind w:left="0" w:right="1134"/>
        <w:rPr>
          <w:rFonts w:hint="cs"/>
          <w:rtl/>
        </w:rPr>
      </w:pPr>
    </w:p>
    <w:p w14:paraId="04CF4149" w14:textId="77777777" w:rsidR="001153D7" w:rsidRDefault="001153D7" w:rsidP="00B90815">
      <w:pPr>
        <w:pStyle w:val="big-header"/>
        <w:ind w:left="0" w:right="1134"/>
        <w:rPr>
          <w:rStyle w:val="default"/>
          <w:rFonts w:hint="cs"/>
          <w:sz w:val="22"/>
          <w:szCs w:val="22"/>
          <w:rtl/>
        </w:rPr>
      </w:pPr>
      <w:r>
        <w:rPr>
          <w:rtl/>
        </w:rPr>
        <w:br w:type="page"/>
      </w:r>
      <w:r w:rsidR="00B90815">
        <w:rPr>
          <w:rFonts w:hint="cs"/>
          <w:rtl/>
        </w:rPr>
        <w:lastRenderedPageBreak/>
        <w:t>תקנות מיסוי רווחי נפט (מקדמות בשל היטל לשנת 2013) (הוראת שעה), תשע"ג-2013</w:t>
      </w:r>
      <w:r>
        <w:rPr>
          <w:rStyle w:val="default"/>
          <w:sz w:val="22"/>
          <w:szCs w:val="22"/>
          <w:rtl/>
        </w:rPr>
        <w:footnoteReference w:customMarkFollows="1" w:id="1"/>
        <w:t>*</w:t>
      </w:r>
    </w:p>
    <w:p w14:paraId="1E0843B3" w14:textId="77777777" w:rsidR="001153D7" w:rsidRDefault="001153D7" w:rsidP="006A18F9">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535CC5">
        <w:rPr>
          <w:rStyle w:val="default"/>
          <w:rFonts w:cs="FrankRuehl" w:hint="cs"/>
          <w:rtl/>
        </w:rPr>
        <w:t>סמכותי לפי ס</w:t>
      </w:r>
      <w:r w:rsidR="006A18F9">
        <w:rPr>
          <w:rStyle w:val="default"/>
          <w:rFonts w:cs="FrankRuehl" w:hint="cs"/>
          <w:rtl/>
        </w:rPr>
        <w:t xml:space="preserve">עיפים 10(ב) ו-51 לחוק מיסוי רווחי נפט, התשע"א-2011 (להלן </w:t>
      </w:r>
      <w:r w:rsidR="006A18F9">
        <w:rPr>
          <w:rStyle w:val="default"/>
          <w:rFonts w:cs="FrankRuehl"/>
          <w:rtl/>
        </w:rPr>
        <w:t>–</w:t>
      </w:r>
      <w:r w:rsidR="006A18F9">
        <w:rPr>
          <w:rStyle w:val="default"/>
          <w:rFonts w:cs="FrankRuehl" w:hint="cs"/>
          <w:rtl/>
        </w:rPr>
        <w:t xml:space="preserve"> החוק), אני מתקין תקנות אלה</w:t>
      </w:r>
      <w:r>
        <w:rPr>
          <w:rStyle w:val="default"/>
          <w:rFonts w:cs="FrankRuehl"/>
          <w:rtl/>
        </w:rPr>
        <w:t>:</w:t>
      </w:r>
    </w:p>
    <w:p w14:paraId="3E19DAA6" w14:textId="77777777" w:rsidR="001153D7" w:rsidRDefault="001153D7" w:rsidP="006A18F9">
      <w:pPr>
        <w:pStyle w:val="P00"/>
        <w:spacing w:before="72"/>
        <w:ind w:left="0" w:right="1134"/>
        <w:rPr>
          <w:rStyle w:val="default"/>
          <w:rFonts w:cs="FrankRuehl" w:hint="cs"/>
          <w:rtl/>
        </w:rPr>
      </w:pPr>
      <w:bookmarkStart w:id="0" w:name="Seif1"/>
      <w:bookmarkEnd w:id="0"/>
      <w:r>
        <w:rPr>
          <w:lang w:val="he-IL"/>
        </w:rPr>
        <w:pict w14:anchorId="6166C77F">
          <v:rect id="_x0000_s1026" style="position:absolute;left:0;text-align:left;margin-left:464.5pt;margin-top:8.05pt;width:75.05pt;height:13.4pt;z-index:251655168" o:allowincell="f" filled="f" stroked="f" strokecolor="lime" strokeweight=".25pt">
            <v:textbox style="mso-next-textbox:#_x0000_s1026" inset="0,0,0,0">
              <w:txbxContent>
                <w:p w14:paraId="07667ADD" w14:textId="77777777" w:rsidR="00A02041" w:rsidRDefault="006A18F9">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6A18F9">
        <w:rPr>
          <w:rStyle w:val="default"/>
          <w:rFonts w:cs="FrankRuehl" w:hint="cs"/>
          <w:rtl/>
        </w:rPr>
        <w:t xml:space="preserve">בתקנות אלה </w:t>
      </w:r>
      <w:r w:rsidR="006A18F9">
        <w:rPr>
          <w:rStyle w:val="default"/>
          <w:rFonts w:cs="FrankRuehl"/>
          <w:rtl/>
        </w:rPr>
        <w:t>–</w:t>
      </w:r>
    </w:p>
    <w:p w14:paraId="00E5D87B" w14:textId="77777777" w:rsidR="006A18F9" w:rsidRDefault="006A18F9" w:rsidP="006A18F9">
      <w:pPr>
        <w:pStyle w:val="P00"/>
        <w:spacing w:before="72"/>
        <w:ind w:left="0" w:right="1134"/>
        <w:rPr>
          <w:rStyle w:val="default"/>
          <w:rFonts w:cs="FrankRuehl" w:hint="cs"/>
          <w:rtl/>
        </w:rPr>
      </w:pPr>
      <w:r>
        <w:rPr>
          <w:rStyle w:val="default"/>
          <w:rFonts w:cs="FrankRuehl" w:hint="cs"/>
          <w:rtl/>
        </w:rPr>
        <w:tab/>
        <w:t xml:space="preserve">"התקבולים השוטפים" </w:t>
      </w:r>
      <w:r>
        <w:rPr>
          <w:rStyle w:val="default"/>
          <w:rFonts w:cs="FrankRuehl"/>
          <w:rtl/>
        </w:rPr>
        <w:t>–</w:t>
      </w:r>
      <w:r>
        <w:rPr>
          <w:rStyle w:val="default"/>
          <w:rFonts w:cs="FrankRuehl" w:hint="cs"/>
          <w:rtl/>
        </w:rPr>
        <w:t xml:space="preserve"> תקבולים כהגדרתם בסעיף 3(ב) לחוק;</w:t>
      </w:r>
    </w:p>
    <w:p w14:paraId="0CAE8B1A" w14:textId="77777777" w:rsidR="006A18F9" w:rsidRDefault="006A18F9" w:rsidP="006A18F9">
      <w:pPr>
        <w:pStyle w:val="P00"/>
        <w:spacing w:before="72"/>
        <w:ind w:left="0" w:right="1134"/>
        <w:rPr>
          <w:rStyle w:val="default"/>
          <w:rFonts w:cs="FrankRuehl" w:hint="cs"/>
          <w:rtl/>
        </w:rPr>
      </w:pPr>
      <w:r>
        <w:rPr>
          <w:rStyle w:val="default"/>
          <w:rFonts w:cs="FrankRuehl" w:hint="cs"/>
          <w:rtl/>
        </w:rPr>
        <w:tab/>
        <w:t xml:space="preserve">"התשלום הנגזר" </w:t>
      </w:r>
      <w:r>
        <w:rPr>
          <w:rStyle w:val="default"/>
          <w:rFonts w:cs="FrankRuehl"/>
          <w:rtl/>
        </w:rPr>
        <w:t>–</w:t>
      </w:r>
      <w:r>
        <w:rPr>
          <w:rStyle w:val="default"/>
          <w:rFonts w:cs="FrankRuehl" w:hint="cs"/>
          <w:rtl/>
        </w:rPr>
        <w:t xml:space="preserve"> כהגדרתו בסעיף 9(ב)(1) לחוק.</w:t>
      </w:r>
    </w:p>
    <w:p w14:paraId="1F1B2290" w14:textId="77777777" w:rsidR="006A18F9" w:rsidRDefault="006A18F9" w:rsidP="006A18F9">
      <w:pPr>
        <w:pStyle w:val="P00"/>
        <w:spacing w:before="72"/>
        <w:ind w:left="0" w:right="1134"/>
        <w:rPr>
          <w:rStyle w:val="default"/>
          <w:rFonts w:cs="FrankRuehl" w:hint="cs"/>
          <w:rtl/>
        </w:rPr>
      </w:pPr>
      <w:bookmarkStart w:id="1" w:name="Seif2"/>
      <w:bookmarkEnd w:id="1"/>
      <w:r>
        <w:rPr>
          <w:lang w:val="he-IL"/>
        </w:rPr>
        <w:pict w14:anchorId="3F003332">
          <v:rect id="_x0000_s1413" style="position:absolute;left:0;text-align:left;margin-left:464.5pt;margin-top:8.05pt;width:75.05pt;height:13.4pt;z-index:251656192" o:allowincell="f" filled="f" stroked="f" strokecolor="lime" strokeweight=".25pt">
            <v:textbox style="mso-next-textbox:#_x0000_s1413" inset="0,0,0,0">
              <w:txbxContent>
                <w:p w14:paraId="6DDB7083" w14:textId="77777777" w:rsidR="006A18F9" w:rsidRDefault="006A18F9" w:rsidP="006A18F9">
                  <w:pPr>
                    <w:spacing w:line="160" w:lineRule="exact"/>
                    <w:jc w:val="left"/>
                    <w:rPr>
                      <w:rFonts w:cs="Miriam" w:hint="cs"/>
                      <w:szCs w:val="18"/>
                      <w:rtl/>
                    </w:rPr>
                  </w:pPr>
                  <w:r>
                    <w:rPr>
                      <w:rFonts w:cs="Miriam" w:hint="cs"/>
                      <w:szCs w:val="18"/>
                      <w:rtl/>
                    </w:rPr>
                    <w:t>קביעת מקדמות</w:t>
                  </w:r>
                </w:p>
              </w:txbxContent>
            </v:textbox>
            <w10:anchorlock/>
          </v:rect>
        </w:pict>
      </w:r>
      <w:r>
        <w:rPr>
          <w:rStyle w:val="big-number"/>
          <w:rFonts w:hint="cs"/>
          <w:rtl/>
        </w:rPr>
        <w:t>2</w:t>
      </w:r>
      <w:r>
        <w:rPr>
          <w:rStyle w:val="default"/>
          <w:rFonts w:cs="FrankRuehl"/>
          <w:rtl/>
        </w:rPr>
        <w:t>.</w:t>
      </w:r>
      <w:r>
        <w:rPr>
          <w:rStyle w:val="default"/>
          <w:rFonts w:cs="FrankRuehl"/>
          <w:rtl/>
        </w:rPr>
        <w:tab/>
      </w:r>
      <w:r>
        <w:rPr>
          <w:rStyle w:val="default"/>
          <w:rFonts w:cs="FrankRuehl" w:hint="cs"/>
          <w:rtl/>
        </w:rPr>
        <w:t>בעל זכות נפט של מיזם נפט, החייב בתשלום היטל לפי סעיף 9 לחוק, ישלם מקדמות על חשבון ההיטל לאותה שנה.</w:t>
      </w:r>
    </w:p>
    <w:p w14:paraId="6F09C38A" w14:textId="77777777" w:rsidR="006A18F9" w:rsidRDefault="006A18F9" w:rsidP="00B90815">
      <w:pPr>
        <w:pStyle w:val="P00"/>
        <w:spacing w:before="72"/>
        <w:ind w:left="0" w:right="1134"/>
        <w:rPr>
          <w:rStyle w:val="default"/>
          <w:rFonts w:cs="FrankRuehl" w:hint="cs"/>
          <w:rtl/>
        </w:rPr>
      </w:pPr>
      <w:bookmarkStart w:id="2" w:name="Seif3"/>
      <w:bookmarkEnd w:id="2"/>
      <w:r>
        <w:rPr>
          <w:lang w:val="he-IL"/>
        </w:rPr>
        <w:pict w14:anchorId="05B8D9C3">
          <v:rect id="_x0000_s1414" style="position:absolute;left:0;text-align:left;margin-left:464.5pt;margin-top:8.05pt;width:75.05pt;height:16.95pt;z-index:251657216" o:allowincell="f" filled="f" stroked="f" strokecolor="lime" strokeweight=".25pt">
            <v:textbox style="mso-next-textbox:#_x0000_s1414" inset="0,0,0,0">
              <w:txbxContent>
                <w:p w14:paraId="0799C054" w14:textId="77777777" w:rsidR="006A18F9" w:rsidRDefault="006A18F9" w:rsidP="00B90815">
                  <w:pPr>
                    <w:spacing w:line="160" w:lineRule="exact"/>
                    <w:jc w:val="left"/>
                    <w:rPr>
                      <w:rFonts w:cs="Miriam" w:hint="cs"/>
                      <w:szCs w:val="18"/>
                      <w:rtl/>
                    </w:rPr>
                  </w:pPr>
                  <w:r>
                    <w:rPr>
                      <w:rFonts w:cs="Miriam" w:hint="cs"/>
                      <w:szCs w:val="18"/>
                      <w:rtl/>
                    </w:rPr>
                    <w:t>מקדמה בשל שנת 201</w:t>
                  </w:r>
                  <w:r w:rsidR="00B90815">
                    <w:rPr>
                      <w:rFonts w:cs="Miriam" w:hint="cs"/>
                      <w:szCs w:val="18"/>
                      <w:rtl/>
                    </w:rPr>
                    <w:t>3</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מקדמה בשל היטל לשנת המס 201</w:t>
      </w:r>
      <w:r w:rsidR="00B90815">
        <w:rPr>
          <w:rStyle w:val="default"/>
          <w:rFonts w:cs="FrankRuehl" w:hint="cs"/>
          <w:rtl/>
        </w:rPr>
        <w:t>3</w:t>
      </w:r>
      <w:r>
        <w:rPr>
          <w:rStyle w:val="default"/>
          <w:rFonts w:cs="FrankRuehl" w:hint="cs"/>
          <w:rtl/>
        </w:rPr>
        <w:t xml:space="preserve"> תשולם </w:t>
      </w:r>
      <w:r>
        <w:rPr>
          <w:rStyle w:val="default"/>
          <w:rFonts w:cs="FrankRuehl"/>
          <w:rtl/>
        </w:rPr>
        <w:t>–</w:t>
      </w:r>
    </w:p>
    <w:p w14:paraId="649F89CB" w14:textId="77777777" w:rsidR="006A18F9" w:rsidRDefault="006A18F9" w:rsidP="00B908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בשיעור שלא יפחת מ-</w:t>
      </w:r>
      <w:r w:rsidR="00B90815">
        <w:rPr>
          <w:rStyle w:val="default"/>
          <w:rFonts w:cs="FrankRuehl" w:hint="cs"/>
          <w:rtl/>
        </w:rPr>
        <w:t>21</w:t>
      </w:r>
      <w:r>
        <w:rPr>
          <w:rStyle w:val="default"/>
          <w:rFonts w:cs="FrankRuehl" w:hint="cs"/>
          <w:rtl/>
        </w:rPr>
        <w:t>% מן התקבולים השוטפים;</w:t>
      </w:r>
    </w:p>
    <w:p w14:paraId="57760E55" w14:textId="77777777" w:rsidR="006A18F9" w:rsidRDefault="006A18F9" w:rsidP="00B908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B90815">
        <w:rPr>
          <w:rStyle w:val="default"/>
          <w:rFonts w:cs="FrankRuehl" w:hint="cs"/>
          <w:rtl/>
        </w:rPr>
        <w:t>ב-15 בכל חודש של שנת המס, החל בחודש פברואר, בשל התקבולים השוטפים שהתקבלו בחודש שקדם לו, למעט המקדמה בשל חודש דצמבר שתשולם עד 31 בדצמבר של אותה שנת מס בשל התקבולים השוטפים שהתקבלו באותו חודש.</w:t>
      </w:r>
    </w:p>
    <w:p w14:paraId="6710A7B2" w14:textId="77777777" w:rsidR="006A18F9" w:rsidRDefault="006A18F9" w:rsidP="006A18F9">
      <w:pPr>
        <w:pStyle w:val="P00"/>
        <w:spacing w:before="72"/>
        <w:ind w:left="0" w:right="1134"/>
        <w:rPr>
          <w:rStyle w:val="default"/>
          <w:rFonts w:cs="FrankRuehl" w:hint="cs"/>
          <w:rtl/>
        </w:rPr>
      </w:pPr>
      <w:bookmarkStart w:id="3" w:name="Seif4"/>
      <w:bookmarkEnd w:id="3"/>
      <w:r>
        <w:rPr>
          <w:lang w:val="he-IL"/>
        </w:rPr>
        <w:pict w14:anchorId="1F86C417">
          <v:rect id="_x0000_s1416" style="position:absolute;left:0;text-align:left;margin-left:464.5pt;margin-top:8.05pt;width:75.05pt;height:21.5pt;z-index:251658240" o:allowincell="f" filled="f" stroked="f" strokecolor="lime" strokeweight=".25pt">
            <v:textbox style="mso-next-textbox:#_x0000_s1416" inset="0,0,0,0">
              <w:txbxContent>
                <w:p w14:paraId="5635E29E" w14:textId="77777777" w:rsidR="006A18F9" w:rsidRDefault="006A18F9" w:rsidP="006A18F9">
                  <w:pPr>
                    <w:spacing w:line="160" w:lineRule="exact"/>
                    <w:jc w:val="left"/>
                    <w:rPr>
                      <w:rFonts w:cs="Miriam" w:hint="cs"/>
                      <w:szCs w:val="18"/>
                      <w:rtl/>
                    </w:rPr>
                  </w:pPr>
                  <w:r>
                    <w:rPr>
                      <w:rFonts w:cs="Miriam" w:hint="cs"/>
                      <w:szCs w:val="18"/>
                      <w:rtl/>
                    </w:rPr>
                    <w:t>זקיפת תשלומים על חשבון מקדמות</w:t>
                  </w:r>
                </w:p>
              </w:txbxContent>
            </v:textbox>
            <w10:anchorlock/>
          </v:rect>
        </w:pict>
      </w:r>
      <w:r w:rsidR="00B90815">
        <w:rPr>
          <w:rStyle w:val="big-number"/>
          <w:rFonts w:hint="cs"/>
          <w:rtl/>
        </w:rPr>
        <w:t>4</w:t>
      </w:r>
      <w:r>
        <w:rPr>
          <w:rStyle w:val="default"/>
          <w:rFonts w:cs="FrankRuehl"/>
          <w:rtl/>
        </w:rPr>
        <w:t>.</w:t>
      </w:r>
      <w:r>
        <w:rPr>
          <w:rStyle w:val="default"/>
          <w:rFonts w:cs="FrankRuehl"/>
          <w:rtl/>
        </w:rPr>
        <w:tab/>
      </w:r>
      <w:r>
        <w:rPr>
          <w:rStyle w:val="default"/>
          <w:rFonts w:cs="FrankRuehl" w:hint="cs"/>
          <w:rtl/>
        </w:rPr>
        <w:t>סכום שבעל זכות נפט של מיזם נפט ניכה במקור ממקבל תשלום נגזר לפי הוראות סעיף 9(ב)(2) לחוק, יראו כתשלום על חשבון המקדמות שחייב בהן אותו בעל זכות נפט לפי תקנות אלה, וזכאי הוא לקזז ממקדמותיו סכום שנוכה כאמור במקור בשנת המס שלגביה משתלמות המקדמות, ובלבד שיש בידו אישור בכתב מפקיד השומה בדבר הניכוי והעברתו לפקיד השומה.</w:t>
      </w:r>
    </w:p>
    <w:p w14:paraId="04FE492F" w14:textId="77777777" w:rsidR="006A18F9" w:rsidRDefault="006A18F9" w:rsidP="006A18F9">
      <w:pPr>
        <w:pStyle w:val="P00"/>
        <w:spacing w:before="72"/>
        <w:ind w:left="0" w:right="1134"/>
        <w:rPr>
          <w:rStyle w:val="default"/>
          <w:rFonts w:cs="FrankRuehl" w:hint="cs"/>
          <w:rtl/>
        </w:rPr>
      </w:pPr>
      <w:bookmarkStart w:id="4" w:name="Seif5"/>
      <w:bookmarkEnd w:id="4"/>
      <w:r>
        <w:rPr>
          <w:lang w:val="he-IL"/>
        </w:rPr>
        <w:pict w14:anchorId="101D6D51">
          <v:rect id="_x0000_s1417" style="position:absolute;left:0;text-align:left;margin-left:464.5pt;margin-top:8.05pt;width:75.05pt;height:13.1pt;z-index:251659264" o:allowincell="f" filled="f" stroked="f" strokecolor="lime" strokeweight=".25pt">
            <v:textbox style="mso-next-textbox:#_x0000_s1417" inset="0,0,0,0">
              <w:txbxContent>
                <w:p w14:paraId="70A05EF6" w14:textId="77777777" w:rsidR="006A18F9" w:rsidRDefault="00B90815" w:rsidP="006A18F9">
                  <w:pPr>
                    <w:spacing w:line="160" w:lineRule="exact"/>
                    <w:jc w:val="left"/>
                    <w:rPr>
                      <w:rFonts w:cs="Miriam" w:hint="cs"/>
                      <w:szCs w:val="18"/>
                      <w:rtl/>
                    </w:rPr>
                  </w:pPr>
                  <w:r>
                    <w:rPr>
                      <w:rFonts w:cs="Miriam" w:hint="cs"/>
                      <w:szCs w:val="18"/>
                      <w:rtl/>
                    </w:rPr>
                    <w:t>פטור</w:t>
                  </w:r>
                </w:p>
              </w:txbxContent>
            </v:textbox>
            <w10:anchorlock/>
          </v:rect>
        </w:pict>
      </w:r>
      <w:r w:rsidR="00B90815">
        <w:rPr>
          <w:rStyle w:val="big-number"/>
          <w:rFonts w:hint="cs"/>
          <w:rtl/>
        </w:rPr>
        <w:t>5</w:t>
      </w:r>
      <w:r>
        <w:rPr>
          <w:rStyle w:val="default"/>
          <w:rFonts w:cs="FrankRuehl"/>
          <w:rtl/>
        </w:rPr>
        <w:t>.</w:t>
      </w:r>
      <w:r>
        <w:rPr>
          <w:rStyle w:val="default"/>
          <w:rFonts w:cs="FrankRuehl"/>
          <w:rtl/>
        </w:rPr>
        <w:tab/>
      </w:r>
      <w:r>
        <w:rPr>
          <w:rStyle w:val="default"/>
          <w:rFonts w:cs="FrankRuehl" w:hint="cs"/>
          <w:rtl/>
        </w:rPr>
        <w:t>פקיד השומה רשאי לפטור אדם ממקדמה לפי תקנות אלה, כולה או מקצתה, אם הוכח להנחת דעתו כי ההיטל לשנת המס שבה משתלמת המקדמה יהיה נמוך מהמקדמה שנקבעה לפי תקנות אלה.</w:t>
      </w:r>
    </w:p>
    <w:p w14:paraId="2A4A4AAB" w14:textId="77777777" w:rsidR="006A18F9" w:rsidRDefault="006A18F9" w:rsidP="00B90815">
      <w:pPr>
        <w:pStyle w:val="P00"/>
        <w:spacing w:before="72"/>
        <w:ind w:left="0" w:right="1134"/>
        <w:rPr>
          <w:rStyle w:val="default"/>
          <w:rFonts w:cs="FrankRuehl" w:hint="cs"/>
          <w:rtl/>
        </w:rPr>
      </w:pPr>
      <w:bookmarkStart w:id="5" w:name="Seif6"/>
      <w:bookmarkEnd w:id="5"/>
      <w:r>
        <w:rPr>
          <w:lang w:val="he-IL"/>
        </w:rPr>
        <w:pict w14:anchorId="53F7706D">
          <v:rect id="_x0000_s1418" style="position:absolute;left:0;text-align:left;margin-left:464.5pt;margin-top:8.05pt;width:75.05pt;height:13.4pt;z-index:251660288" o:allowincell="f" filled="f" stroked="f" strokecolor="lime" strokeweight=".25pt">
            <v:textbox style="mso-next-textbox:#_x0000_s1418" inset="0,0,0,0">
              <w:txbxContent>
                <w:p w14:paraId="102EF3DC" w14:textId="77777777" w:rsidR="006A18F9" w:rsidRDefault="006A18F9" w:rsidP="006A18F9">
                  <w:pPr>
                    <w:spacing w:line="160" w:lineRule="exact"/>
                    <w:jc w:val="left"/>
                    <w:rPr>
                      <w:rFonts w:cs="Miriam" w:hint="cs"/>
                      <w:szCs w:val="18"/>
                      <w:rtl/>
                    </w:rPr>
                  </w:pPr>
                  <w:r>
                    <w:rPr>
                      <w:rFonts w:cs="Miriam" w:hint="cs"/>
                      <w:szCs w:val="18"/>
                      <w:rtl/>
                    </w:rPr>
                    <w:t>תחולה</w:t>
                  </w:r>
                </w:p>
              </w:txbxContent>
            </v:textbox>
            <w10:anchorlock/>
          </v:rect>
        </w:pict>
      </w:r>
      <w:r w:rsidR="00B90815">
        <w:rPr>
          <w:rStyle w:val="big-number"/>
          <w:rFonts w:hint="cs"/>
          <w:rtl/>
        </w:rPr>
        <w:t>6</w:t>
      </w:r>
      <w:r>
        <w:rPr>
          <w:rStyle w:val="default"/>
          <w:rFonts w:cs="FrankRuehl"/>
          <w:rtl/>
        </w:rPr>
        <w:t>.</w:t>
      </w:r>
      <w:r>
        <w:rPr>
          <w:rStyle w:val="default"/>
          <w:rFonts w:cs="FrankRuehl"/>
          <w:rtl/>
        </w:rPr>
        <w:tab/>
      </w:r>
      <w:r>
        <w:rPr>
          <w:rStyle w:val="default"/>
          <w:rFonts w:cs="FrankRuehl" w:hint="cs"/>
          <w:rtl/>
        </w:rPr>
        <w:t xml:space="preserve">תקנות אלה יחולו על מקדמות בשל היטל שחובה לשלמו </w:t>
      </w:r>
      <w:r w:rsidR="00B90815">
        <w:rPr>
          <w:rStyle w:val="default"/>
          <w:rFonts w:cs="FrankRuehl" w:hint="cs"/>
          <w:rtl/>
        </w:rPr>
        <w:t>בשנת 2013</w:t>
      </w:r>
      <w:r>
        <w:rPr>
          <w:rStyle w:val="default"/>
          <w:rFonts w:cs="FrankRuehl" w:hint="cs"/>
          <w:rtl/>
        </w:rPr>
        <w:t xml:space="preserve"> בלבד.</w:t>
      </w:r>
    </w:p>
    <w:p w14:paraId="7F1F5D9B" w14:textId="77777777" w:rsidR="003A263B" w:rsidRDefault="003A263B">
      <w:pPr>
        <w:pStyle w:val="P00"/>
        <w:spacing w:before="72"/>
        <w:ind w:left="0" w:right="1134"/>
        <w:rPr>
          <w:rStyle w:val="default"/>
          <w:rFonts w:cs="FrankRuehl" w:hint="cs"/>
          <w:rtl/>
        </w:rPr>
      </w:pPr>
    </w:p>
    <w:p w14:paraId="7156FB31" w14:textId="77777777" w:rsidR="00AB08E5" w:rsidRDefault="00AB08E5">
      <w:pPr>
        <w:pStyle w:val="P00"/>
        <w:spacing w:before="72"/>
        <w:ind w:left="0" w:right="1134"/>
        <w:rPr>
          <w:rStyle w:val="default"/>
          <w:rFonts w:cs="FrankRuehl" w:hint="cs"/>
          <w:rtl/>
        </w:rPr>
      </w:pPr>
    </w:p>
    <w:p w14:paraId="30EF789E" w14:textId="77777777" w:rsidR="001153D7" w:rsidRDefault="006A18F9" w:rsidP="00B9081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י"</w:t>
      </w:r>
      <w:r w:rsidR="00B90815">
        <w:rPr>
          <w:rFonts w:hint="cs"/>
          <w:rtl/>
        </w:rPr>
        <w:t>ט בשבט התשע"ג (30 בינואר 2013</w:t>
      </w:r>
      <w:r w:rsidR="001153D7">
        <w:rPr>
          <w:rFonts w:hint="cs"/>
          <w:rtl/>
        </w:rPr>
        <w:t>)</w:t>
      </w:r>
      <w:r w:rsidR="001153D7">
        <w:rPr>
          <w:rFonts w:hint="cs"/>
          <w:rtl/>
        </w:rPr>
        <w:tab/>
      </w:r>
      <w:r>
        <w:rPr>
          <w:rFonts w:hint="cs"/>
          <w:rtl/>
        </w:rPr>
        <w:t>יובל שטייניץ</w:t>
      </w:r>
    </w:p>
    <w:p w14:paraId="6DF31BF0" w14:textId="77777777" w:rsidR="00D14E13" w:rsidRDefault="00D14E13" w:rsidP="006A18F9">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6A18F9">
        <w:rPr>
          <w:rFonts w:hint="cs"/>
          <w:sz w:val="22"/>
          <w:szCs w:val="22"/>
          <w:rtl/>
        </w:rPr>
        <w:t>שר האוצר</w:t>
      </w:r>
    </w:p>
    <w:p w14:paraId="2283BE86" w14:textId="77777777" w:rsidR="00B90815" w:rsidRDefault="00B90815">
      <w:pPr>
        <w:pStyle w:val="P00"/>
        <w:spacing w:before="72"/>
        <w:ind w:left="0" w:right="1134"/>
        <w:rPr>
          <w:rFonts w:hint="cs"/>
          <w:rtl/>
        </w:rPr>
      </w:pPr>
    </w:p>
    <w:p w14:paraId="3330E9BB" w14:textId="77777777" w:rsidR="007C3ABE" w:rsidRDefault="007C3ABE">
      <w:pPr>
        <w:pStyle w:val="P00"/>
        <w:spacing w:before="72"/>
        <w:ind w:left="0" w:right="1134"/>
        <w:rPr>
          <w:rFonts w:hint="cs"/>
          <w:rtl/>
        </w:rPr>
      </w:pPr>
    </w:p>
    <w:p w14:paraId="7683769C" w14:textId="77777777" w:rsidR="00F723F7" w:rsidRDefault="00F723F7">
      <w:pPr>
        <w:pStyle w:val="P00"/>
        <w:spacing w:before="72"/>
        <w:ind w:left="0" w:right="1134"/>
        <w:rPr>
          <w:rtl/>
        </w:rPr>
      </w:pPr>
    </w:p>
    <w:p w14:paraId="2C6A2A0C" w14:textId="77777777" w:rsidR="00F723F7" w:rsidRDefault="00F723F7">
      <w:pPr>
        <w:pStyle w:val="P00"/>
        <w:spacing w:before="72"/>
        <w:ind w:left="0" w:right="1134"/>
        <w:rPr>
          <w:rtl/>
        </w:rPr>
      </w:pPr>
    </w:p>
    <w:p w14:paraId="7FDBCD12" w14:textId="77777777" w:rsidR="00F723F7" w:rsidRDefault="00F723F7" w:rsidP="00F723F7">
      <w:pPr>
        <w:pStyle w:val="P00"/>
        <w:spacing w:before="72"/>
        <w:ind w:left="0" w:right="1134"/>
        <w:jc w:val="center"/>
        <w:rPr>
          <w:rFonts w:cs="David"/>
          <w:color w:val="0000FF"/>
          <w:szCs w:val="24"/>
          <w:u w:val="single"/>
          <w:rtl/>
        </w:rPr>
      </w:pPr>
      <w:hyperlink r:id="rId6" w:history="1">
        <w:r>
          <w:rPr>
            <w:rFonts w:cs="David"/>
            <w:color w:val="0000FF"/>
            <w:szCs w:val="24"/>
            <w:u w:val="single"/>
            <w:rtl/>
          </w:rPr>
          <w:t>הודעה למנויים על עריכה ושינויים במסמכי פסיקה, חקיקה ועוד באתר נבו - הקש כאן</w:t>
        </w:r>
      </w:hyperlink>
    </w:p>
    <w:p w14:paraId="2E572D04" w14:textId="77777777" w:rsidR="00C955DC" w:rsidRPr="00F723F7" w:rsidRDefault="00C955DC" w:rsidP="00F723F7">
      <w:pPr>
        <w:pStyle w:val="P00"/>
        <w:spacing w:before="72"/>
        <w:ind w:left="0" w:right="1134"/>
        <w:jc w:val="center"/>
        <w:rPr>
          <w:rFonts w:cs="David"/>
          <w:color w:val="0000FF"/>
          <w:szCs w:val="24"/>
          <w:u w:val="single"/>
          <w:rtl/>
        </w:rPr>
      </w:pPr>
    </w:p>
    <w:sectPr w:rsidR="00C955DC" w:rsidRPr="00F723F7">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E628" w14:textId="77777777" w:rsidR="005B09C2" w:rsidRDefault="005B09C2" w:rsidP="001153D7">
      <w:pPr>
        <w:pStyle w:val="P00"/>
      </w:pPr>
      <w:r>
        <w:separator/>
      </w:r>
    </w:p>
  </w:endnote>
  <w:endnote w:type="continuationSeparator" w:id="0">
    <w:p w14:paraId="0A452FE9" w14:textId="77777777" w:rsidR="005B09C2" w:rsidRDefault="005B09C2"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A452" w14:textId="77777777"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9B2BC6C" w14:textId="77777777"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F364E2" w14:textId="77777777"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23F7">
      <w:rPr>
        <w:rFonts w:cs="TopType Jerushalmi"/>
        <w:noProof/>
        <w:color w:val="000000"/>
        <w:sz w:val="14"/>
        <w:szCs w:val="14"/>
      </w:rPr>
      <w:t>Z:\000-law\yael\2013\2013-02-04\tav\500_833.doc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6677" w14:textId="77777777" w:rsidR="00A02041" w:rsidRDefault="00A0204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723F7">
      <w:rPr>
        <w:rFonts w:hAnsi="FrankRuehl"/>
        <w:noProof/>
        <w:sz w:val="24"/>
        <w:szCs w:val="24"/>
        <w:rtl/>
      </w:rPr>
      <w:t>2</w:t>
    </w:r>
    <w:r>
      <w:rPr>
        <w:rFonts w:hAnsi="FrankRuehl"/>
        <w:sz w:val="24"/>
        <w:szCs w:val="24"/>
        <w:rtl/>
      </w:rPr>
      <w:fldChar w:fldCharType="end"/>
    </w:r>
  </w:p>
  <w:p w14:paraId="4480AB89" w14:textId="77777777" w:rsidR="00A02041" w:rsidRDefault="00A020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418B7A" w14:textId="77777777" w:rsidR="00A02041" w:rsidRDefault="00A020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723F7">
      <w:rPr>
        <w:rFonts w:cs="TopType Jerushalmi"/>
        <w:noProof/>
        <w:color w:val="000000"/>
        <w:sz w:val="14"/>
        <w:szCs w:val="14"/>
      </w:rPr>
      <w:t>Z:\000-law\yael\2013\2013-02-04\tav\500_833.doc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E1AF" w14:textId="77777777" w:rsidR="005B09C2" w:rsidRDefault="005B09C2">
      <w:pPr>
        <w:spacing w:before="60" w:line="240" w:lineRule="auto"/>
        <w:ind w:right="1134"/>
      </w:pPr>
      <w:r>
        <w:separator/>
      </w:r>
    </w:p>
  </w:footnote>
  <w:footnote w:type="continuationSeparator" w:id="0">
    <w:p w14:paraId="6FEA1487" w14:textId="77777777" w:rsidR="005B09C2" w:rsidRDefault="005B09C2">
      <w:r>
        <w:separator/>
      </w:r>
    </w:p>
  </w:footnote>
  <w:footnote w:id="1">
    <w:p w14:paraId="25BC0C0D" w14:textId="77777777" w:rsidR="000F5D6D" w:rsidRDefault="00A02041" w:rsidP="000F5D6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0F5D6D">
          <w:rPr>
            <w:rStyle w:val="Hyperlink"/>
            <w:rFonts w:hint="cs"/>
            <w:sz w:val="20"/>
            <w:rtl/>
          </w:rPr>
          <w:t>ק"ת תשע"</w:t>
        </w:r>
        <w:r w:rsidR="00B90815" w:rsidRPr="000F5D6D">
          <w:rPr>
            <w:rStyle w:val="Hyperlink"/>
            <w:rFonts w:hint="cs"/>
            <w:sz w:val="20"/>
            <w:rtl/>
          </w:rPr>
          <w:t>ג</w:t>
        </w:r>
        <w:r w:rsidRPr="000F5D6D">
          <w:rPr>
            <w:rStyle w:val="Hyperlink"/>
            <w:rFonts w:hint="cs"/>
            <w:sz w:val="20"/>
            <w:rtl/>
          </w:rPr>
          <w:t xml:space="preserve"> מס' </w:t>
        </w:r>
        <w:r w:rsidR="00B90815" w:rsidRPr="000F5D6D">
          <w:rPr>
            <w:rStyle w:val="Hyperlink"/>
            <w:rFonts w:hint="cs"/>
            <w:sz w:val="20"/>
            <w:rtl/>
          </w:rPr>
          <w:t>7218</w:t>
        </w:r>
      </w:hyperlink>
      <w:r>
        <w:rPr>
          <w:rFonts w:hint="cs"/>
          <w:sz w:val="20"/>
          <w:rtl/>
        </w:rPr>
        <w:t xml:space="preserve"> מיום </w:t>
      </w:r>
      <w:r w:rsidR="00B90815">
        <w:rPr>
          <w:rFonts w:hint="cs"/>
          <w:sz w:val="20"/>
          <w:rtl/>
        </w:rPr>
        <w:t>31.1.2013</w:t>
      </w:r>
      <w:r>
        <w:rPr>
          <w:rFonts w:hint="cs"/>
          <w:sz w:val="20"/>
          <w:rtl/>
        </w:rPr>
        <w:t xml:space="preserve"> עמ' </w:t>
      </w:r>
      <w:r w:rsidR="00B90815">
        <w:rPr>
          <w:rFonts w:hint="cs"/>
          <w:sz w:val="20"/>
          <w:rtl/>
        </w:rPr>
        <w:t>664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F192" w14:textId="77777777" w:rsidR="00A02041" w:rsidRDefault="00A02041">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2363DB1"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5E96600"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CCF6C" w14:textId="77777777" w:rsidR="00A02041" w:rsidRDefault="00535CC5" w:rsidP="00B9081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2B0FB3">
      <w:rPr>
        <w:rFonts w:hAnsi="FrankRuehl" w:hint="cs"/>
        <w:color w:val="000000"/>
        <w:sz w:val="28"/>
        <w:szCs w:val="28"/>
        <w:rtl/>
      </w:rPr>
      <w:t>מיסוי רווחי נפט (מקדמות בשל היטל ל</w:t>
    </w:r>
    <w:r w:rsidR="00B90815">
      <w:rPr>
        <w:rFonts w:hAnsi="FrankRuehl" w:hint="cs"/>
        <w:color w:val="000000"/>
        <w:sz w:val="28"/>
        <w:szCs w:val="28"/>
        <w:rtl/>
      </w:rPr>
      <w:t>שנת 2013</w:t>
    </w:r>
    <w:r w:rsidR="002B0FB3">
      <w:rPr>
        <w:rFonts w:hAnsi="FrankRuehl" w:hint="cs"/>
        <w:color w:val="000000"/>
        <w:sz w:val="28"/>
        <w:szCs w:val="28"/>
        <w:rtl/>
      </w:rPr>
      <w:t>) (הוראת שעה</w:t>
    </w:r>
    <w:r w:rsidR="00A02041">
      <w:rPr>
        <w:rFonts w:hAnsi="FrankRuehl" w:hint="cs"/>
        <w:color w:val="000000"/>
        <w:sz w:val="28"/>
        <w:szCs w:val="28"/>
        <w:rtl/>
      </w:rPr>
      <w:t>),</w:t>
    </w:r>
    <w:r w:rsidR="00A02041">
      <w:rPr>
        <w:rFonts w:hAnsi="FrankRuehl"/>
        <w:color w:val="000000"/>
        <w:sz w:val="28"/>
        <w:szCs w:val="28"/>
        <w:rtl/>
      </w:rPr>
      <w:t xml:space="preserve"> </w:t>
    </w:r>
    <w:r w:rsidR="00A02041">
      <w:rPr>
        <w:rFonts w:hAnsi="FrankRuehl" w:hint="cs"/>
        <w:color w:val="000000"/>
        <w:sz w:val="28"/>
        <w:szCs w:val="28"/>
        <w:rtl/>
      </w:rPr>
      <w:t>תשע"</w:t>
    </w:r>
    <w:r w:rsidR="00B90815">
      <w:rPr>
        <w:rFonts w:hAnsi="FrankRuehl" w:hint="cs"/>
        <w:color w:val="000000"/>
        <w:sz w:val="28"/>
        <w:szCs w:val="28"/>
        <w:rtl/>
      </w:rPr>
      <w:t>ג-2013</w:t>
    </w:r>
  </w:p>
  <w:p w14:paraId="54BE1A34"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C003108" w14:textId="77777777" w:rsidR="00A02041" w:rsidRDefault="00A0204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211EF"/>
    <w:rsid w:val="00057119"/>
    <w:rsid w:val="000604D6"/>
    <w:rsid w:val="00062DA7"/>
    <w:rsid w:val="00070291"/>
    <w:rsid w:val="0007387F"/>
    <w:rsid w:val="000764DF"/>
    <w:rsid w:val="000A2305"/>
    <w:rsid w:val="000C3D03"/>
    <w:rsid w:val="000D457A"/>
    <w:rsid w:val="000F5D6D"/>
    <w:rsid w:val="000F7AD1"/>
    <w:rsid w:val="00104663"/>
    <w:rsid w:val="00111ABB"/>
    <w:rsid w:val="001153D7"/>
    <w:rsid w:val="00117487"/>
    <w:rsid w:val="0012009D"/>
    <w:rsid w:val="0012244D"/>
    <w:rsid w:val="00147D1D"/>
    <w:rsid w:val="001555E4"/>
    <w:rsid w:val="00171A6D"/>
    <w:rsid w:val="00190AF4"/>
    <w:rsid w:val="001C2251"/>
    <w:rsid w:val="001C3E05"/>
    <w:rsid w:val="001D75C6"/>
    <w:rsid w:val="001E5CC5"/>
    <w:rsid w:val="001F5448"/>
    <w:rsid w:val="002005AF"/>
    <w:rsid w:val="0021551A"/>
    <w:rsid w:val="002167E6"/>
    <w:rsid w:val="00216A99"/>
    <w:rsid w:val="00237811"/>
    <w:rsid w:val="00240149"/>
    <w:rsid w:val="00240188"/>
    <w:rsid w:val="00256B53"/>
    <w:rsid w:val="00271669"/>
    <w:rsid w:val="00290B14"/>
    <w:rsid w:val="00292CC1"/>
    <w:rsid w:val="002A4BB3"/>
    <w:rsid w:val="002B0FB3"/>
    <w:rsid w:val="002B1A66"/>
    <w:rsid w:val="003305DA"/>
    <w:rsid w:val="003404D2"/>
    <w:rsid w:val="0034342A"/>
    <w:rsid w:val="0034739E"/>
    <w:rsid w:val="00387C3F"/>
    <w:rsid w:val="003A1471"/>
    <w:rsid w:val="003A263B"/>
    <w:rsid w:val="003C645B"/>
    <w:rsid w:val="003C76B8"/>
    <w:rsid w:val="003D20B9"/>
    <w:rsid w:val="003E2D9B"/>
    <w:rsid w:val="003F001F"/>
    <w:rsid w:val="004110E9"/>
    <w:rsid w:val="00413942"/>
    <w:rsid w:val="00415410"/>
    <w:rsid w:val="00417C35"/>
    <w:rsid w:val="00461A97"/>
    <w:rsid w:val="004625E2"/>
    <w:rsid w:val="00493778"/>
    <w:rsid w:val="00497258"/>
    <w:rsid w:val="004B1BC6"/>
    <w:rsid w:val="004B3AB3"/>
    <w:rsid w:val="004F3CDA"/>
    <w:rsid w:val="00535CC5"/>
    <w:rsid w:val="00550DF9"/>
    <w:rsid w:val="00581D2D"/>
    <w:rsid w:val="005A6225"/>
    <w:rsid w:val="005B05B8"/>
    <w:rsid w:val="005B09C2"/>
    <w:rsid w:val="005C15CB"/>
    <w:rsid w:val="005D245F"/>
    <w:rsid w:val="005D582D"/>
    <w:rsid w:val="005E0E13"/>
    <w:rsid w:val="005F7021"/>
    <w:rsid w:val="00600F57"/>
    <w:rsid w:val="0060619B"/>
    <w:rsid w:val="0061159D"/>
    <w:rsid w:val="00615319"/>
    <w:rsid w:val="00622C7D"/>
    <w:rsid w:val="006415BC"/>
    <w:rsid w:val="00642FBF"/>
    <w:rsid w:val="00647114"/>
    <w:rsid w:val="006516ED"/>
    <w:rsid w:val="006A18F9"/>
    <w:rsid w:val="006B097D"/>
    <w:rsid w:val="006B4DFA"/>
    <w:rsid w:val="006D567F"/>
    <w:rsid w:val="006E0BEF"/>
    <w:rsid w:val="0071029B"/>
    <w:rsid w:val="0073201B"/>
    <w:rsid w:val="00743C45"/>
    <w:rsid w:val="00756CAB"/>
    <w:rsid w:val="00766404"/>
    <w:rsid w:val="00784556"/>
    <w:rsid w:val="007A7DCC"/>
    <w:rsid w:val="007C3ABE"/>
    <w:rsid w:val="007D08CF"/>
    <w:rsid w:val="007F7072"/>
    <w:rsid w:val="00800CDF"/>
    <w:rsid w:val="008D3627"/>
    <w:rsid w:val="008D4DB8"/>
    <w:rsid w:val="008D4DBF"/>
    <w:rsid w:val="008D7430"/>
    <w:rsid w:val="008E2561"/>
    <w:rsid w:val="008E3F93"/>
    <w:rsid w:val="00920730"/>
    <w:rsid w:val="00954AEA"/>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971C7"/>
    <w:rsid w:val="00A974FD"/>
    <w:rsid w:val="00AB08E5"/>
    <w:rsid w:val="00AB7A67"/>
    <w:rsid w:val="00AD0C71"/>
    <w:rsid w:val="00AD4A85"/>
    <w:rsid w:val="00B11453"/>
    <w:rsid w:val="00B1453E"/>
    <w:rsid w:val="00B23890"/>
    <w:rsid w:val="00B2613D"/>
    <w:rsid w:val="00B306DE"/>
    <w:rsid w:val="00B679F1"/>
    <w:rsid w:val="00B90815"/>
    <w:rsid w:val="00B92511"/>
    <w:rsid w:val="00B93388"/>
    <w:rsid w:val="00BA7859"/>
    <w:rsid w:val="00BC6821"/>
    <w:rsid w:val="00BD3960"/>
    <w:rsid w:val="00BF4052"/>
    <w:rsid w:val="00C12988"/>
    <w:rsid w:val="00C463D8"/>
    <w:rsid w:val="00C52951"/>
    <w:rsid w:val="00C65047"/>
    <w:rsid w:val="00C76B56"/>
    <w:rsid w:val="00C955DC"/>
    <w:rsid w:val="00C97091"/>
    <w:rsid w:val="00CB7E37"/>
    <w:rsid w:val="00CC6E39"/>
    <w:rsid w:val="00CD41CB"/>
    <w:rsid w:val="00CE125B"/>
    <w:rsid w:val="00CF0B2A"/>
    <w:rsid w:val="00D14E13"/>
    <w:rsid w:val="00D268E8"/>
    <w:rsid w:val="00D26B78"/>
    <w:rsid w:val="00D57B76"/>
    <w:rsid w:val="00D702B8"/>
    <w:rsid w:val="00D706C7"/>
    <w:rsid w:val="00D74842"/>
    <w:rsid w:val="00DA4F61"/>
    <w:rsid w:val="00DC7087"/>
    <w:rsid w:val="00DC7731"/>
    <w:rsid w:val="00DF433F"/>
    <w:rsid w:val="00E05922"/>
    <w:rsid w:val="00E07DA5"/>
    <w:rsid w:val="00E13678"/>
    <w:rsid w:val="00E26F4A"/>
    <w:rsid w:val="00E30ABF"/>
    <w:rsid w:val="00E4424C"/>
    <w:rsid w:val="00E66CC0"/>
    <w:rsid w:val="00E950B4"/>
    <w:rsid w:val="00EB7F7B"/>
    <w:rsid w:val="00ED227B"/>
    <w:rsid w:val="00EE5228"/>
    <w:rsid w:val="00EF6CF7"/>
    <w:rsid w:val="00F24B0F"/>
    <w:rsid w:val="00F26384"/>
    <w:rsid w:val="00F35A91"/>
    <w:rsid w:val="00F70FC4"/>
    <w:rsid w:val="00F723F7"/>
    <w:rsid w:val="00F74789"/>
    <w:rsid w:val="00F86EA4"/>
    <w:rsid w:val="00FC11F7"/>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7ACFF8"/>
  <w15:chartTrackingRefBased/>
  <w15:docId w15:val="{CFD7A055-F963-4F18-B8AC-E54B19AC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2146</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8323074</vt:i4>
      </vt:variant>
      <vt:variant>
        <vt:i4>0</vt:i4>
      </vt:variant>
      <vt:variant>
        <vt:i4>0</vt:i4>
      </vt:variant>
      <vt:variant>
        <vt:i4>5</vt:i4>
      </vt:variant>
      <vt:variant>
        <vt:lpwstr>http://www.nevo.co.il/Law_word/law06/TAK-7218.pdf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orit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מסים</vt:lpwstr>
  </property>
  <property fmtid="{D5CDD505-2E9C-101B-9397-08002B2CF9AE}" pid="4" name="LAWNAME">
    <vt:lpwstr>תקנות מיסוי רווחי נפט (מקדמות בשל היטל לשנת 2013) (הוראת שעה), תשע"ג-2013</vt:lpwstr>
  </property>
  <property fmtid="{D5CDD505-2E9C-101B-9397-08002B2CF9AE}" pid="5" name="LAWNUMBER">
    <vt:lpwstr>0833</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חקלאות טבע וסביבה</vt:lpwstr>
  </property>
  <property fmtid="{D5CDD505-2E9C-101B-9397-08002B2CF9AE}" pid="23" name="NOSE21">
    <vt:lpwstr>אוצרות טבע</vt:lpwstr>
  </property>
  <property fmtid="{D5CDD505-2E9C-101B-9397-08002B2CF9AE}" pid="24" name="NOSE31">
    <vt:lpwstr/>
  </property>
  <property fmtid="{D5CDD505-2E9C-101B-9397-08002B2CF9AE}" pid="25" name="NOSE41">
    <vt:lpwstr/>
  </property>
  <property fmtid="{D5CDD505-2E9C-101B-9397-08002B2CF9AE}" pid="26" name="NOSE12">
    <vt:lpwstr>מסים</vt:lpwstr>
  </property>
  <property fmtid="{D5CDD505-2E9C-101B-9397-08002B2CF9AE}" pid="27" name="NOSE22">
    <vt:lpwstr>היטלים</vt:lpwstr>
  </property>
  <property fmtid="{D5CDD505-2E9C-101B-9397-08002B2CF9AE}" pid="28" name="NOSE32">
    <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נפט</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מיסוי רווחי נפט</vt:lpwstr>
  </property>
  <property fmtid="{D5CDD505-2E9C-101B-9397-08002B2CF9AE}" pid="63" name="MEKOR_SAIF1">
    <vt:lpwstr>10XבX;51X</vt:lpwstr>
  </property>
  <property fmtid="{D5CDD505-2E9C-101B-9397-08002B2CF9AE}" pid="64" name="LINKK1">
    <vt:lpwstr>http://www.nevo.co.il/Law_word/law06/TAK-7218.pdf;רשומות - תקנות כלליות#פורסמו ק"ת תשע"ג מס' 7218 #מיום 31.1.2013 עמ' 664</vt:lpwstr>
  </property>
</Properties>
</file>