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226" w:rsidRDefault="009A7226" w:rsidP="00C56895">
      <w:pPr>
        <w:pStyle w:val="big-header"/>
        <w:ind w:left="0" w:right="1134"/>
        <w:rPr>
          <w:rFonts w:cs="FrankRuehl" w:hint="cs"/>
          <w:sz w:val="32"/>
          <w:rtl/>
        </w:rPr>
      </w:pPr>
      <w:r>
        <w:rPr>
          <w:rFonts w:cs="FrankRuehl"/>
          <w:sz w:val="32"/>
          <w:rtl/>
        </w:rPr>
        <w:t>תקנות מס הכנסה (דו"חות שיגיש מוסד ציבורי), תשנ"ז</w:t>
      </w:r>
      <w:r w:rsidR="00C56895">
        <w:rPr>
          <w:rFonts w:cs="FrankRuehl" w:hint="cs"/>
          <w:sz w:val="32"/>
          <w:rtl/>
        </w:rPr>
        <w:t>-</w:t>
      </w:r>
      <w:r>
        <w:rPr>
          <w:rFonts w:cs="FrankRuehl"/>
          <w:sz w:val="32"/>
          <w:rtl/>
        </w:rPr>
        <w:t>1997</w:t>
      </w:r>
    </w:p>
    <w:p w:rsidR="00072FC6" w:rsidRDefault="00072FC6" w:rsidP="00072FC6">
      <w:pPr>
        <w:spacing w:line="320" w:lineRule="auto"/>
        <w:rPr>
          <w:rFonts w:hint="cs"/>
          <w:rtl/>
        </w:rPr>
      </w:pPr>
    </w:p>
    <w:p w:rsidR="00164841" w:rsidRDefault="00164841" w:rsidP="00072FC6">
      <w:pPr>
        <w:spacing w:line="320" w:lineRule="auto"/>
        <w:rPr>
          <w:rFonts w:hint="cs"/>
          <w:rtl/>
        </w:rPr>
      </w:pPr>
    </w:p>
    <w:p w:rsidR="00072FC6" w:rsidRDefault="00072FC6" w:rsidP="00072FC6">
      <w:pPr>
        <w:spacing w:line="320" w:lineRule="auto"/>
        <w:rPr>
          <w:rFonts w:cs="FrankRuehl"/>
          <w:szCs w:val="26"/>
          <w:rtl/>
        </w:rPr>
      </w:pPr>
      <w:r w:rsidRPr="00072FC6">
        <w:rPr>
          <w:rFonts w:cs="Miriam"/>
          <w:szCs w:val="22"/>
          <w:rtl/>
        </w:rPr>
        <w:t>מסים</w:t>
      </w:r>
      <w:r w:rsidRPr="00072FC6">
        <w:rPr>
          <w:rFonts w:cs="FrankRuehl"/>
          <w:szCs w:val="26"/>
          <w:rtl/>
        </w:rPr>
        <w:t xml:space="preserve"> – מס הכנסה – דו"חות</w:t>
      </w:r>
    </w:p>
    <w:p w:rsidR="00072FC6" w:rsidRPr="00072FC6" w:rsidRDefault="00072FC6" w:rsidP="00072FC6">
      <w:pPr>
        <w:spacing w:line="320" w:lineRule="auto"/>
        <w:rPr>
          <w:rFonts w:cs="Miriam"/>
          <w:szCs w:val="22"/>
          <w:rtl/>
        </w:rPr>
      </w:pPr>
      <w:r w:rsidRPr="00072FC6">
        <w:rPr>
          <w:rFonts w:cs="Miriam"/>
          <w:szCs w:val="22"/>
          <w:rtl/>
        </w:rPr>
        <w:t>רשויות ומשפט מנהלי</w:t>
      </w:r>
      <w:r w:rsidRPr="00072FC6">
        <w:rPr>
          <w:rFonts w:cs="FrankRuehl"/>
          <w:szCs w:val="26"/>
          <w:rtl/>
        </w:rPr>
        <w:t xml:space="preserve"> – גופים ציבוריים</w:t>
      </w:r>
    </w:p>
    <w:p w:rsidR="009A7226" w:rsidRDefault="009A722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69B0" w:rsidRPr="006F69B0" w:rsidTr="006F69B0">
        <w:tblPrEx>
          <w:tblCellMar>
            <w:top w:w="0" w:type="dxa"/>
            <w:bottom w:w="0" w:type="dxa"/>
          </w:tblCellMar>
        </w:tblPrEx>
        <w:tc>
          <w:tcPr>
            <w:tcW w:w="1247" w:type="dxa"/>
          </w:tcPr>
          <w:p w:rsidR="006F69B0" w:rsidRPr="006F69B0" w:rsidRDefault="006F69B0" w:rsidP="006F69B0">
            <w:pPr>
              <w:rPr>
                <w:rFonts w:cs="Frankruhel"/>
                <w:rtl/>
              </w:rPr>
            </w:pPr>
            <w:r>
              <w:rPr>
                <w:rtl/>
              </w:rPr>
              <w:t xml:space="preserve">סעיף 1 </w:t>
            </w:r>
          </w:p>
        </w:tc>
        <w:tc>
          <w:tcPr>
            <w:tcW w:w="5669" w:type="dxa"/>
          </w:tcPr>
          <w:p w:rsidR="006F69B0" w:rsidRPr="006F69B0" w:rsidRDefault="006F69B0" w:rsidP="006F69B0">
            <w:pPr>
              <w:rPr>
                <w:rFonts w:cs="Frankruhel"/>
                <w:rtl/>
              </w:rPr>
            </w:pPr>
            <w:r>
              <w:rPr>
                <w:rtl/>
              </w:rPr>
              <w:t>הגדרות</w:t>
            </w:r>
          </w:p>
        </w:tc>
        <w:tc>
          <w:tcPr>
            <w:tcW w:w="567" w:type="dxa"/>
          </w:tcPr>
          <w:p w:rsidR="006F69B0" w:rsidRPr="006F69B0" w:rsidRDefault="006F69B0" w:rsidP="006F69B0">
            <w:pPr>
              <w:rPr>
                <w:rStyle w:val="Hyperlink"/>
                <w:rtl/>
              </w:rPr>
            </w:pPr>
            <w:hyperlink w:anchor="Seif1" w:tooltip="הגדרות" w:history="1">
              <w:r w:rsidRPr="006F69B0">
                <w:rPr>
                  <w:rStyle w:val="Hyperlink"/>
                </w:rPr>
                <w:t>Go</w:t>
              </w:r>
            </w:hyperlink>
          </w:p>
        </w:tc>
        <w:tc>
          <w:tcPr>
            <w:tcW w:w="850" w:type="dxa"/>
          </w:tcPr>
          <w:p w:rsidR="006F69B0" w:rsidRPr="006F69B0" w:rsidRDefault="006F69B0" w:rsidP="006F69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F69B0" w:rsidRPr="006F69B0" w:rsidTr="006F69B0">
        <w:tblPrEx>
          <w:tblCellMar>
            <w:top w:w="0" w:type="dxa"/>
            <w:bottom w:w="0" w:type="dxa"/>
          </w:tblCellMar>
        </w:tblPrEx>
        <w:tc>
          <w:tcPr>
            <w:tcW w:w="1247" w:type="dxa"/>
          </w:tcPr>
          <w:p w:rsidR="006F69B0" w:rsidRPr="006F69B0" w:rsidRDefault="006F69B0" w:rsidP="006F69B0">
            <w:pPr>
              <w:rPr>
                <w:rFonts w:cs="Frankruhel"/>
                <w:rtl/>
              </w:rPr>
            </w:pPr>
            <w:r>
              <w:rPr>
                <w:rtl/>
              </w:rPr>
              <w:t xml:space="preserve">סעיף 2 </w:t>
            </w:r>
          </w:p>
        </w:tc>
        <w:tc>
          <w:tcPr>
            <w:tcW w:w="5669" w:type="dxa"/>
          </w:tcPr>
          <w:p w:rsidR="006F69B0" w:rsidRPr="006F69B0" w:rsidRDefault="006F69B0" w:rsidP="006F69B0">
            <w:pPr>
              <w:rPr>
                <w:rFonts w:cs="Frankruhel"/>
                <w:rtl/>
              </w:rPr>
            </w:pPr>
            <w:r>
              <w:rPr>
                <w:rtl/>
              </w:rPr>
              <w:t>הגשת דו"חות</w:t>
            </w:r>
          </w:p>
        </w:tc>
        <w:tc>
          <w:tcPr>
            <w:tcW w:w="567" w:type="dxa"/>
          </w:tcPr>
          <w:p w:rsidR="006F69B0" w:rsidRPr="006F69B0" w:rsidRDefault="006F69B0" w:rsidP="006F69B0">
            <w:pPr>
              <w:rPr>
                <w:rStyle w:val="Hyperlink"/>
                <w:rtl/>
              </w:rPr>
            </w:pPr>
            <w:hyperlink w:anchor="Seif2" w:tooltip="הגשת דוחות" w:history="1">
              <w:r w:rsidRPr="006F69B0">
                <w:rPr>
                  <w:rStyle w:val="Hyperlink"/>
                </w:rPr>
                <w:t>Go</w:t>
              </w:r>
            </w:hyperlink>
          </w:p>
        </w:tc>
        <w:tc>
          <w:tcPr>
            <w:tcW w:w="850" w:type="dxa"/>
          </w:tcPr>
          <w:p w:rsidR="006F69B0" w:rsidRPr="006F69B0" w:rsidRDefault="006F69B0" w:rsidP="006F69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F69B0" w:rsidRPr="006F69B0" w:rsidTr="006F69B0">
        <w:tblPrEx>
          <w:tblCellMar>
            <w:top w:w="0" w:type="dxa"/>
            <w:bottom w:w="0" w:type="dxa"/>
          </w:tblCellMar>
        </w:tblPrEx>
        <w:tc>
          <w:tcPr>
            <w:tcW w:w="1247" w:type="dxa"/>
          </w:tcPr>
          <w:p w:rsidR="006F69B0" w:rsidRPr="006F69B0" w:rsidRDefault="006F69B0" w:rsidP="006F69B0">
            <w:pPr>
              <w:rPr>
                <w:rFonts w:cs="Frankruhel"/>
                <w:rtl/>
              </w:rPr>
            </w:pPr>
            <w:r>
              <w:rPr>
                <w:rtl/>
              </w:rPr>
              <w:t xml:space="preserve">סעיף 3 </w:t>
            </w:r>
          </w:p>
        </w:tc>
        <w:tc>
          <w:tcPr>
            <w:tcW w:w="5669" w:type="dxa"/>
          </w:tcPr>
          <w:p w:rsidR="006F69B0" w:rsidRPr="006F69B0" w:rsidRDefault="006F69B0" w:rsidP="006F69B0">
            <w:pPr>
              <w:rPr>
                <w:rFonts w:cs="Frankruhel"/>
                <w:rtl/>
              </w:rPr>
            </w:pPr>
            <w:r>
              <w:rPr>
                <w:rtl/>
              </w:rPr>
              <w:t>תחולה והוראת מעבר</w:t>
            </w:r>
          </w:p>
        </w:tc>
        <w:tc>
          <w:tcPr>
            <w:tcW w:w="567" w:type="dxa"/>
          </w:tcPr>
          <w:p w:rsidR="006F69B0" w:rsidRPr="006F69B0" w:rsidRDefault="006F69B0" w:rsidP="006F69B0">
            <w:pPr>
              <w:rPr>
                <w:rStyle w:val="Hyperlink"/>
                <w:rtl/>
              </w:rPr>
            </w:pPr>
            <w:hyperlink w:anchor="Seif3" w:tooltip="תחולה והוראת מעבר" w:history="1">
              <w:r w:rsidRPr="006F69B0">
                <w:rPr>
                  <w:rStyle w:val="Hyperlink"/>
                </w:rPr>
                <w:t>Go</w:t>
              </w:r>
            </w:hyperlink>
          </w:p>
        </w:tc>
        <w:tc>
          <w:tcPr>
            <w:tcW w:w="850" w:type="dxa"/>
          </w:tcPr>
          <w:p w:rsidR="006F69B0" w:rsidRPr="006F69B0" w:rsidRDefault="006F69B0" w:rsidP="006F69B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rsidR="009A7226" w:rsidRDefault="009A7226">
      <w:pPr>
        <w:pStyle w:val="big-header"/>
        <w:ind w:left="0" w:right="1134"/>
        <w:rPr>
          <w:rFonts w:cs="FrankRuehl"/>
          <w:sz w:val="32"/>
          <w:rtl/>
        </w:rPr>
      </w:pPr>
    </w:p>
    <w:p w:rsidR="009A7226" w:rsidRDefault="009A7226" w:rsidP="00072FC6">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(דו"חות שיגיש מוסד</w:t>
      </w:r>
      <w:r>
        <w:rPr>
          <w:rFonts w:cs="FrankRuehl"/>
          <w:sz w:val="32"/>
          <w:rtl/>
        </w:rPr>
        <w:t xml:space="preserve"> צ</w:t>
      </w:r>
      <w:r>
        <w:rPr>
          <w:rFonts w:cs="FrankRuehl" w:hint="cs"/>
          <w:sz w:val="32"/>
          <w:rtl/>
        </w:rPr>
        <w:t>יבורי), תשנ"ז</w:t>
      </w:r>
      <w:r w:rsidR="00C56895">
        <w:rPr>
          <w:rFonts w:cs="FrankRuehl" w:hint="cs"/>
          <w:sz w:val="32"/>
          <w:rtl/>
        </w:rPr>
        <w:t>-</w:t>
      </w:r>
      <w:r>
        <w:rPr>
          <w:rFonts w:cs="FrankRuehl"/>
          <w:sz w:val="32"/>
          <w:rtl/>
        </w:rPr>
        <w:t>1997</w:t>
      </w:r>
      <w:r w:rsidR="00C56895">
        <w:rPr>
          <w:rStyle w:val="a6"/>
          <w:rFonts w:cs="FrankRuehl"/>
          <w:sz w:val="32"/>
          <w:rtl/>
        </w:rPr>
        <w:footnoteReference w:customMarkFollows="1" w:id="1"/>
        <w:t>*</w:t>
      </w:r>
    </w:p>
    <w:p w:rsidR="009A7226" w:rsidRPr="001B580F" w:rsidRDefault="009A7226" w:rsidP="00771318">
      <w:pPr>
        <w:pStyle w:val="P00"/>
        <w:spacing w:before="72"/>
        <w:ind w:left="0" w:right="1134"/>
        <w:rPr>
          <w:rStyle w:val="default"/>
          <w:rFonts w:cs="FrankRuehl"/>
          <w:rtl/>
        </w:rPr>
      </w:pPr>
      <w:r w:rsidRPr="001B580F">
        <w:rPr>
          <w:rFonts w:cs="FrankRuehl"/>
          <w:sz w:val="26"/>
          <w:rtl/>
        </w:rPr>
        <w:tab/>
      </w:r>
      <w:r w:rsidRPr="001B580F">
        <w:rPr>
          <w:rStyle w:val="default"/>
          <w:rFonts w:cs="FrankRuehl"/>
          <w:rtl/>
        </w:rPr>
        <w:t xml:space="preserve">בתוקף סמכותי לפי סעיפים 9(2), 131(א)(5) ו-243 לפקודת מס הכנסה [נוסח חדש] (להלן </w:t>
      </w:r>
      <w:r w:rsidR="00164841">
        <w:rPr>
          <w:rStyle w:val="default"/>
          <w:rFonts w:cs="FrankRuehl"/>
          <w:rtl/>
        </w:rPr>
        <w:t>–</w:t>
      </w:r>
      <w:r w:rsidRPr="001B580F">
        <w:rPr>
          <w:rStyle w:val="default"/>
          <w:rFonts w:cs="FrankRuehl"/>
          <w:rtl/>
        </w:rPr>
        <w:t xml:space="preserve"> הפקודה), אני מתקין תקנות אלה:</w:t>
      </w:r>
    </w:p>
    <w:p w:rsidR="009A7226" w:rsidRDefault="009A7226">
      <w:pPr>
        <w:pStyle w:val="P00"/>
        <w:spacing w:before="72"/>
        <w:ind w:left="0" w:right="1134"/>
        <w:rPr>
          <w:rStyle w:val="default"/>
          <w:rFonts w:cs="FrankRuehl" w:hint="cs"/>
          <w:rtl/>
        </w:rPr>
      </w:pPr>
      <w:bookmarkStart w:id="0" w:name="Seif1"/>
      <w:bookmarkEnd w:id="0"/>
      <w:r w:rsidRPr="001B580F">
        <w:rPr>
          <w:rFonts w:cs="Miriam"/>
          <w:lang w:val="he-IL"/>
        </w:rPr>
        <w:pict>
          <v:rect id="_x0000_s1026" style="position:absolute;left:0;text-align:left;margin-left:464.5pt;margin-top:8.05pt;width:75.05pt;height:12.25pt;z-index:251655168" o:allowincell="f" filled="f" stroked="f" strokecolor="lime" strokeweight=".25pt">
            <v:textbox inset="0,0,0,0">
              <w:txbxContent>
                <w:p w:rsidR="009A7226" w:rsidRDefault="009A7226">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1B580F">
        <w:rPr>
          <w:rStyle w:val="big-number"/>
          <w:rFonts w:cs="Miriam"/>
          <w:rtl/>
        </w:rPr>
        <w:t>1</w:t>
      </w:r>
      <w:r w:rsidRPr="001B580F">
        <w:rPr>
          <w:rStyle w:val="big-number"/>
          <w:rFonts w:cs="FrankRuehl"/>
          <w:rtl/>
        </w:rPr>
        <w:t>.</w:t>
      </w:r>
      <w:r w:rsidRPr="001B580F">
        <w:rPr>
          <w:rStyle w:val="big-number"/>
          <w:rFonts w:cs="FrankRuehl"/>
          <w:rtl/>
        </w:rPr>
        <w:tab/>
      </w:r>
      <w:r w:rsidR="00771318">
        <w:rPr>
          <w:rStyle w:val="default"/>
          <w:rFonts w:cs="FrankRuehl"/>
          <w:rtl/>
        </w:rPr>
        <w:t>בתקנות אלה –</w:t>
      </w:r>
    </w:p>
    <w:p w:rsidR="009A7226" w:rsidRPr="001B580F" w:rsidRDefault="009A7226" w:rsidP="00771318">
      <w:pPr>
        <w:pStyle w:val="P00"/>
        <w:spacing w:before="72"/>
        <w:ind w:left="0" w:right="1134"/>
        <w:rPr>
          <w:rStyle w:val="default"/>
          <w:rFonts w:cs="FrankRuehl"/>
          <w:rtl/>
        </w:rPr>
      </w:pPr>
      <w:r w:rsidRPr="001B580F">
        <w:rPr>
          <w:rFonts w:cs="FrankRuehl"/>
          <w:sz w:val="26"/>
          <w:rtl/>
        </w:rPr>
        <w:tab/>
      </w:r>
      <w:r w:rsidRPr="001B580F">
        <w:rPr>
          <w:rStyle w:val="default"/>
          <w:rFonts w:cs="FrankRuehl"/>
          <w:rtl/>
        </w:rPr>
        <w:t xml:space="preserve">"מוסד ציבורי" </w:t>
      </w:r>
      <w:r w:rsidR="00164841">
        <w:rPr>
          <w:rStyle w:val="default"/>
          <w:rFonts w:cs="FrankRuehl"/>
          <w:rtl/>
        </w:rPr>
        <w:t>–</w:t>
      </w:r>
      <w:r w:rsidRPr="001B580F">
        <w:rPr>
          <w:rStyle w:val="default"/>
          <w:rFonts w:cs="FrankRuehl"/>
          <w:rtl/>
        </w:rPr>
        <w:t xml:space="preserve"> כהגדרתו בסעיף 9(2) לפקודה;</w:t>
      </w:r>
    </w:p>
    <w:p w:rsidR="009A7226" w:rsidRPr="001B580F" w:rsidRDefault="009A7226" w:rsidP="00771318">
      <w:pPr>
        <w:pStyle w:val="P00"/>
        <w:spacing w:before="72"/>
        <w:ind w:left="0" w:right="1134"/>
        <w:rPr>
          <w:rStyle w:val="default"/>
          <w:rFonts w:cs="FrankRuehl"/>
          <w:rtl/>
        </w:rPr>
      </w:pPr>
      <w:r w:rsidRPr="001B580F">
        <w:rPr>
          <w:rFonts w:cs="FrankRuehl"/>
          <w:sz w:val="26"/>
          <w:rtl/>
        </w:rPr>
        <w:tab/>
      </w:r>
      <w:r w:rsidRPr="001B580F">
        <w:rPr>
          <w:rStyle w:val="default"/>
          <w:rFonts w:cs="FrankRuehl"/>
          <w:rtl/>
        </w:rPr>
        <w:t xml:space="preserve">"מחזור" </w:t>
      </w:r>
      <w:r w:rsidR="00164841">
        <w:rPr>
          <w:rStyle w:val="default"/>
          <w:rFonts w:cs="FrankRuehl"/>
          <w:rtl/>
        </w:rPr>
        <w:t>–</w:t>
      </w:r>
      <w:r w:rsidRPr="001B580F">
        <w:rPr>
          <w:rStyle w:val="default"/>
          <w:rFonts w:cs="FrankRuehl"/>
          <w:rtl/>
        </w:rPr>
        <w:t xml:space="preserve"> סכום המכירות וסכום התמורה בעד שירותים בשנת המס הקודמת, לרבות מסים עקיפים ולרבות תקבולים שאינם ממכירות ואינם תמורה בעד שירותים שנתקבלו בשנת המס הקודמת, למעט מכירת רכוש קבוע, הלוואות שנתקבלו ותקבול שהנציב אישר בכתב לגביו כי הוא תקבול חד-פעמי בידי המוסד, והכל מוכפל ב-12 ומחולק למספר חודשי הפעילות של המוסד בשנת המס הקודמת; לענין זה, "חודש" </w:t>
      </w:r>
      <w:r w:rsidR="00164841">
        <w:rPr>
          <w:rStyle w:val="default"/>
          <w:rFonts w:cs="FrankRuehl"/>
          <w:rtl/>
        </w:rPr>
        <w:t>–</w:t>
      </w:r>
      <w:r w:rsidRPr="001B580F">
        <w:rPr>
          <w:rStyle w:val="default"/>
          <w:rFonts w:cs="FrankRuehl"/>
          <w:rtl/>
        </w:rPr>
        <w:t xml:space="preserve"> לרבות חלק ממנו.</w:t>
      </w:r>
    </w:p>
    <w:p w:rsidR="009A7226" w:rsidRPr="001B580F" w:rsidRDefault="009A7226">
      <w:pPr>
        <w:pStyle w:val="P00"/>
        <w:spacing w:before="72"/>
        <w:ind w:left="0" w:right="1134"/>
        <w:rPr>
          <w:rStyle w:val="default"/>
          <w:rFonts w:cs="FrankRuehl"/>
          <w:rtl/>
        </w:rPr>
      </w:pPr>
      <w:bookmarkStart w:id="1" w:name="Seif2"/>
      <w:bookmarkEnd w:id="1"/>
      <w:r w:rsidRPr="001B580F">
        <w:rPr>
          <w:rFonts w:cs="Miriam"/>
          <w:lang w:val="he-IL"/>
        </w:rPr>
        <w:pict>
          <v:rect id="_x0000_s1027" style="position:absolute;left:0;text-align:left;margin-left:464.5pt;margin-top:8.05pt;width:75.05pt;height:11.65pt;z-index:251656192" o:allowincell="f" filled="f" stroked="f" strokecolor="lime" strokeweight=".25pt">
            <v:textbox inset="0,0,0,0">
              <w:txbxContent>
                <w:p w:rsidR="009A7226" w:rsidRDefault="009A7226">
                  <w:pPr>
                    <w:spacing w:line="160" w:lineRule="exact"/>
                    <w:rPr>
                      <w:rFonts w:cs="Miriam"/>
                      <w:noProof/>
                      <w:sz w:val="18"/>
                      <w:szCs w:val="18"/>
                      <w:rtl/>
                    </w:rPr>
                  </w:pPr>
                  <w:r>
                    <w:rPr>
                      <w:rFonts w:cs="Miriam"/>
                      <w:sz w:val="18"/>
                      <w:szCs w:val="18"/>
                      <w:rtl/>
                    </w:rPr>
                    <w:t>הג</w:t>
                  </w:r>
                  <w:r>
                    <w:rPr>
                      <w:rFonts w:cs="Miriam" w:hint="cs"/>
                      <w:sz w:val="18"/>
                      <w:szCs w:val="18"/>
                      <w:rtl/>
                    </w:rPr>
                    <w:t>שת דו"חות</w:t>
                  </w:r>
                </w:p>
              </w:txbxContent>
            </v:textbox>
            <w10:anchorlock/>
          </v:rect>
        </w:pict>
      </w:r>
      <w:r w:rsidRPr="001B580F">
        <w:rPr>
          <w:rStyle w:val="big-number"/>
          <w:rFonts w:cs="Miriam"/>
          <w:rtl/>
        </w:rPr>
        <w:t>2</w:t>
      </w:r>
      <w:r w:rsidRPr="001B580F">
        <w:rPr>
          <w:rStyle w:val="big-number"/>
          <w:rFonts w:cs="FrankRuehl"/>
          <w:rtl/>
        </w:rPr>
        <w:t>.</w:t>
      </w:r>
      <w:r w:rsidRPr="001B580F">
        <w:rPr>
          <w:rStyle w:val="big-number"/>
          <w:rFonts w:cs="FrankRuehl"/>
          <w:rtl/>
        </w:rPr>
        <w:tab/>
      </w:r>
      <w:r w:rsidRPr="001B580F">
        <w:rPr>
          <w:rStyle w:val="default"/>
          <w:rFonts w:cs="FrankRuehl"/>
          <w:rtl/>
        </w:rPr>
        <w:t>(א)</w:t>
      </w:r>
      <w:r w:rsidRPr="001B580F">
        <w:rPr>
          <w:rStyle w:val="default"/>
          <w:rFonts w:cs="FrankRuehl"/>
          <w:rtl/>
        </w:rPr>
        <w:tab/>
        <w:t>מוסד ציבורי יגיש לפקיד השומה דו"ח כאמור בסעיף 9(2) לפקודה בטופס 1215, ואם יש לו הכנסה שאינה פטורה ממס לפי סעיף 9(2) לפקודה, יגישו בצירוף טופס 1215א, ובצירוף אלה:</w:t>
      </w:r>
    </w:p>
    <w:p w:rsidR="009A7226" w:rsidRPr="001B580F" w:rsidRDefault="009A7226">
      <w:pPr>
        <w:pStyle w:val="P22"/>
        <w:spacing w:before="72"/>
        <w:ind w:left="1021" w:right="1134"/>
        <w:rPr>
          <w:rStyle w:val="default"/>
          <w:rFonts w:cs="FrankRuehl"/>
          <w:rtl/>
        </w:rPr>
      </w:pPr>
      <w:r w:rsidRPr="001B580F">
        <w:rPr>
          <w:rStyle w:val="default"/>
          <w:rFonts w:cs="FrankRuehl"/>
          <w:rtl/>
        </w:rPr>
        <w:t>(1)</w:t>
      </w:r>
      <w:r w:rsidRPr="001B580F">
        <w:rPr>
          <w:rStyle w:val="default"/>
          <w:rFonts w:cs="FrankRuehl"/>
          <w:rtl/>
        </w:rPr>
        <w:tab/>
        <w:t>מאזן ליום האחרון של שנת המס ודו"ח הכנסות והוצאות לשנת המס, מבוקרים בידי רואה חשבון או פקיד ברית פיקוח;</w:t>
      </w:r>
    </w:p>
    <w:p w:rsidR="009A7226" w:rsidRPr="001B580F" w:rsidRDefault="009A7226" w:rsidP="00771318">
      <w:pPr>
        <w:pStyle w:val="P22"/>
        <w:spacing w:before="72"/>
        <w:ind w:left="1021" w:right="1134"/>
        <w:rPr>
          <w:rStyle w:val="default"/>
          <w:rFonts w:cs="FrankRuehl"/>
          <w:rtl/>
        </w:rPr>
      </w:pPr>
      <w:r w:rsidRPr="001B580F">
        <w:rPr>
          <w:rStyle w:val="default"/>
          <w:rFonts w:cs="FrankRuehl"/>
          <w:rtl/>
        </w:rPr>
        <w:t>(2)</w:t>
      </w:r>
      <w:r w:rsidRPr="001B580F">
        <w:rPr>
          <w:rStyle w:val="default"/>
          <w:rFonts w:cs="FrankRuehl"/>
          <w:rtl/>
        </w:rPr>
        <w:tab/>
        <w:t xml:space="preserve">חשבון התאמה של עודף ההכנסות או ההוצאות לפי דו"ח ההכנסות וההוצאות, כאמור בפסקה (1), להכנסה החייבת או להפסד, לפי הענין, שהוצהרו בדו"ח; חשבון ההתאמה יהיה מאושר בידי רואה חשבון או פקיד ברית פיקוח; האישור יינתן לפי הנוסח שבתוספת הראשונה, ואם לא היו למוסד הכנסות או שכל הכנסותיו פטורות ממס, ולא היו לו סכומים החייבים במס לפי סעיף 3(ז) לפקודה </w:t>
      </w:r>
      <w:r w:rsidR="00164841">
        <w:rPr>
          <w:rStyle w:val="default"/>
          <w:rFonts w:cs="FrankRuehl"/>
          <w:rtl/>
        </w:rPr>
        <w:t>–</w:t>
      </w:r>
      <w:r w:rsidRPr="001B580F">
        <w:rPr>
          <w:rStyle w:val="default"/>
          <w:rFonts w:cs="FrankRuehl"/>
          <w:rtl/>
        </w:rPr>
        <w:t xml:space="preserve"> יינתן האישור לפי הנוסח שבתוספת השניה;</w:t>
      </w:r>
    </w:p>
    <w:p w:rsidR="009A7226" w:rsidRPr="001B580F" w:rsidRDefault="009A7226">
      <w:pPr>
        <w:pStyle w:val="P22"/>
        <w:spacing w:before="72"/>
        <w:ind w:left="1021" w:right="1134"/>
        <w:rPr>
          <w:rStyle w:val="default"/>
          <w:rFonts w:cs="FrankRuehl"/>
          <w:rtl/>
        </w:rPr>
      </w:pPr>
      <w:r w:rsidRPr="001B580F">
        <w:rPr>
          <w:rStyle w:val="default"/>
          <w:rFonts w:cs="FrankRuehl"/>
          <w:rtl/>
        </w:rPr>
        <w:t>(3)</w:t>
      </w:r>
      <w:r w:rsidRPr="001B580F">
        <w:rPr>
          <w:rStyle w:val="default"/>
          <w:rFonts w:cs="FrankRuehl"/>
          <w:rtl/>
        </w:rPr>
        <w:tab/>
        <w:t>דו"ח שיפורטו בו לתאריך המאזן, כל אלה:</w:t>
      </w:r>
    </w:p>
    <w:p w:rsidR="009A7226" w:rsidRPr="001B580F" w:rsidRDefault="009A7226">
      <w:pPr>
        <w:pStyle w:val="P33"/>
        <w:spacing w:before="72"/>
        <w:ind w:left="1474" w:right="1134"/>
        <w:rPr>
          <w:rStyle w:val="default"/>
          <w:rFonts w:cs="FrankRuehl"/>
          <w:rtl/>
        </w:rPr>
      </w:pPr>
      <w:r w:rsidRPr="001B580F">
        <w:rPr>
          <w:rStyle w:val="default"/>
          <w:rFonts w:cs="FrankRuehl"/>
          <w:rtl/>
        </w:rPr>
        <w:t>(א)</w:t>
      </w:r>
      <w:r w:rsidRPr="001B580F">
        <w:rPr>
          <w:rStyle w:val="default"/>
          <w:rFonts w:cs="FrankRuehl"/>
          <w:rtl/>
        </w:rPr>
        <w:tab/>
        <w:t>יתרות ההלוואות שנתן המוסד הציבורי לתקופה העולה על שנה ויתרות ההלוואות שקיבל לתקופה העולה על שנה;</w:t>
      </w:r>
    </w:p>
    <w:p w:rsidR="009A7226" w:rsidRPr="001B580F" w:rsidRDefault="009A7226">
      <w:pPr>
        <w:pStyle w:val="P33"/>
        <w:spacing w:before="72"/>
        <w:ind w:left="1474" w:right="1134"/>
        <w:rPr>
          <w:rStyle w:val="default"/>
          <w:rFonts w:cs="FrankRuehl"/>
          <w:rtl/>
        </w:rPr>
      </w:pPr>
      <w:r w:rsidRPr="001B580F">
        <w:rPr>
          <w:rStyle w:val="default"/>
          <w:rFonts w:cs="FrankRuehl"/>
          <w:rtl/>
        </w:rPr>
        <w:t>(ב)</w:t>
      </w:r>
      <w:r w:rsidRPr="001B580F">
        <w:rPr>
          <w:rStyle w:val="default"/>
          <w:rFonts w:cs="FrankRuehl"/>
          <w:rtl/>
        </w:rPr>
        <w:tab/>
        <w:t>זכאים ויתרות זכות לגבי כל אחד מאלה כשהם ממוינים לפי הסוגים הבאים:</w:t>
      </w:r>
    </w:p>
    <w:p w:rsidR="009A7226" w:rsidRPr="001B580F" w:rsidRDefault="009A7226">
      <w:pPr>
        <w:pStyle w:val="P44"/>
        <w:spacing w:before="72"/>
        <w:ind w:left="1928" w:right="1134"/>
        <w:rPr>
          <w:rStyle w:val="default"/>
          <w:rFonts w:cs="FrankRuehl"/>
          <w:rtl/>
        </w:rPr>
      </w:pPr>
      <w:r w:rsidRPr="001B580F">
        <w:rPr>
          <w:rStyle w:val="default"/>
          <w:rFonts w:cs="FrankRuehl"/>
          <w:rtl/>
        </w:rPr>
        <w:t>1)</w:t>
      </w:r>
      <w:r w:rsidRPr="001B580F">
        <w:rPr>
          <w:rStyle w:val="default"/>
          <w:rFonts w:cs="FrankRuehl"/>
          <w:rtl/>
        </w:rPr>
        <w:tab/>
        <w:t>חברי הועד או מועצת המנהלים של המוסד הציבורי;</w:t>
      </w:r>
    </w:p>
    <w:p w:rsidR="009A7226" w:rsidRPr="001B580F" w:rsidRDefault="009A7226">
      <w:pPr>
        <w:pStyle w:val="P44"/>
        <w:spacing w:before="72"/>
        <w:ind w:left="1928" w:right="1134"/>
        <w:rPr>
          <w:rStyle w:val="default"/>
          <w:rFonts w:cs="FrankRuehl"/>
          <w:rtl/>
        </w:rPr>
      </w:pPr>
      <w:r w:rsidRPr="001B580F">
        <w:rPr>
          <w:rStyle w:val="default"/>
          <w:rFonts w:cs="FrankRuehl"/>
          <w:rtl/>
        </w:rPr>
        <w:t>2)</w:t>
      </w:r>
      <w:r w:rsidRPr="001B580F">
        <w:rPr>
          <w:rStyle w:val="default"/>
          <w:rFonts w:cs="FrankRuehl"/>
          <w:rtl/>
        </w:rPr>
        <w:tab/>
        <w:t>מנהליו;</w:t>
      </w:r>
    </w:p>
    <w:p w:rsidR="009A7226" w:rsidRPr="001B580F" w:rsidRDefault="009A7226">
      <w:pPr>
        <w:pStyle w:val="P44"/>
        <w:spacing w:before="72"/>
        <w:ind w:left="1928" w:right="1134"/>
        <w:rPr>
          <w:rStyle w:val="default"/>
          <w:rFonts w:cs="FrankRuehl"/>
          <w:rtl/>
        </w:rPr>
      </w:pPr>
      <w:r w:rsidRPr="001B580F">
        <w:rPr>
          <w:rStyle w:val="default"/>
          <w:rFonts w:cs="FrankRuehl"/>
          <w:rtl/>
        </w:rPr>
        <w:t>3)</w:t>
      </w:r>
      <w:r w:rsidRPr="001B580F">
        <w:rPr>
          <w:rStyle w:val="default"/>
          <w:rFonts w:cs="FrankRuehl"/>
          <w:rtl/>
        </w:rPr>
        <w:tab/>
        <w:t>חברי המוסד הציבורי;</w:t>
      </w:r>
    </w:p>
    <w:p w:rsidR="009A7226" w:rsidRPr="001B580F" w:rsidRDefault="009A7226">
      <w:pPr>
        <w:pStyle w:val="P44"/>
        <w:spacing w:before="72"/>
        <w:ind w:left="1928" w:right="1134"/>
        <w:rPr>
          <w:rStyle w:val="default"/>
          <w:rFonts w:cs="FrankRuehl"/>
          <w:rtl/>
        </w:rPr>
      </w:pPr>
      <w:r w:rsidRPr="001B580F">
        <w:rPr>
          <w:rStyle w:val="default"/>
          <w:rFonts w:cs="FrankRuehl"/>
          <w:rtl/>
        </w:rPr>
        <w:t>4)</w:t>
      </w:r>
      <w:r w:rsidRPr="001B580F">
        <w:rPr>
          <w:rStyle w:val="default"/>
          <w:rFonts w:cs="FrankRuehl"/>
          <w:rtl/>
        </w:rPr>
        <w:tab/>
        <w:t>עובדיו;</w:t>
      </w:r>
    </w:p>
    <w:p w:rsidR="009A7226" w:rsidRPr="001B580F" w:rsidRDefault="009A7226">
      <w:pPr>
        <w:pStyle w:val="P44"/>
        <w:spacing w:before="72"/>
        <w:ind w:left="1928" w:right="1134"/>
        <w:rPr>
          <w:rStyle w:val="default"/>
          <w:rFonts w:cs="FrankRuehl"/>
          <w:rtl/>
        </w:rPr>
      </w:pPr>
      <w:r w:rsidRPr="001B580F">
        <w:rPr>
          <w:rStyle w:val="default"/>
          <w:rFonts w:cs="FrankRuehl"/>
          <w:rtl/>
        </w:rPr>
        <w:t>5)</w:t>
      </w:r>
      <w:r w:rsidRPr="001B580F">
        <w:rPr>
          <w:rStyle w:val="default"/>
          <w:rFonts w:cs="FrankRuehl"/>
          <w:rtl/>
        </w:rPr>
        <w:tab/>
        <w:t>חבר-בני-אדם אשר למוסד הציבורי יש זכות בהון מניותיו, זכות הצבעה בו או זכות להחזיק או לרכוש כל אחד מאלה, או זכות לקבל רווחים ממנו;</w:t>
      </w:r>
    </w:p>
    <w:p w:rsidR="009A7226" w:rsidRPr="001B580F" w:rsidRDefault="009A7226">
      <w:pPr>
        <w:pStyle w:val="P44"/>
        <w:spacing w:before="72"/>
        <w:ind w:left="1928" w:right="1134"/>
        <w:rPr>
          <w:rStyle w:val="default"/>
          <w:rFonts w:cs="FrankRuehl"/>
          <w:rtl/>
        </w:rPr>
      </w:pPr>
      <w:r w:rsidRPr="001B580F">
        <w:rPr>
          <w:rStyle w:val="default"/>
          <w:rFonts w:cs="FrankRuehl"/>
          <w:rtl/>
        </w:rPr>
        <w:t>6)</w:t>
      </w:r>
      <w:r w:rsidRPr="001B580F">
        <w:rPr>
          <w:rStyle w:val="default"/>
          <w:rFonts w:cs="FrankRuehl"/>
          <w:rtl/>
        </w:rPr>
        <w:tab/>
        <w:t>אחר.</w:t>
      </w:r>
    </w:p>
    <w:p w:rsidR="009A7226" w:rsidRPr="001B580F" w:rsidRDefault="009A7226">
      <w:pPr>
        <w:pStyle w:val="P33"/>
        <w:spacing w:before="72"/>
        <w:ind w:left="1474" w:right="1134"/>
        <w:rPr>
          <w:rStyle w:val="default"/>
          <w:rFonts w:cs="FrankRuehl"/>
          <w:rtl/>
        </w:rPr>
      </w:pPr>
      <w:r w:rsidRPr="001B580F">
        <w:rPr>
          <w:rStyle w:val="default"/>
          <w:rFonts w:cs="FrankRuehl"/>
          <w:rtl/>
        </w:rPr>
        <w:t>(ג)</w:t>
      </w:r>
      <w:r w:rsidRPr="001B580F">
        <w:rPr>
          <w:rStyle w:val="default"/>
          <w:rFonts w:cs="FrankRuehl"/>
          <w:rtl/>
        </w:rPr>
        <w:tab/>
        <w:t>חייבים ויתרות חובה לגבי כל אחד מהמפורטים בפסקת משנה (ב);</w:t>
      </w:r>
    </w:p>
    <w:p w:rsidR="009A7226" w:rsidRPr="001B580F" w:rsidRDefault="009A7226" w:rsidP="00771318">
      <w:pPr>
        <w:pStyle w:val="P33"/>
        <w:spacing w:before="72"/>
        <w:ind w:left="1474" w:right="1134"/>
        <w:rPr>
          <w:rStyle w:val="default"/>
          <w:rFonts w:cs="FrankRuehl"/>
          <w:rtl/>
        </w:rPr>
      </w:pPr>
      <w:r w:rsidRPr="001B580F">
        <w:rPr>
          <w:rStyle w:val="default"/>
          <w:rFonts w:cs="FrankRuehl"/>
          <w:rtl/>
        </w:rPr>
        <w:t>(ד)</w:t>
      </w:r>
      <w:r w:rsidRPr="001B580F">
        <w:rPr>
          <w:rStyle w:val="default"/>
          <w:rFonts w:cs="FrankRuehl"/>
          <w:rtl/>
        </w:rPr>
        <w:tab/>
        <w:t>זכאים וחייבים להם היתה בשנת המס יתרת זכות או יתרת חובה, לפי הענין, בסכום העולה על 5% מהמחזור של המוסד הציבורי;</w:t>
      </w:r>
    </w:p>
    <w:p w:rsidR="009A7226" w:rsidRPr="001B580F" w:rsidRDefault="009A7226" w:rsidP="00771318">
      <w:pPr>
        <w:pStyle w:val="P33"/>
        <w:spacing w:before="72"/>
        <w:ind w:left="1474" w:right="1134"/>
        <w:rPr>
          <w:rStyle w:val="default"/>
          <w:rFonts w:cs="FrankRuehl"/>
          <w:rtl/>
        </w:rPr>
      </w:pPr>
      <w:r w:rsidRPr="001B580F">
        <w:rPr>
          <w:rStyle w:val="default"/>
          <w:rFonts w:cs="FrankRuehl"/>
          <w:rtl/>
        </w:rPr>
        <w:t>(ה)</w:t>
      </w:r>
      <w:r w:rsidRPr="001B580F">
        <w:rPr>
          <w:rStyle w:val="default"/>
          <w:rFonts w:cs="FrankRuehl"/>
          <w:rtl/>
        </w:rPr>
        <w:tab/>
        <w:t>ספקים, נותני שירותים, מקבלי שירותים ואחרים שסכומי ההתקשרות עמם בשנת המס עלו על 5% מהמחזור של המוסד הציבורי;</w:t>
      </w:r>
    </w:p>
    <w:p w:rsidR="009A7226" w:rsidRPr="001B580F" w:rsidRDefault="009A7226">
      <w:pPr>
        <w:pStyle w:val="P33"/>
        <w:spacing w:before="72"/>
        <w:ind w:left="1474" w:right="1134"/>
        <w:rPr>
          <w:rStyle w:val="default"/>
          <w:rFonts w:cs="FrankRuehl"/>
          <w:rtl/>
        </w:rPr>
      </w:pPr>
      <w:r w:rsidRPr="001B580F">
        <w:rPr>
          <w:rStyle w:val="default"/>
          <w:rFonts w:cs="FrankRuehl"/>
          <w:rtl/>
        </w:rPr>
        <w:t>(ו)</w:t>
      </w:r>
      <w:r w:rsidRPr="001B580F">
        <w:rPr>
          <w:rStyle w:val="default"/>
          <w:rFonts w:cs="FrankRuehl"/>
          <w:rtl/>
        </w:rPr>
        <w:tab/>
        <w:t xml:space="preserve">סכומי ההוצאות מראש וההוצאות הנדחות, סכומי ההכנסות מראש </w:t>
      </w:r>
      <w:r w:rsidRPr="001B580F">
        <w:rPr>
          <w:rStyle w:val="default"/>
          <w:rFonts w:cs="FrankRuehl"/>
          <w:rtl/>
        </w:rPr>
        <w:lastRenderedPageBreak/>
        <w:t>וההכנסות הנדחות, סכומי ההוצאות שנצברו וההכנסות שנצברו;</w:t>
      </w:r>
    </w:p>
    <w:p w:rsidR="009A7226" w:rsidRPr="001B580F" w:rsidRDefault="009A7226">
      <w:pPr>
        <w:pStyle w:val="P33"/>
        <w:spacing w:before="72"/>
        <w:ind w:left="1474" w:right="1134"/>
        <w:rPr>
          <w:rStyle w:val="default"/>
          <w:rFonts w:cs="FrankRuehl"/>
          <w:rtl/>
        </w:rPr>
      </w:pPr>
      <w:r w:rsidRPr="001B580F">
        <w:rPr>
          <w:rStyle w:val="default"/>
          <w:rFonts w:cs="FrankRuehl"/>
          <w:rtl/>
        </w:rPr>
        <w:t>(ז)</w:t>
      </w:r>
      <w:r w:rsidRPr="001B580F">
        <w:rPr>
          <w:rStyle w:val="default"/>
          <w:rFonts w:cs="FrankRuehl"/>
          <w:rtl/>
        </w:rPr>
        <w:tab/>
        <w:t>פירוט השקעות בשוק ההון כערכן ביום האחרון של שנת המס לפי סוגיהן.</w:t>
      </w:r>
    </w:p>
    <w:p w:rsidR="009A7226" w:rsidRPr="001B580F" w:rsidRDefault="009A7226">
      <w:pPr>
        <w:pStyle w:val="P22"/>
        <w:spacing w:before="72"/>
        <w:ind w:left="1021" w:right="1134"/>
        <w:rPr>
          <w:rStyle w:val="default"/>
          <w:rFonts w:cs="FrankRuehl"/>
          <w:rtl/>
        </w:rPr>
      </w:pPr>
      <w:r w:rsidRPr="001B580F">
        <w:rPr>
          <w:rStyle w:val="default"/>
          <w:rFonts w:cs="FrankRuehl"/>
          <w:rtl/>
        </w:rPr>
        <w:t>(4)</w:t>
      </w:r>
      <w:r w:rsidRPr="001B580F">
        <w:rPr>
          <w:rStyle w:val="default"/>
          <w:rFonts w:cs="FrankRuehl"/>
          <w:rtl/>
        </w:rPr>
        <w:tab/>
        <w:t xml:space="preserve">דו"ח שיפורט בו חישוב ההכנסה לפי סעיף 3(ח) לפקודה לפי טופס 1269. </w:t>
      </w:r>
    </w:p>
    <w:p w:rsidR="009A7226" w:rsidRPr="001B580F" w:rsidRDefault="009A7226">
      <w:pPr>
        <w:pStyle w:val="P00"/>
        <w:spacing w:before="72"/>
        <w:ind w:left="0" w:right="1134"/>
        <w:rPr>
          <w:rStyle w:val="default"/>
          <w:rFonts w:cs="FrankRuehl"/>
          <w:rtl/>
        </w:rPr>
      </w:pPr>
      <w:r w:rsidRPr="001B580F">
        <w:rPr>
          <w:rFonts w:cs="FrankRuehl"/>
          <w:sz w:val="26"/>
          <w:rtl/>
        </w:rPr>
        <w:tab/>
      </w:r>
      <w:r w:rsidRPr="001B580F">
        <w:rPr>
          <w:rStyle w:val="default"/>
          <w:rFonts w:cs="FrankRuehl"/>
          <w:rtl/>
        </w:rPr>
        <w:t>(ב)</w:t>
      </w:r>
      <w:r w:rsidRPr="001B580F">
        <w:rPr>
          <w:rStyle w:val="default"/>
          <w:rFonts w:cs="FrankRuehl"/>
          <w:rtl/>
        </w:rPr>
        <w:tab/>
        <w:t>מוסד ציבורי שאינו חברה רשאי להגיש מאזן ודו"ח הכנסות והוצאות כאמור בתקנת משנה (א)(1) כשאלו אינם מבוקרים בידי רואה חשבון או פקיד ברית פיקוח וכן רשאי להגיש דו"ח כאמור בתקנת משנה (א)(2) אף ללא האישור כאמור בתקנת משנה זו, אולם אלו יהיו חתומים בידי ועדת הביקורת או הגוף המבקר, אם המוסד הציבורי הוא עמותה, ובידי מנהלי המוסד הציבורי או נאמניו בכל מקרה אחר ובלבד שנתקיימו כל אלה:</w:t>
      </w:r>
    </w:p>
    <w:p w:rsidR="009A7226" w:rsidRDefault="009A7226">
      <w:pPr>
        <w:pStyle w:val="P22"/>
        <w:spacing w:before="72"/>
        <w:ind w:left="1021" w:right="1134"/>
        <w:rPr>
          <w:rStyle w:val="default"/>
          <w:rFonts w:cs="FrankRuehl" w:hint="cs"/>
          <w:rtl/>
        </w:rPr>
      </w:pPr>
      <w:r w:rsidRPr="001B580F">
        <w:rPr>
          <w:rFonts w:cs="FrankRuehl"/>
          <w:lang w:val="he-IL"/>
        </w:rPr>
        <w:pict>
          <v:rect id="_x0000_s1028" style="position:absolute;left:0;text-align:left;margin-left:464.5pt;margin-top:8.05pt;width:75.05pt;height:10pt;z-index:251657216" o:allowincell="f" filled="f" stroked="f" strokecolor="lime" strokeweight=".25pt">
            <v:textbox inset="0,0,0,0">
              <w:txbxContent>
                <w:p w:rsidR="009A7226" w:rsidRDefault="009A7226">
                  <w:pPr>
                    <w:spacing w:line="160" w:lineRule="exact"/>
                    <w:rPr>
                      <w:rFonts w:cs="Miriam" w:hint="cs"/>
                      <w:noProof/>
                      <w:sz w:val="18"/>
                      <w:szCs w:val="18"/>
                      <w:rtl/>
                    </w:rPr>
                  </w:pPr>
                  <w:r>
                    <w:rPr>
                      <w:rFonts w:cs="Miriam"/>
                      <w:sz w:val="18"/>
                      <w:szCs w:val="18"/>
                      <w:rtl/>
                    </w:rPr>
                    <w:t>תק</w:t>
                  </w:r>
                  <w:r>
                    <w:rPr>
                      <w:rFonts w:cs="Miriam" w:hint="cs"/>
                      <w:sz w:val="18"/>
                      <w:szCs w:val="18"/>
                      <w:rtl/>
                    </w:rPr>
                    <w:t>'</w:t>
                  </w:r>
                  <w:r w:rsidR="00C56895">
                    <w:rPr>
                      <w:rFonts w:cs="Miriam" w:hint="cs"/>
                      <w:sz w:val="18"/>
                      <w:szCs w:val="18"/>
                      <w:rtl/>
                    </w:rPr>
                    <w:t xml:space="preserve"> </w:t>
                  </w:r>
                  <w:r>
                    <w:rPr>
                      <w:rFonts w:cs="Miriam" w:hint="cs"/>
                      <w:sz w:val="18"/>
                      <w:szCs w:val="18"/>
                      <w:rtl/>
                    </w:rPr>
                    <w:t>תשנ"ח</w:t>
                  </w:r>
                  <w:r w:rsidR="00C56895">
                    <w:rPr>
                      <w:rFonts w:cs="Miriam" w:hint="cs"/>
                      <w:sz w:val="18"/>
                      <w:szCs w:val="18"/>
                      <w:rtl/>
                    </w:rPr>
                    <w:t>-</w:t>
                  </w:r>
                  <w:r w:rsidR="00C56895">
                    <w:rPr>
                      <w:rFonts w:cs="Miriam"/>
                      <w:sz w:val="18"/>
                      <w:szCs w:val="18"/>
                      <w:rtl/>
                    </w:rPr>
                    <w:t>1998</w:t>
                  </w:r>
                </w:p>
              </w:txbxContent>
            </v:textbox>
            <w10:anchorlock/>
          </v:rect>
        </w:pict>
      </w:r>
      <w:r w:rsidRPr="001B580F">
        <w:rPr>
          <w:rStyle w:val="default"/>
          <w:rFonts w:cs="FrankRuehl"/>
          <w:rtl/>
        </w:rPr>
        <w:t>(1)</w:t>
      </w:r>
      <w:r w:rsidRPr="001B580F">
        <w:rPr>
          <w:rStyle w:val="default"/>
          <w:rFonts w:cs="FrankRuehl"/>
          <w:rtl/>
        </w:rPr>
        <w:tab/>
        <w:t>מחזורו בשנת המס שלגביה מוגש הדו"ח אינו עולה על 500,000 שקלים חדשים;</w:t>
      </w:r>
    </w:p>
    <w:p w:rsidR="009A7226" w:rsidRPr="001B580F" w:rsidRDefault="009A7226" w:rsidP="00164841">
      <w:pPr>
        <w:pStyle w:val="P22"/>
        <w:spacing w:before="72"/>
        <w:ind w:left="1021" w:right="1134"/>
        <w:rPr>
          <w:rStyle w:val="default"/>
          <w:rFonts w:cs="FrankRuehl"/>
          <w:rtl/>
        </w:rPr>
      </w:pPr>
      <w:r w:rsidRPr="001B580F">
        <w:rPr>
          <w:rStyle w:val="default"/>
          <w:rFonts w:cs="FrankRuehl"/>
          <w:rtl/>
        </w:rPr>
        <w:t>(2)</w:t>
      </w:r>
      <w:r w:rsidRPr="001B580F">
        <w:rPr>
          <w:rStyle w:val="default"/>
          <w:rFonts w:cs="FrankRuehl"/>
          <w:rtl/>
        </w:rPr>
        <w:tab/>
        <w:t>בשנת המס לא היה המוסד האמור מוסד ציבורי לענין סעיף 46 לפקודה או סעיף 61 לחוק מס שבח מקרקעין, תשכ"ג</w:t>
      </w:r>
      <w:r w:rsidR="00164841">
        <w:rPr>
          <w:rStyle w:val="default"/>
          <w:rFonts w:cs="FrankRuehl" w:hint="cs"/>
          <w:rtl/>
        </w:rPr>
        <w:t>-</w:t>
      </w:r>
      <w:r w:rsidRPr="001B580F">
        <w:rPr>
          <w:rStyle w:val="default"/>
          <w:rFonts w:cs="FrankRuehl"/>
          <w:rtl/>
        </w:rPr>
        <w:t xml:space="preserve">1963; </w:t>
      </w:r>
    </w:p>
    <w:p w:rsidR="009A7226" w:rsidRDefault="009A7226">
      <w:pPr>
        <w:pStyle w:val="P22"/>
        <w:spacing w:before="72"/>
        <w:ind w:left="1021" w:right="1134"/>
        <w:rPr>
          <w:rStyle w:val="default"/>
          <w:rFonts w:cs="FrankRuehl" w:hint="cs"/>
          <w:rtl/>
        </w:rPr>
      </w:pPr>
      <w:r w:rsidRPr="001B580F">
        <w:rPr>
          <w:rStyle w:val="default"/>
          <w:rFonts w:cs="FrankRuehl"/>
          <w:rtl/>
        </w:rPr>
        <w:t>(3)</w:t>
      </w:r>
      <w:r w:rsidRPr="001B580F">
        <w:rPr>
          <w:rStyle w:val="default"/>
          <w:rFonts w:cs="FrankRuehl"/>
          <w:rtl/>
        </w:rPr>
        <w:tab/>
        <w:t>כל הכנסותיו פטורות ממס לפי סעיף 9(2) לפקודה.</w:t>
      </w:r>
    </w:p>
    <w:p w:rsidR="00771318" w:rsidRPr="00164841" w:rsidRDefault="00771318" w:rsidP="00771318">
      <w:pPr>
        <w:pStyle w:val="P00"/>
        <w:tabs>
          <w:tab w:val="clear" w:pos="6259"/>
        </w:tabs>
        <w:spacing w:before="0"/>
        <w:ind w:left="0" w:right="1134"/>
        <w:rPr>
          <w:rFonts w:cs="FrankRuehl" w:hint="cs"/>
          <w:vanish/>
          <w:szCs w:val="20"/>
          <w:shd w:val="clear" w:color="auto" w:fill="FFFF99"/>
          <w:rtl/>
        </w:rPr>
      </w:pPr>
      <w:bookmarkStart w:id="2" w:name="Rov7"/>
      <w:r w:rsidRPr="00164841">
        <w:rPr>
          <w:rFonts w:cs="FrankRuehl" w:hint="cs"/>
          <w:vanish/>
          <w:color w:val="FF0000"/>
          <w:szCs w:val="20"/>
          <w:shd w:val="clear" w:color="auto" w:fill="FFFF99"/>
          <w:rtl/>
        </w:rPr>
        <w:t>מיום 1.1.1998</w:t>
      </w:r>
    </w:p>
    <w:p w:rsidR="00771318" w:rsidRPr="00164841" w:rsidRDefault="00771318" w:rsidP="00771318">
      <w:pPr>
        <w:pStyle w:val="P00"/>
        <w:spacing w:before="0"/>
        <w:ind w:left="0" w:right="1134"/>
        <w:rPr>
          <w:rFonts w:cs="FrankRuehl" w:hint="cs"/>
          <w:b/>
          <w:bCs/>
          <w:vanish/>
          <w:szCs w:val="20"/>
          <w:shd w:val="clear" w:color="auto" w:fill="FFFF99"/>
          <w:rtl/>
        </w:rPr>
      </w:pPr>
      <w:r w:rsidRPr="00164841">
        <w:rPr>
          <w:rFonts w:cs="FrankRuehl" w:hint="cs"/>
          <w:b/>
          <w:bCs/>
          <w:vanish/>
          <w:szCs w:val="20"/>
          <w:shd w:val="clear" w:color="auto" w:fill="FFFF99"/>
          <w:rtl/>
        </w:rPr>
        <w:t>תק' תשנ"ח-1998</w:t>
      </w:r>
    </w:p>
    <w:p w:rsidR="00771318" w:rsidRPr="00164841" w:rsidRDefault="00771318" w:rsidP="00771318">
      <w:pPr>
        <w:pStyle w:val="P00"/>
        <w:spacing w:before="0"/>
        <w:ind w:left="0" w:right="1134"/>
        <w:rPr>
          <w:rFonts w:cs="FrankRuehl" w:hint="cs"/>
          <w:vanish/>
          <w:szCs w:val="20"/>
          <w:shd w:val="clear" w:color="auto" w:fill="FFFF99"/>
          <w:rtl/>
        </w:rPr>
      </w:pPr>
      <w:hyperlink r:id="rId7" w:history="1">
        <w:r w:rsidRPr="00164841">
          <w:rPr>
            <w:rStyle w:val="Hyperlink"/>
            <w:rFonts w:cs="FrankRuehl" w:hint="cs"/>
            <w:vanish/>
            <w:szCs w:val="20"/>
            <w:shd w:val="clear" w:color="auto" w:fill="FFFF99"/>
            <w:rtl/>
          </w:rPr>
          <w:t>ק"ת תשנ"ח מס' 5871</w:t>
        </w:r>
      </w:hyperlink>
      <w:r w:rsidRPr="00164841">
        <w:rPr>
          <w:rFonts w:cs="FrankRuehl" w:hint="cs"/>
          <w:vanish/>
          <w:szCs w:val="20"/>
          <w:shd w:val="clear" w:color="auto" w:fill="FFFF99"/>
          <w:rtl/>
        </w:rPr>
        <w:t xml:space="preserve"> מיום 1.1.1998 עמ' 252</w:t>
      </w:r>
    </w:p>
    <w:p w:rsidR="00771318" w:rsidRPr="00164841" w:rsidRDefault="00771318" w:rsidP="00771318">
      <w:pPr>
        <w:pStyle w:val="P00"/>
        <w:ind w:left="0" w:right="1134"/>
        <w:rPr>
          <w:rStyle w:val="default"/>
          <w:rFonts w:cs="FrankRuehl"/>
          <w:vanish/>
          <w:sz w:val="22"/>
          <w:szCs w:val="22"/>
          <w:shd w:val="clear" w:color="auto" w:fill="FFFF99"/>
          <w:rtl/>
        </w:rPr>
      </w:pPr>
      <w:r w:rsidRPr="00164841">
        <w:rPr>
          <w:rFonts w:cs="FrankRuehl"/>
          <w:vanish/>
          <w:sz w:val="22"/>
          <w:szCs w:val="22"/>
          <w:shd w:val="clear" w:color="auto" w:fill="FFFF99"/>
          <w:rtl/>
        </w:rPr>
        <w:tab/>
      </w:r>
      <w:r w:rsidRPr="00164841">
        <w:rPr>
          <w:rStyle w:val="default"/>
          <w:rFonts w:cs="FrankRuehl"/>
          <w:vanish/>
          <w:sz w:val="22"/>
          <w:szCs w:val="22"/>
          <w:shd w:val="clear" w:color="auto" w:fill="FFFF99"/>
          <w:rtl/>
        </w:rPr>
        <w:t>(ב)</w:t>
      </w:r>
      <w:r w:rsidRPr="00164841">
        <w:rPr>
          <w:rStyle w:val="default"/>
          <w:rFonts w:cs="FrankRuehl"/>
          <w:vanish/>
          <w:sz w:val="22"/>
          <w:szCs w:val="22"/>
          <w:shd w:val="clear" w:color="auto" w:fill="FFFF99"/>
          <w:rtl/>
        </w:rPr>
        <w:tab/>
        <w:t>מוסד ציבורי שאינו חברה רשאי להגיש מאזן ודו"ח הכנסות והוצאות כאמור בתקנת משנה (א)(1) כשאלו אינם מבוקרים בידי רואה חשבון או פקיד ברית פיקוח וכן רשאי להגיש דו"ח כאמור בתקנת משנה (א)(2) אף ללא האישור כאמור בתקנת משנה זו, אולם אלו יהיו חתומים בידי ועדת הביקורת או הגוף המבקר, אם המוסד הציבורי הוא עמותה, ובידי מנהלי המוסד הציבורי או נאמניו בכל מקרה אחר ובלבד שנתקיימו כל אלה:</w:t>
      </w:r>
    </w:p>
    <w:p w:rsidR="00771318" w:rsidRPr="00771318" w:rsidRDefault="00771318" w:rsidP="00771318">
      <w:pPr>
        <w:pStyle w:val="P22"/>
        <w:spacing w:before="0"/>
        <w:ind w:left="1021" w:right="1134"/>
        <w:rPr>
          <w:rStyle w:val="default"/>
          <w:rFonts w:cs="FrankRuehl" w:hint="cs"/>
          <w:sz w:val="2"/>
          <w:szCs w:val="2"/>
          <w:shd w:val="clear" w:color="auto" w:fill="FFFF99"/>
          <w:rtl/>
        </w:rPr>
      </w:pPr>
      <w:r w:rsidRPr="00164841">
        <w:rPr>
          <w:rStyle w:val="default"/>
          <w:rFonts w:cs="FrankRuehl"/>
          <w:vanish/>
          <w:sz w:val="22"/>
          <w:szCs w:val="22"/>
          <w:shd w:val="clear" w:color="auto" w:fill="FFFF99"/>
          <w:rtl/>
        </w:rPr>
        <w:t>(1)</w:t>
      </w:r>
      <w:r w:rsidRPr="00164841">
        <w:rPr>
          <w:rStyle w:val="default"/>
          <w:rFonts w:cs="FrankRuehl"/>
          <w:vanish/>
          <w:sz w:val="22"/>
          <w:szCs w:val="22"/>
          <w:shd w:val="clear" w:color="auto" w:fill="FFFF99"/>
          <w:rtl/>
        </w:rPr>
        <w:tab/>
        <w:t>מחזורו בשנת המס שלגביה מוגש הדו"ח אינו עולה על</w:t>
      </w:r>
      <w:r w:rsidRPr="00164841">
        <w:rPr>
          <w:rStyle w:val="default"/>
          <w:rFonts w:cs="FrankRuehl" w:hint="cs"/>
          <w:vanish/>
          <w:sz w:val="22"/>
          <w:szCs w:val="22"/>
          <w:shd w:val="clear" w:color="auto" w:fill="FFFF99"/>
          <w:rtl/>
        </w:rPr>
        <w:t xml:space="preserve"> </w:t>
      </w:r>
      <w:r w:rsidRPr="00164841">
        <w:rPr>
          <w:rStyle w:val="default"/>
          <w:rFonts w:cs="FrankRuehl" w:hint="cs"/>
          <w:strike/>
          <w:vanish/>
          <w:sz w:val="22"/>
          <w:szCs w:val="22"/>
          <w:shd w:val="clear" w:color="auto" w:fill="FFFF99"/>
          <w:rtl/>
        </w:rPr>
        <w:t>150,000 שקלים חדשים</w:t>
      </w:r>
      <w:r w:rsidRPr="00164841">
        <w:rPr>
          <w:rStyle w:val="default"/>
          <w:rFonts w:cs="FrankRuehl"/>
          <w:vanish/>
          <w:sz w:val="22"/>
          <w:szCs w:val="22"/>
          <w:shd w:val="clear" w:color="auto" w:fill="FFFF99"/>
          <w:rtl/>
        </w:rPr>
        <w:t xml:space="preserve"> </w:t>
      </w:r>
      <w:r w:rsidRPr="00164841">
        <w:rPr>
          <w:rStyle w:val="default"/>
          <w:rFonts w:cs="FrankRuehl"/>
          <w:vanish/>
          <w:sz w:val="22"/>
          <w:szCs w:val="22"/>
          <w:u w:val="single"/>
          <w:shd w:val="clear" w:color="auto" w:fill="FFFF99"/>
          <w:rtl/>
        </w:rPr>
        <w:t>500,000 שקלים חדשים</w:t>
      </w:r>
      <w:r w:rsidRPr="00164841">
        <w:rPr>
          <w:rStyle w:val="default"/>
          <w:rFonts w:cs="FrankRuehl"/>
          <w:vanish/>
          <w:sz w:val="22"/>
          <w:szCs w:val="22"/>
          <w:shd w:val="clear" w:color="auto" w:fill="FFFF99"/>
          <w:rtl/>
        </w:rPr>
        <w:t>;</w:t>
      </w:r>
      <w:bookmarkEnd w:id="2"/>
    </w:p>
    <w:p w:rsidR="009A7226" w:rsidRPr="001B580F" w:rsidRDefault="009A7226">
      <w:pPr>
        <w:pStyle w:val="P00"/>
        <w:spacing w:before="72"/>
        <w:ind w:left="0" w:right="1134"/>
        <w:rPr>
          <w:rStyle w:val="default"/>
          <w:rFonts w:cs="FrankRuehl"/>
          <w:rtl/>
        </w:rPr>
      </w:pPr>
      <w:bookmarkStart w:id="3" w:name="Seif3"/>
      <w:bookmarkEnd w:id="3"/>
      <w:r w:rsidRPr="001B580F">
        <w:rPr>
          <w:rFonts w:cs="Miriam"/>
          <w:lang w:val="he-IL"/>
        </w:rPr>
        <w:pict>
          <v:rect id="_x0000_s1029" style="position:absolute;left:0;text-align:left;margin-left:464.5pt;margin-top:8.05pt;width:75.05pt;height:26.55pt;z-index:251658240" o:allowincell="f" filled="f" stroked="f" strokecolor="lime" strokeweight=".25pt">
            <v:textbox inset="0,0,0,0">
              <w:txbxContent>
                <w:p w:rsidR="009A7226" w:rsidRDefault="009A7226">
                  <w:pPr>
                    <w:spacing w:line="160" w:lineRule="exact"/>
                    <w:rPr>
                      <w:rFonts w:cs="Miriam"/>
                      <w:noProof/>
                      <w:sz w:val="18"/>
                      <w:szCs w:val="18"/>
                      <w:rtl/>
                    </w:rPr>
                  </w:pPr>
                  <w:r>
                    <w:rPr>
                      <w:rFonts w:cs="Miriam"/>
                      <w:sz w:val="18"/>
                      <w:szCs w:val="18"/>
                      <w:rtl/>
                    </w:rPr>
                    <w:t>תח</w:t>
                  </w:r>
                  <w:r>
                    <w:rPr>
                      <w:rFonts w:cs="Miriam" w:hint="cs"/>
                      <w:sz w:val="18"/>
                      <w:szCs w:val="18"/>
                      <w:rtl/>
                    </w:rPr>
                    <w:t>ולה והוראת מעבר</w:t>
                  </w:r>
                </w:p>
                <w:p w:rsidR="009A7226" w:rsidRDefault="009A7226">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sidR="00C56895">
                    <w:rPr>
                      <w:rFonts w:cs="Miriam"/>
                      <w:sz w:val="18"/>
                      <w:szCs w:val="18"/>
                      <w:rtl/>
                    </w:rPr>
                    <w:br/>
                  </w:r>
                  <w:r>
                    <w:rPr>
                      <w:rFonts w:cs="Miriam" w:hint="cs"/>
                      <w:sz w:val="18"/>
                      <w:szCs w:val="18"/>
                      <w:rtl/>
                    </w:rPr>
                    <w:t>תשנ"ח</w:t>
                  </w:r>
                  <w:r w:rsidR="00C56895">
                    <w:rPr>
                      <w:rFonts w:cs="Miriam" w:hint="cs"/>
                      <w:sz w:val="18"/>
                      <w:szCs w:val="18"/>
                      <w:rtl/>
                    </w:rPr>
                    <w:t>-</w:t>
                  </w:r>
                  <w:r>
                    <w:rPr>
                      <w:rFonts w:cs="Miriam"/>
                      <w:sz w:val="18"/>
                      <w:szCs w:val="18"/>
                      <w:rtl/>
                    </w:rPr>
                    <w:t>1998</w:t>
                  </w:r>
                </w:p>
              </w:txbxContent>
            </v:textbox>
            <w10:anchorlock/>
          </v:rect>
        </w:pict>
      </w:r>
      <w:r w:rsidRPr="001B580F">
        <w:rPr>
          <w:rStyle w:val="big-number"/>
          <w:rFonts w:cs="Miriam"/>
          <w:rtl/>
        </w:rPr>
        <w:t>3</w:t>
      </w:r>
      <w:r w:rsidRPr="001B580F">
        <w:rPr>
          <w:rStyle w:val="big-number"/>
          <w:rFonts w:cs="FrankRuehl"/>
          <w:rtl/>
        </w:rPr>
        <w:t>.</w:t>
      </w:r>
      <w:r w:rsidRPr="001B580F">
        <w:rPr>
          <w:rStyle w:val="big-number"/>
          <w:rFonts w:cs="FrankRuehl"/>
          <w:rtl/>
        </w:rPr>
        <w:tab/>
      </w:r>
      <w:r w:rsidRPr="001B580F">
        <w:rPr>
          <w:rStyle w:val="default"/>
          <w:rFonts w:cs="FrankRuehl"/>
          <w:rtl/>
        </w:rPr>
        <w:t>(א)</w:t>
      </w:r>
      <w:r w:rsidRPr="001B580F">
        <w:rPr>
          <w:rStyle w:val="default"/>
          <w:rFonts w:cs="FrankRuehl"/>
          <w:rtl/>
        </w:rPr>
        <w:tab/>
        <w:t>תחולתן של תקנות אלה לגבי דו"חות שהוגשו לשנת המס 1996 ואילך.</w:t>
      </w:r>
    </w:p>
    <w:p w:rsidR="009A7226" w:rsidRDefault="009A7226">
      <w:pPr>
        <w:pStyle w:val="P00"/>
        <w:spacing w:before="72"/>
        <w:ind w:left="0" w:right="1134"/>
        <w:rPr>
          <w:rStyle w:val="default"/>
          <w:rtl/>
        </w:rPr>
      </w:pPr>
    </w:p>
    <w:p w:rsidR="009A7226" w:rsidRDefault="009A7226">
      <w:pPr>
        <w:pStyle w:val="P00"/>
        <w:spacing w:before="72"/>
        <w:ind w:left="0" w:right="1134"/>
        <w:rPr>
          <w:rFonts w:cs="FrankRuehl" w:hint="cs"/>
          <w:sz w:val="26"/>
          <w:rtl/>
        </w:rPr>
      </w:pPr>
      <w:r>
        <w:rPr>
          <w:lang w:val="he-IL"/>
        </w:rPr>
        <w:pict>
          <v:rect id="_x0000_s1030" style="position:absolute;left:0;text-align:left;margin-left:464.5pt;margin-top:8.05pt;width:75.05pt;height:20.55pt;z-index:251659264" o:allowincell="f" filled="f" stroked="f" strokecolor="lime" strokeweight=".25pt">
            <v:textbox style="mso-next-textbox:#_x0000_s1030" inset="0,0,0,0">
              <w:txbxContent>
                <w:p w:rsidR="009A7226" w:rsidRDefault="009A7226">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sidR="00C56895">
                    <w:rPr>
                      <w:rFonts w:cs="Miriam"/>
                      <w:sz w:val="18"/>
                      <w:szCs w:val="18"/>
                      <w:rtl/>
                    </w:rPr>
                    <w:br/>
                  </w:r>
                  <w:r>
                    <w:rPr>
                      <w:rFonts w:cs="Miriam" w:hint="cs"/>
                      <w:sz w:val="18"/>
                      <w:szCs w:val="18"/>
                      <w:rtl/>
                    </w:rPr>
                    <w:t>תשנ"</w:t>
                  </w:r>
                  <w:r w:rsidR="00C56895">
                    <w:rPr>
                      <w:rFonts w:cs="Miriam"/>
                      <w:sz w:val="18"/>
                      <w:szCs w:val="18"/>
                      <w:rtl/>
                    </w:rPr>
                    <w:t>ח</w:t>
                  </w:r>
                  <w:r w:rsidR="00C56895">
                    <w:rPr>
                      <w:rFonts w:cs="Miriam" w:hint="cs"/>
                      <w:sz w:val="18"/>
                      <w:szCs w:val="18"/>
                      <w:rtl/>
                    </w:rPr>
                    <w:t>-</w:t>
                  </w:r>
                  <w:r>
                    <w:rPr>
                      <w:rFonts w:cs="Miriam"/>
                      <w:sz w:val="18"/>
                      <w:szCs w:val="18"/>
                      <w:rtl/>
                    </w:rPr>
                    <w:t>1998</w:t>
                  </w:r>
                </w:p>
              </w:txbxContent>
            </v:textbox>
            <w10:anchorlock/>
          </v:rect>
        </w:pict>
      </w:r>
      <w:r>
        <w:rPr>
          <w:rFonts w:cs="FrankRuehl"/>
          <w:sz w:val="26"/>
          <w:rtl/>
        </w:rPr>
        <w:tab/>
        <w:t>(</w:t>
      </w:r>
      <w:r>
        <w:rPr>
          <w:rFonts w:cs="FrankRuehl" w:hint="cs"/>
          <w:sz w:val="26"/>
          <w:rtl/>
        </w:rPr>
        <w:t>ב)</w:t>
      </w:r>
      <w:r>
        <w:rPr>
          <w:rFonts w:cs="FrankRuehl"/>
          <w:sz w:val="26"/>
          <w:rtl/>
        </w:rPr>
        <w:tab/>
        <w:t>ע</w:t>
      </w:r>
      <w:r>
        <w:rPr>
          <w:rFonts w:cs="FrankRuehl" w:hint="cs"/>
          <w:sz w:val="26"/>
          <w:rtl/>
        </w:rPr>
        <w:t>ל אף האמור בתקנת משנה (א) יראו כהגשת דוחות לשנת המס 1996 גם הגשת דוח לפי סעיף 131(ב) ו-(ג) לפקודה.</w:t>
      </w:r>
    </w:p>
    <w:p w:rsidR="00C56895" w:rsidRPr="00164841" w:rsidRDefault="00C56895" w:rsidP="00C56895">
      <w:pPr>
        <w:pStyle w:val="P00"/>
        <w:tabs>
          <w:tab w:val="clear" w:pos="6259"/>
        </w:tabs>
        <w:spacing w:before="0"/>
        <w:ind w:left="0" w:right="1134"/>
        <w:rPr>
          <w:rFonts w:cs="FrankRuehl" w:hint="cs"/>
          <w:vanish/>
          <w:szCs w:val="20"/>
          <w:shd w:val="clear" w:color="auto" w:fill="FFFF99"/>
          <w:rtl/>
        </w:rPr>
      </w:pPr>
      <w:bookmarkStart w:id="4" w:name="Rov6"/>
      <w:r w:rsidRPr="00164841">
        <w:rPr>
          <w:rFonts w:cs="FrankRuehl" w:hint="cs"/>
          <w:vanish/>
          <w:color w:val="FF0000"/>
          <w:szCs w:val="20"/>
          <w:shd w:val="clear" w:color="auto" w:fill="FFFF99"/>
          <w:rtl/>
        </w:rPr>
        <w:t>מיום 14.5.1998</w:t>
      </w:r>
    </w:p>
    <w:p w:rsidR="00C56895" w:rsidRPr="00164841" w:rsidRDefault="00C56895" w:rsidP="00C56895">
      <w:pPr>
        <w:pStyle w:val="P00"/>
        <w:spacing w:before="0"/>
        <w:ind w:left="0" w:right="1134"/>
        <w:rPr>
          <w:rFonts w:cs="FrankRuehl" w:hint="cs"/>
          <w:b/>
          <w:bCs/>
          <w:vanish/>
          <w:szCs w:val="20"/>
          <w:shd w:val="clear" w:color="auto" w:fill="FFFF99"/>
          <w:rtl/>
        </w:rPr>
      </w:pPr>
      <w:r w:rsidRPr="00164841">
        <w:rPr>
          <w:rFonts w:cs="FrankRuehl" w:hint="cs"/>
          <w:b/>
          <w:bCs/>
          <w:vanish/>
          <w:szCs w:val="20"/>
          <w:shd w:val="clear" w:color="auto" w:fill="FFFF99"/>
          <w:rtl/>
        </w:rPr>
        <w:t>תק' (מס' 2) תשנ"ח-1998</w:t>
      </w:r>
    </w:p>
    <w:p w:rsidR="00C56895" w:rsidRPr="00164841" w:rsidRDefault="00C56895" w:rsidP="00C56895">
      <w:pPr>
        <w:pStyle w:val="P00"/>
        <w:spacing w:before="0"/>
        <w:ind w:left="0" w:right="1134"/>
        <w:rPr>
          <w:rFonts w:cs="FrankRuehl" w:hint="cs"/>
          <w:vanish/>
          <w:szCs w:val="20"/>
          <w:shd w:val="clear" w:color="auto" w:fill="FFFF99"/>
          <w:rtl/>
        </w:rPr>
      </w:pPr>
      <w:hyperlink r:id="rId8" w:history="1">
        <w:r w:rsidRPr="00164841">
          <w:rPr>
            <w:rStyle w:val="Hyperlink"/>
            <w:rFonts w:cs="FrankRuehl" w:hint="cs"/>
            <w:vanish/>
            <w:szCs w:val="20"/>
            <w:shd w:val="clear" w:color="auto" w:fill="FFFF99"/>
            <w:rtl/>
          </w:rPr>
          <w:t>ק"ת תשנ"ח מס' 5899</w:t>
        </w:r>
      </w:hyperlink>
      <w:r w:rsidRPr="00164841">
        <w:rPr>
          <w:rFonts w:cs="FrankRuehl" w:hint="cs"/>
          <w:vanish/>
          <w:szCs w:val="20"/>
          <w:shd w:val="clear" w:color="auto" w:fill="FFFF99"/>
          <w:rtl/>
        </w:rPr>
        <w:t xml:space="preserve"> מיום 14.5.1998 עמ' 717</w:t>
      </w:r>
    </w:p>
    <w:p w:rsidR="00C56895" w:rsidRPr="00164841" w:rsidRDefault="00C56895" w:rsidP="00C56895">
      <w:pPr>
        <w:pStyle w:val="P00"/>
        <w:ind w:left="0" w:right="1134"/>
        <w:rPr>
          <w:rFonts w:cs="Miriam" w:hint="cs"/>
          <w:vanish/>
          <w:sz w:val="16"/>
          <w:szCs w:val="16"/>
          <w:u w:val="single"/>
          <w:shd w:val="clear" w:color="auto" w:fill="FFFF99"/>
          <w:rtl/>
        </w:rPr>
      </w:pPr>
      <w:r w:rsidRPr="00164841">
        <w:rPr>
          <w:rFonts w:cs="Miriam" w:hint="cs"/>
          <w:strike/>
          <w:vanish/>
          <w:sz w:val="16"/>
          <w:szCs w:val="16"/>
          <w:shd w:val="clear" w:color="auto" w:fill="FFFF99"/>
          <w:rtl/>
        </w:rPr>
        <w:t>תחולה</w:t>
      </w:r>
      <w:r w:rsidRPr="00164841">
        <w:rPr>
          <w:rFonts w:cs="Miriam" w:hint="cs"/>
          <w:vanish/>
          <w:sz w:val="16"/>
          <w:szCs w:val="16"/>
          <w:shd w:val="clear" w:color="auto" w:fill="FFFF99"/>
          <w:rtl/>
        </w:rPr>
        <w:t xml:space="preserve"> </w:t>
      </w:r>
      <w:r w:rsidRPr="00164841">
        <w:rPr>
          <w:rFonts w:cs="Miriam" w:hint="cs"/>
          <w:vanish/>
          <w:sz w:val="16"/>
          <w:szCs w:val="16"/>
          <w:u w:val="single"/>
          <w:shd w:val="clear" w:color="auto" w:fill="FFFF99"/>
          <w:rtl/>
        </w:rPr>
        <w:t>תחולה והוראת מעבר</w:t>
      </w:r>
    </w:p>
    <w:p w:rsidR="00C56895" w:rsidRPr="00164841" w:rsidRDefault="00C56895" w:rsidP="00C56895">
      <w:pPr>
        <w:pStyle w:val="P00"/>
        <w:spacing w:before="0"/>
        <w:ind w:left="0" w:right="1134"/>
        <w:rPr>
          <w:rStyle w:val="default"/>
          <w:rFonts w:cs="FrankRuehl"/>
          <w:vanish/>
          <w:sz w:val="22"/>
          <w:szCs w:val="22"/>
          <w:shd w:val="clear" w:color="auto" w:fill="FFFF99"/>
          <w:rtl/>
        </w:rPr>
      </w:pPr>
      <w:r w:rsidRPr="00164841">
        <w:rPr>
          <w:rStyle w:val="big-number"/>
          <w:rFonts w:cs="FrankRuehl"/>
          <w:vanish/>
          <w:sz w:val="22"/>
          <w:szCs w:val="22"/>
          <w:shd w:val="clear" w:color="auto" w:fill="FFFF99"/>
          <w:rtl/>
        </w:rPr>
        <w:t>3.</w:t>
      </w:r>
      <w:r w:rsidRPr="00164841">
        <w:rPr>
          <w:rStyle w:val="big-number"/>
          <w:rFonts w:cs="FrankRuehl"/>
          <w:vanish/>
          <w:sz w:val="22"/>
          <w:szCs w:val="22"/>
          <w:shd w:val="clear" w:color="auto" w:fill="FFFF99"/>
          <w:rtl/>
        </w:rPr>
        <w:tab/>
      </w:r>
      <w:r w:rsidRPr="00164841">
        <w:rPr>
          <w:rStyle w:val="default"/>
          <w:rFonts w:cs="FrankRuehl"/>
          <w:vanish/>
          <w:sz w:val="22"/>
          <w:szCs w:val="22"/>
          <w:u w:val="single"/>
          <w:shd w:val="clear" w:color="auto" w:fill="FFFF99"/>
          <w:rtl/>
        </w:rPr>
        <w:t>(א)</w:t>
      </w:r>
      <w:r w:rsidRPr="00164841">
        <w:rPr>
          <w:rStyle w:val="default"/>
          <w:rFonts w:cs="FrankRuehl"/>
          <w:vanish/>
          <w:sz w:val="22"/>
          <w:szCs w:val="22"/>
          <w:shd w:val="clear" w:color="auto" w:fill="FFFF99"/>
          <w:rtl/>
        </w:rPr>
        <w:tab/>
        <w:t>תחולתן של תקנות אלה לגבי דו"חות שהוגשו לשנת המס 1996 ואילך.</w:t>
      </w:r>
    </w:p>
    <w:p w:rsidR="00C56895" w:rsidRPr="00AA6ABC" w:rsidRDefault="00C56895" w:rsidP="00C56895">
      <w:pPr>
        <w:pStyle w:val="P00"/>
        <w:spacing w:before="0"/>
        <w:ind w:left="0" w:right="1134"/>
        <w:rPr>
          <w:rFonts w:cs="FrankRuehl" w:hint="cs"/>
          <w:sz w:val="2"/>
          <w:szCs w:val="2"/>
          <w:u w:val="single"/>
          <w:rtl/>
        </w:rPr>
      </w:pPr>
      <w:r w:rsidRPr="00164841">
        <w:rPr>
          <w:rFonts w:cs="FrankRuehl"/>
          <w:vanish/>
          <w:sz w:val="22"/>
          <w:szCs w:val="22"/>
          <w:shd w:val="clear" w:color="auto" w:fill="FFFF99"/>
          <w:rtl/>
        </w:rPr>
        <w:tab/>
      </w:r>
      <w:r w:rsidRPr="00164841">
        <w:rPr>
          <w:rFonts w:cs="FrankRuehl"/>
          <w:vanish/>
          <w:sz w:val="22"/>
          <w:szCs w:val="22"/>
          <w:u w:val="single"/>
          <w:shd w:val="clear" w:color="auto" w:fill="FFFF99"/>
          <w:rtl/>
        </w:rPr>
        <w:t>(</w:t>
      </w:r>
      <w:r w:rsidRPr="00164841">
        <w:rPr>
          <w:rFonts w:cs="FrankRuehl" w:hint="cs"/>
          <w:vanish/>
          <w:sz w:val="22"/>
          <w:szCs w:val="22"/>
          <w:u w:val="single"/>
          <w:shd w:val="clear" w:color="auto" w:fill="FFFF99"/>
          <w:rtl/>
        </w:rPr>
        <w:t>ב)</w:t>
      </w:r>
      <w:r w:rsidRPr="00164841">
        <w:rPr>
          <w:rFonts w:cs="FrankRuehl"/>
          <w:vanish/>
          <w:sz w:val="22"/>
          <w:szCs w:val="22"/>
          <w:u w:val="single"/>
          <w:shd w:val="clear" w:color="auto" w:fill="FFFF99"/>
          <w:rtl/>
        </w:rPr>
        <w:tab/>
        <w:t>ע</w:t>
      </w:r>
      <w:r w:rsidRPr="00164841">
        <w:rPr>
          <w:rFonts w:cs="FrankRuehl" w:hint="cs"/>
          <w:vanish/>
          <w:sz w:val="22"/>
          <w:szCs w:val="22"/>
          <w:u w:val="single"/>
          <w:shd w:val="clear" w:color="auto" w:fill="FFFF99"/>
          <w:rtl/>
        </w:rPr>
        <w:t>ל אף האמור בתקנת משנה (א) יראו כהגשת דוחות לשנת המס 1996 גם הגשת דוח לפי סעיף 131(ב) ו-(ג) לפקודה.</w:t>
      </w:r>
      <w:bookmarkEnd w:id="4"/>
    </w:p>
    <w:p w:rsidR="00C56895" w:rsidRDefault="00C56895">
      <w:pPr>
        <w:pStyle w:val="P00"/>
        <w:spacing w:before="72"/>
        <w:ind w:left="0" w:right="1134"/>
        <w:rPr>
          <w:rFonts w:cs="FrankRuehl" w:hint="cs"/>
          <w:sz w:val="26"/>
          <w:rtl/>
        </w:rPr>
      </w:pPr>
    </w:p>
    <w:p w:rsidR="009A7226" w:rsidRPr="00164841" w:rsidRDefault="009A7226" w:rsidP="00164841">
      <w:pPr>
        <w:pStyle w:val="medium-header"/>
        <w:keepNext w:val="0"/>
        <w:keepLines w:val="0"/>
        <w:ind w:left="0" w:right="1134"/>
        <w:rPr>
          <w:rFonts w:cs="FrankRuehl"/>
          <w:b/>
          <w:bCs/>
          <w:sz w:val="24"/>
          <w:szCs w:val="24"/>
          <w:rtl/>
        </w:rPr>
      </w:pPr>
      <w:r w:rsidRPr="00164841">
        <w:rPr>
          <w:rFonts w:cs="FrankRuehl"/>
          <w:b/>
          <w:bCs/>
          <w:sz w:val="24"/>
          <w:szCs w:val="24"/>
        </w:rPr>
        <w:pict>
          <v:rect id="_x0000_s1031" style="position:absolute;left:0;text-align:left;margin-left:464.5pt;margin-top:8.05pt;width:75.05pt;height:19.75pt;z-index:251660288" o:allowincell="f" filled="f" stroked="f" strokecolor="lime" strokeweight=".25pt">
            <v:textbox inset="0,0,0,0">
              <w:txbxContent>
                <w:p w:rsidR="009A7226" w:rsidRDefault="009A7226">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sidR="00C56895">
                    <w:rPr>
                      <w:rFonts w:cs="Miriam"/>
                      <w:sz w:val="18"/>
                      <w:szCs w:val="18"/>
                      <w:rtl/>
                    </w:rPr>
                    <w:br/>
                  </w:r>
                  <w:r>
                    <w:rPr>
                      <w:rFonts w:cs="Miriam" w:hint="cs"/>
                      <w:sz w:val="18"/>
                      <w:szCs w:val="18"/>
                      <w:rtl/>
                    </w:rPr>
                    <w:t>תשנ"ח</w:t>
                  </w:r>
                  <w:r w:rsidR="00C56895">
                    <w:rPr>
                      <w:rFonts w:cs="Miriam" w:hint="cs"/>
                      <w:sz w:val="18"/>
                      <w:szCs w:val="18"/>
                      <w:rtl/>
                    </w:rPr>
                    <w:t>-</w:t>
                  </w:r>
                  <w:r>
                    <w:rPr>
                      <w:rFonts w:cs="Miriam"/>
                      <w:sz w:val="18"/>
                      <w:szCs w:val="18"/>
                      <w:rtl/>
                    </w:rPr>
                    <w:t>1998</w:t>
                  </w:r>
                </w:p>
              </w:txbxContent>
            </v:textbox>
            <w10:anchorlock/>
          </v:rect>
        </w:pict>
      </w:r>
      <w:r w:rsidRPr="00164841">
        <w:rPr>
          <w:rFonts w:cs="FrankRuehl"/>
          <w:b/>
          <w:bCs/>
          <w:sz w:val="24"/>
          <w:szCs w:val="24"/>
          <w:rtl/>
        </w:rPr>
        <w:t>תו</w:t>
      </w:r>
      <w:r w:rsidRPr="00164841">
        <w:rPr>
          <w:rFonts w:cs="FrankRuehl" w:hint="cs"/>
          <w:b/>
          <w:bCs/>
          <w:sz w:val="24"/>
          <w:szCs w:val="24"/>
          <w:rtl/>
        </w:rPr>
        <w:t>ספת ראשונה</w:t>
      </w:r>
    </w:p>
    <w:p w:rsidR="009A7226" w:rsidRPr="00164841" w:rsidRDefault="009A7226" w:rsidP="00164841">
      <w:pPr>
        <w:pStyle w:val="P00"/>
        <w:spacing w:before="72"/>
        <w:ind w:left="0" w:right="1134"/>
        <w:jc w:val="center"/>
        <w:rPr>
          <w:rStyle w:val="default"/>
          <w:rFonts w:cs="FrankRuehl"/>
          <w:sz w:val="24"/>
          <w:szCs w:val="24"/>
          <w:rtl/>
        </w:rPr>
      </w:pPr>
      <w:r w:rsidRPr="00164841">
        <w:rPr>
          <w:rStyle w:val="default"/>
          <w:rFonts w:cs="FrankRuehl"/>
          <w:sz w:val="24"/>
          <w:szCs w:val="24"/>
          <w:rtl/>
        </w:rPr>
        <w:t>(ת</w:t>
      </w:r>
      <w:r w:rsidRPr="00164841">
        <w:rPr>
          <w:rStyle w:val="default"/>
          <w:rFonts w:cs="FrankRuehl" w:hint="cs"/>
          <w:sz w:val="24"/>
          <w:szCs w:val="24"/>
          <w:rtl/>
        </w:rPr>
        <w:t>קנה 2(א)(2))</w:t>
      </w:r>
    </w:p>
    <w:p w:rsidR="009A7226" w:rsidRPr="00164841" w:rsidRDefault="009A7226" w:rsidP="00164841">
      <w:pPr>
        <w:pStyle w:val="P00"/>
        <w:spacing w:before="72"/>
        <w:ind w:left="0" w:right="1134"/>
        <w:jc w:val="center"/>
        <w:rPr>
          <w:rStyle w:val="default"/>
          <w:rFonts w:cs="FrankRuehl"/>
          <w:b/>
          <w:bCs/>
          <w:sz w:val="22"/>
          <w:szCs w:val="22"/>
          <w:rtl/>
        </w:rPr>
      </w:pPr>
      <w:r w:rsidRPr="00164841">
        <w:rPr>
          <w:rStyle w:val="default"/>
          <w:rFonts w:cs="FrankRuehl" w:hint="cs"/>
          <w:b/>
          <w:bCs/>
          <w:sz w:val="22"/>
          <w:szCs w:val="22"/>
          <w:rtl/>
        </w:rPr>
        <w:t>א</w:t>
      </w:r>
      <w:r w:rsidRPr="00164841">
        <w:rPr>
          <w:rStyle w:val="default"/>
          <w:rFonts w:cs="FrankRuehl"/>
          <w:b/>
          <w:bCs/>
          <w:sz w:val="22"/>
          <w:szCs w:val="22"/>
          <w:rtl/>
        </w:rPr>
        <w:t>י</w:t>
      </w:r>
      <w:r w:rsidRPr="00164841">
        <w:rPr>
          <w:rStyle w:val="default"/>
          <w:rFonts w:cs="FrankRuehl" w:hint="cs"/>
          <w:b/>
          <w:bCs/>
          <w:sz w:val="22"/>
          <w:szCs w:val="22"/>
          <w:rtl/>
        </w:rPr>
        <w:t>שור ע</w:t>
      </w:r>
      <w:r w:rsidRPr="00164841">
        <w:rPr>
          <w:rStyle w:val="default"/>
          <w:rFonts w:cs="FrankRuehl"/>
          <w:b/>
          <w:bCs/>
          <w:sz w:val="22"/>
          <w:szCs w:val="22"/>
          <w:rtl/>
        </w:rPr>
        <w:t>ל</w:t>
      </w:r>
      <w:r w:rsidRPr="00164841">
        <w:rPr>
          <w:rStyle w:val="default"/>
          <w:rFonts w:cs="FrankRuehl" w:hint="cs"/>
          <w:b/>
          <w:bCs/>
          <w:sz w:val="22"/>
          <w:szCs w:val="22"/>
          <w:rtl/>
        </w:rPr>
        <w:t xml:space="preserve"> ידי רואה חשבון או פקיד ברית פיקוח</w:t>
      </w:r>
    </w:p>
    <w:p w:rsidR="009A7226" w:rsidRPr="00C56895" w:rsidRDefault="009A7226" w:rsidP="00771318">
      <w:pPr>
        <w:pStyle w:val="P00"/>
        <w:spacing w:before="72"/>
        <w:ind w:left="0" w:right="1134"/>
        <w:rPr>
          <w:rStyle w:val="default"/>
          <w:rFonts w:cs="FrankRuehl"/>
          <w:rtl/>
        </w:rPr>
      </w:pPr>
      <w:r w:rsidRPr="00C56895">
        <w:rPr>
          <w:rStyle w:val="default"/>
          <w:rFonts w:cs="FrankRuehl"/>
          <w:rtl/>
        </w:rPr>
        <w:t xml:space="preserve">בדקתי את חשבון ההתאמה של </w:t>
      </w:r>
      <w:r w:rsidR="00771318">
        <w:rPr>
          <w:rStyle w:val="default"/>
          <w:rFonts w:cs="FrankRuehl"/>
          <w:rtl/>
        </w:rPr>
        <w:fldChar w:fldCharType="begin">
          <w:ffData>
            <w:name w:val="Text2"/>
            <w:enabled/>
            <w:calcOnExit w:val="0"/>
            <w:textInput/>
          </w:ffData>
        </w:fldChar>
      </w:r>
      <w:bookmarkStart w:id="5" w:name="Text2"/>
      <w:r w:rsidR="00771318">
        <w:rPr>
          <w:rStyle w:val="default"/>
          <w:rFonts w:cs="FrankRuehl"/>
          <w:rtl/>
        </w:rPr>
        <w:instrText xml:space="preserve"> </w:instrText>
      </w:r>
      <w:r w:rsidR="00771318">
        <w:rPr>
          <w:rStyle w:val="default"/>
          <w:rFonts w:cs="FrankRuehl"/>
        </w:rPr>
        <w:instrText>FORMTEXT</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separate"/>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771318">
        <w:rPr>
          <w:rStyle w:val="default"/>
          <w:rFonts w:cs="FrankRuehl"/>
          <w:rtl/>
        </w:rPr>
        <w:fldChar w:fldCharType="end"/>
      </w:r>
      <w:bookmarkEnd w:id="5"/>
      <w:r w:rsidR="00771318">
        <w:rPr>
          <w:rStyle w:val="default"/>
          <w:rFonts w:cs="FrankRuehl" w:hint="cs"/>
          <w:rtl/>
        </w:rPr>
        <w:t xml:space="preserve"> </w:t>
      </w:r>
      <w:r w:rsidRPr="00C56895">
        <w:rPr>
          <w:rStyle w:val="default"/>
          <w:rFonts w:cs="FrankRuehl"/>
          <w:rtl/>
        </w:rPr>
        <w:t>לשנת המס</w:t>
      </w:r>
      <w:r w:rsidR="00771318">
        <w:rPr>
          <w:rStyle w:val="default"/>
          <w:rFonts w:cs="FrankRuehl" w:hint="cs"/>
          <w:rtl/>
        </w:rPr>
        <w:t xml:space="preserve"> </w:t>
      </w:r>
      <w:r w:rsidR="00771318">
        <w:rPr>
          <w:rStyle w:val="default"/>
          <w:rFonts w:cs="FrankRuehl"/>
          <w:rtl/>
        </w:rPr>
        <w:fldChar w:fldCharType="begin">
          <w:ffData>
            <w:name w:val="Text3"/>
            <w:enabled/>
            <w:calcOnExit w:val="0"/>
            <w:textInput/>
          </w:ffData>
        </w:fldChar>
      </w:r>
      <w:bookmarkStart w:id="6" w:name="Text3"/>
      <w:r w:rsidR="00771318">
        <w:rPr>
          <w:rStyle w:val="default"/>
          <w:rFonts w:cs="FrankRuehl"/>
          <w:rtl/>
        </w:rPr>
        <w:instrText xml:space="preserve"> </w:instrText>
      </w:r>
      <w:r w:rsidR="00771318">
        <w:rPr>
          <w:rStyle w:val="default"/>
          <w:rFonts w:cs="FrankRuehl"/>
        </w:rPr>
        <w:instrText>FORMTEXT</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separate"/>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771318">
        <w:rPr>
          <w:rStyle w:val="default"/>
          <w:rFonts w:cs="FrankRuehl"/>
          <w:rtl/>
        </w:rPr>
        <w:fldChar w:fldCharType="end"/>
      </w:r>
      <w:bookmarkEnd w:id="6"/>
      <w:r w:rsidRPr="00C56895">
        <w:rPr>
          <w:rStyle w:val="default"/>
          <w:rFonts w:cs="FrankRuehl"/>
          <w:rtl/>
        </w:rPr>
        <w:t xml:space="preserve"> (שאליו צורפו הטפסים המסומנים בחותמתנו לשם זיהוי), המתאם את עודף ההכנסות על ההוצאות לשנה שהסתיימה ביום 31 בדצמבר </w:t>
      </w:r>
      <w:r w:rsidR="00771318">
        <w:rPr>
          <w:rStyle w:val="default"/>
          <w:rFonts w:cs="FrankRuehl"/>
          <w:rtl/>
        </w:rPr>
        <w:fldChar w:fldCharType="begin">
          <w:ffData>
            <w:name w:val="Text1"/>
            <w:enabled/>
            <w:calcOnExit w:val="0"/>
            <w:textInput/>
          </w:ffData>
        </w:fldChar>
      </w:r>
      <w:bookmarkStart w:id="7" w:name="Text1"/>
      <w:r w:rsidR="00771318">
        <w:rPr>
          <w:rStyle w:val="default"/>
          <w:rFonts w:cs="FrankRuehl"/>
          <w:rtl/>
        </w:rPr>
        <w:instrText xml:space="preserve"> </w:instrText>
      </w:r>
      <w:r w:rsidR="00771318">
        <w:rPr>
          <w:rStyle w:val="default"/>
          <w:rFonts w:cs="FrankRuehl"/>
        </w:rPr>
        <w:instrText>FORMTEXT</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separate"/>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771318">
        <w:rPr>
          <w:rStyle w:val="default"/>
          <w:rFonts w:cs="FrankRuehl"/>
          <w:rtl/>
        </w:rPr>
        <w:fldChar w:fldCharType="end"/>
      </w:r>
      <w:bookmarkEnd w:id="7"/>
      <w:r w:rsidRPr="00C56895">
        <w:rPr>
          <w:rStyle w:val="default"/>
          <w:rFonts w:cs="FrankRuehl"/>
          <w:rtl/>
        </w:rPr>
        <w:t xml:space="preserve"> לסכום </w:t>
      </w:r>
      <w:r w:rsidR="00771318">
        <w:rPr>
          <w:rStyle w:val="default"/>
          <w:rFonts w:cs="FrankRuehl"/>
          <w:rtl/>
        </w:rPr>
        <w:fldChar w:fldCharType="begin">
          <w:ffData>
            <w:name w:val="Dropdown1"/>
            <w:enabled/>
            <w:calcOnExit w:val="0"/>
            <w:ddList>
              <w:listEntry w:val="ההכנסה"/>
              <w:listEntry w:val="ההפסד"/>
            </w:ddList>
          </w:ffData>
        </w:fldChar>
      </w:r>
      <w:bookmarkStart w:id="8" w:name="Dropdown1"/>
      <w:r w:rsidR="00771318">
        <w:rPr>
          <w:rStyle w:val="default"/>
          <w:rFonts w:cs="FrankRuehl"/>
          <w:rtl/>
        </w:rPr>
        <w:instrText xml:space="preserve"> </w:instrText>
      </w:r>
      <w:r w:rsidR="00771318">
        <w:rPr>
          <w:rStyle w:val="default"/>
          <w:rFonts w:cs="FrankRuehl"/>
        </w:rPr>
        <w:instrText>FORMDROPDOWN</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end"/>
      </w:r>
      <w:bookmarkEnd w:id="8"/>
      <w:r w:rsidRPr="00C56895">
        <w:rPr>
          <w:rStyle w:val="default"/>
          <w:rFonts w:cs="FrankRuehl"/>
          <w:rtl/>
        </w:rPr>
        <w:t xml:space="preserve"> שהוצהרו על ידו לצרכי מס הכנסה, לשנת המס האמורה.</w:t>
      </w:r>
    </w:p>
    <w:p w:rsidR="009A7226" w:rsidRPr="00C56895" w:rsidRDefault="009A7226" w:rsidP="00771318">
      <w:pPr>
        <w:pStyle w:val="P00"/>
        <w:spacing w:before="72"/>
        <w:ind w:left="0" w:right="1134"/>
        <w:rPr>
          <w:rStyle w:val="default"/>
          <w:rFonts w:cs="FrankRuehl"/>
          <w:rtl/>
        </w:rPr>
      </w:pPr>
      <w:r w:rsidRPr="00C56895">
        <w:rPr>
          <w:rStyle w:val="default"/>
          <w:rFonts w:cs="FrankRuehl"/>
          <w:rtl/>
        </w:rPr>
        <w:t>בדיקת ההוצאות המפורטות בתקנות מס הכנסה (ניכוי הוצאות מסוימות), תשל"ב</w:t>
      </w:r>
      <w:r w:rsidR="00771318">
        <w:rPr>
          <w:rStyle w:val="default"/>
          <w:rFonts w:cs="FrankRuehl" w:hint="cs"/>
          <w:rtl/>
        </w:rPr>
        <w:t>-</w:t>
      </w:r>
      <w:r w:rsidRPr="00C56895">
        <w:rPr>
          <w:rStyle w:val="default"/>
          <w:rFonts w:cs="FrankRuehl"/>
          <w:rtl/>
        </w:rPr>
        <w:t>1972, אופן עריכת החישובים הדרושים לפי סעיף 3(י) לפקודת מס הכנסה והתקיימות התנאים המפורטים בסעיף 32א לפקודת מס הכנסה, נעשו על פי המוסכם בין נציבות מס הכנסה לבין לשכת רואי חשבון בישראל.</w:t>
      </w:r>
    </w:p>
    <w:p w:rsidR="009A7226" w:rsidRDefault="009A7226">
      <w:pPr>
        <w:pStyle w:val="P00"/>
        <w:spacing w:before="72"/>
        <w:ind w:left="0" w:right="1134"/>
        <w:rPr>
          <w:rStyle w:val="default"/>
          <w:rFonts w:cs="FrankRuehl" w:hint="cs"/>
          <w:rtl/>
        </w:rPr>
      </w:pPr>
      <w:r w:rsidRPr="00C56895">
        <w:rPr>
          <w:rStyle w:val="default"/>
          <w:rFonts w:cs="FrankRuehl"/>
          <w:rtl/>
        </w:rPr>
        <w:t>אני מאשר שלפי דעתי ובכפוף לאמור לעיל, ההתאמה הנ"ל נערכה בהתאם להוראות פקודת מס הכנסה.</w:t>
      </w:r>
    </w:p>
    <w:p w:rsidR="00771318" w:rsidRDefault="00771318">
      <w:pPr>
        <w:pStyle w:val="P00"/>
        <w:spacing w:before="72"/>
        <w:ind w:left="0" w:right="1134"/>
        <w:rPr>
          <w:rStyle w:val="default"/>
          <w:rFonts w:cs="FrankRuehl" w:hint="cs"/>
          <w:rtl/>
        </w:rPr>
      </w:pPr>
    </w:p>
    <w:p w:rsidR="00771318" w:rsidRDefault="00771318" w:rsidP="00771318">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4"/>
            <w:enabled/>
            <w:calcOnExit w:val="0"/>
            <w:textInput>
              <w:default w:val="תאריך"/>
            </w:textInput>
          </w:ffData>
        </w:fldChar>
      </w:r>
      <w:bookmarkStart w:id="9"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645F0D" w:rsidRPr="00771318">
        <w:rPr>
          <w:rFonts w:cs="FrankRuehl"/>
          <w:sz w:val="26"/>
        </w:rPr>
      </w:r>
      <w:r>
        <w:rPr>
          <w:rStyle w:val="default"/>
          <w:rFonts w:cs="FrankRuehl"/>
          <w:rtl/>
        </w:rPr>
        <w:fldChar w:fldCharType="separate"/>
      </w:r>
      <w:r w:rsidR="006F69B0">
        <w:rPr>
          <w:rStyle w:val="default"/>
          <w:rFonts w:cs="FrankRuehl"/>
          <w:rtl/>
        </w:rPr>
        <w:t>תאריך</w:t>
      </w:r>
      <w:r>
        <w:rPr>
          <w:rStyle w:val="default"/>
          <w:rFonts w:cs="FrankRuehl"/>
          <w:rtl/>
        </w:rPr>
        <w:fldChar w:fldCharType="end"/>
      </w:r>
      <w:bookmarkEnd w:id="9"/>
      <w:r>
        <w:rPr>
          <w:rStyle w:val="default"/>
          <w:rFonts w:cs="FrankRuehl" w:hint="cs"/>
          <w:rtl/>
        </w:rPr>
        <w:tab/>
        <w:t>_______________</w:t>
      </w:r>
    </w:p>
    <w:p w:rsidR="00771318" w:rsidRPr="00771318" w:rsidRDefault="00771318" w:rsidP="00771318">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771318">
        <w:rPr>
          <w:rStyle w:val="default"/>
          <w:rFonts w:cs="FrankRuehl" w:hint="cs"/>
          <w:sz w:val="22"/>
          <w:szCs w:val="22"/>
          <w:rtl/>
        </w:rPr>
        <w:tab/>
      </w:r>
      <w:r w:rsidRPr="00771318">
        <w:rPr>
          <w:rStyle w:val="default"/>
          <w:rFonts w:cs="FrankRuehl" w:hint="cs"/>
          <w:sz w:val="22"/>
          <w:szCs w:val="22"/>
          <w:rtl/>
        </w:rPr>
        <w:tab/>
        <w:t>חתימה</w:t>
      </w:r>
    </w:p>
    <w:p w:rsidR="009A7226" w:rsidRPr="00C56895" w:rsidRDefault="009A7226" w:rsidP="00C56895">
      <w:pPr>
        <w:pStyle w:val="P00"/>
        <w:spacing w:before="72"/>
        <w:ind w:left="0" w:right="1134"/>
        <w:rPr>
          <w:rFonts w:cs="FrankRuehl"/>
          <w:sz w:val="26"/>
          <w:rtl/>
        </w:rPr>
      </w:pPr>
    </w:p>
    <w:p w:rsidR="009A7226" w:rsidRPr="00164841" w:rsidRDefault="009A7226" w:rsidP="00164841">
      <w:pPr>
        <w:pStyle w:val="medium-header"/>
        <w:keepNext w:val="0"/>
        <w:keepLines w:val="0"/>
        <w:ind w:left="0" w:right="1134"/>
        <w:rPr>
          <w:rFonts w:cs="FrankRuehl"/>
          <w:b/>
          <w:bCs/>
          <w:sz w:val="24"/>
          <w:szCs w:val="24"/>
          <w:rtl/>
        </w:rPr>
      </w:pPr>
      <w:r w:rsidRPr="00164841">
        <w:rPr>
          <w:rFonts w:cs="FrankRuehl"/>
          <w:b/>
          <w:bCs/>
          <w:sz w:val="24"/>
          <w:szCs w:val="24"/>
          <w:rtl/>
        </w:rPr>
        <w:t>תו</w:t>
      </w:r>
      <w:r w:rsidRPr="00164841">
        <w:rPr>
          <w:rFonts w:cs="FrankRuehl" w:hint="cs"/>
          <w:b/>
          <w:bCs/>
          <w:sz w:val="24"/>
          <w:szCs w:val="24"/>
          <w:rtl/>
        </w:rPr>
        <w:t>ספת שניה</w:t>
      </w:r>
    </w:p>
    <w:p w:rsidR="009A7226" w:rsidRPr="00164841" w:rsidRDefault="009A7226" w:rsidP="00164841">
      <w:pPr>
        <w:pStyle w:val="P00"/>
        <w:spacing w:before="72"/>
        <w:ind w:left="0" w:right="1134"/>
        <w:jc w:val="center"/>
        <w:rPr>
          <w:rStyle w:val="default"/>
          <w:rFonts w:cs="FrankRuehl"/>
          <w:sz w:val="24"/>
          <w:szCs w:val="24"/>
          <w:rtl/>
        </w:rPr>
      </w:pPr>
      <w:r w:rsidRPr="00164841">
        <w:rPr>
          <w:rStyle w:val="default"/>
          <w:rFonts w:cs="FrankRuehl"/>
          <w:sz w:val="24"/>
          <w:szCs w:val="24"/>
          <w:rtl/>
        </w:rPr>
        <w:t>(תק</w:t>
      </w:r>
      <w:r w:rsidRPr="00164841">
        <w:rPr>
          <w:rStyle w:val="default"/>
          <w:rFonts w:cs="FrankRuehl" w:hint="cs"/>
          <w:sz w:val="24"/>
          <w:szCs w:val="24"/>
          <w:rtl/>
        </w:rPr>
        <w:t>נה 2(א)(2))</w:t>
      </w:r>
    </w:p>
    <w:p w:rsidR="009A7226" w:rsidRPr="00164841" w:rsidRDefault="009A7226" w:rsidP="00164841">
      <w:pPr>
        <w:pStyle w:val="P00"/>
        <w:spacing w:before="72"/>
        <w:ind w:left="0" w:right="1134"/>
        <w:jc w:val="center"/>
        <w:rPr>
          <w:rStyle w:val="default"/>
          <w:rFonts w:cs="FrankRuehl"/>
          <w:b/>
          <w:bCs/>
          <w:sz w:val="22"/>
          <w:szCs w:val="22"/>
          <w:rtl/>
        </w:rPr>
      </w:pPr>
      <w:r w:rsidRPr="00164841">
        <w:rPr>
          <w:rStyle w:val="default"/>
          <w:rFonts w:cs="FrankRuehl" w:hint="cs"/>
          <w:b/>
          <w:bCs/>
          <w:sz w:val="22"/>
          <w:szCs w:val="22"/>
          <w:rtl/>
        </w:rPr>
        <w:t>א</w:t>
      </w:r>
      <w:r w:rsidRPr="00164841">
        <w:rPr>
          <w:rStyle w:val="default"/>
          <w:rFonts w:cs="FrankRuehl"/>
          <w:b/>
          <w:bCs/>
          <w:sz w:val="22"/>
          <w:szCs w:val="22"/>
          <w:rtl/>
        </w:rPr>
        <w:t>י</w:t>
      </w:r>
      <w:r w:rsidRPr="00164841">
        <w:rPr>
          <w:rStyle w:val="default"/>
          <w:rFonts w:cs="FrankRuehl" w:hint="cs"/>
          <w:b/>
          <w:bCs/>
          <w:sz w:val="22"/>
          <w:szCs w:val="22"/>
          <w:rtl/>
        </w:rPr>
        <w:t xml:space="preserve">שור על ידי רואה חשבון או פקיד </w:t>
      </w:r>
      <w:r w:rsidRPr="00164841">
        <w:rPr>
          <w:rStyle w:val="default"/>
          <w:rFonts w:cs="FrankRuehl"/>
          <w:b/>
          <w:bCs/>
          <w:sz w:val="22"/>
          <w:szCs w:val="22"/>
          <w:rtl/>
        </w:rPr>
        <w:t>ב</w:t>
      </w:r>
      <w:r w:rsidRPr="00164841">
        <w:rPr>
          <w:rStyle w:val="default"/>
          <w:rFonts w:cs="FrankRuehl" w:hint="cs"/>
          <w:b/>
          <w:bCs/>
          <w:sz w:val="22"/>
          <w:szCs w:val="22"/>
          <w:rtl/>
        </w:rPr>
        <w:t>רית פיקוח</w:t>
      </w:r>
    </w:p>
    <w:p w:rsidR="009A7226" w:rsidRPr="00C56895" w:rsidRDefault="009A7226">
      <w:pPr>
        <w:pStyle w:val="P00"/>
        <w:spacing w:before="72"/>
        <w:ind w:left="0" w:right="1134"/>
        <w:rPr>
          <w:rStyle w:val="default"/>
          <w:rFonts w:cs="FrankRuehl" w:hint="cs"/>
          <w:rtl/>
        </w:rPr>
      </w:pPr>
      <w:r w:rsidRPr="00C56895">
        <w:rPr>
          <w:rStyle w:val="default"/>
          <w:rFonts w:cs="FrankRuehl"/>
          <w:rtl/>
        </w:rPr>
        <w:t>בדקתי את דו"ח ההכנסות וההוצאות של</w:t>
      </w:r>
      <w:r w:rsidR="00771318">
        <w:rPr>
          <w:rStyle w:val="default"/>
          <w:rFonts w:cs="FrankRuehl" w:hint="cs"/>
          <w:rtl/>
        </w:rPr>
        <w:t xml:space="preserve"> </w:t>
      </w:r>
      <w:r w:rsidR="00771318">
        <w:rPr>
          <w:rStyle w:val="default"/>
          <w:rFonts w:cs="FrankRuehl"/>
          <w:rtl/>
        </w:rPr>
        <w:fldChar w:fldCharType="begin">
          <w:ffData>
            <w:name w:val="Text5"/>
            <w:enabled/>
            <w:calcOnExit w:val="0"/>
            <w:textInput/>
          </w:ffData>
        </w:fldChar>
      </w:r>
      <w:bookmarkStart w:id="10" w:name="Text5"/>
      <w:r w:rsidR="00771318">
        <w:rPr>
          <w:rStyle w:val="default"/>
          <w:rFonts w:cs="FrankRuehl"/>
          <w:rtl/>
        </w:rPr>
        <w:instrText xml:space="preserve"> </w:instrText>
      </w:r>
      <w:r w:rsidR="00771318">
        <w:rPr>
          <w:rStyle w:val="default"/>
          <w:rFonts w:cs="FrankRuehl"/>
        </w:rPr>
        <w:instrText>FORMTEXT</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separate"/>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771318">
        <w:rPr>
          <w:rStyle w:val="default"/>
          <w:rFonts w:cs="FrankRuehl"/>
          <w:rtl/>
        </w:rPr>
        <w:fldChar w:fldCharType="end"/>
      </w:r>
      <w:bookmarkEnd w:id="10"/>
      <w:r w:rsidRPr="00C56895">
        <w:rPr>
          <w:rStyle w:val="default"/>
          <w:rFonts w:cs="FrankRuehl"/>
          <w:rtl/>
        </w:rPr>
        <w:t xml:space="preserve"> לשנת המס</w:t>
      </w:r>
      <w:r w:rsidR="00771318">
        <w:rPr>
          <w:rStyle w:val="default"/>
          <w:rFonts w:cs="FrankRuehl" w:hint="cs"/>
          <w:rtl/>
        </w:rPr>
        <w:t xml:space="preserve"> </w:t>
      </w:r>
      <w:r w:rsidR="00771318">
        <w:rPr>
          <w:rStyle w:val="default"/>
          <w:rFonts w:cs="FrankRuehl"/>
          <w:rtl/>
        </w:rPr>
        <w:fldChar w:fldCharType="begin">
          <w:ffData>
            <w:name w:val="Text6"/>
            <w:enabled/>
            <w:calcOnExit w:val="0"/>
            <w:textInput/>
          </w:ffData>
        </w:fldChar>
      </w:r>
      <w:bookmarkStart w:id="11" w:name="Text6"/>
      <w:r w:rsidR="00771318">
        <w:rPr>
          <w:rStyle w:val="default"/>
          <w:rFonts w:cs="FrankRuehl"/>
          <w:rtl/>
        </w:rPr>
        <w:instrText xml:space="preserve"> </w:instrText>
      </w:r>
      <w:r w:rsidR="00771318">
        <w:rPr>
          <w:rStyle w:val="default"/>
          <w:rFonts w:cs="FrankRuehl"/>
        </w:rPr>
        <w:instrText>FORMTEXT</w:instrText>
      </w:r>
      <w:r w:rsidR="00771318">
        <w:rPr>
          <w:rStyle w:val="default"/>
          <w:rFonts w:cs="FrankRuehl"/>
          <w:rtl/>
        </w:rPr>
        <w:instrText xml:space="preserve"> </w:instrText>
      </w:r>
      <w:r w:rsidR="00645F0D" w:rsidRPr="00771318">
        <w:rPr>
          <w:rFonts w:cs="FrankRuehl"/>
          <w:sz w:val="26"/>
        </w:rPr>
      </w:r>
      <w:r w:rsidR="00771318">
        <w:rPr>
          <w:rStyle w:val="default"/>
          <w:rFonts w:cs="FrankRuehl"/>
          <w:rtl/>
        </w:rPr>
        <w:fldChar w:fldCharType="separate"/>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6F69B0">
        <w:rPr>
          <w:rStyle w:val="default"/>
          <w:rFonts w:cs="FrankRuehl"/>
          <w:rtl/>
        </w:rPr>
        <w:t> </w:t>
      </w:r>
      <w:r w:rsidR="00771318">
        <w:rPr>
          <w:rStyle w:val="default"/>
          <w:rFonts w:cs="FrankRuehl"/>
          <w:rtl/>
        </w:rPr>
        <w:fldChar w:fldCharType="end"/>
      </w:r>
      <w:bookmarkEnd w:id="11"/>
      <w:r w:rsidR="00771318">
        <w:rPr>
          <w:rStyle w:val="default"/>
          <w:rFonts w:cs="FrankRuehl" w:hint="cs"/>
          <w:rtl/>
        </w:rPr>
        <w:t>.</w:t>
      </w:r>
    </w:p>
    <w:p w:rsidR="009A7226" w:rsidRDefault="009A7226">
      <w:pPr>
        <w:pStyle w:val="P00"/>
        <w:spacing w:before="72"/>
        <w:ind w:left="0" w:right="1134"/>
        <w:rPr>
          <w:rFonts w:cs="FrankRuehl" w:hint="cs"/>
          <w:sz w:val="26"/>
          <w:rtl/>
        </w:rPr>
      </w:pPr>
      <w:r>
        <w:rPr>
          <w:rFonts w:cs="FrankRuehl"/>
          <w:sz w:val="26"/>
          <w:rtl/>
        </w:rPr>
        <w:tab/>
        <w:t>א</w:t>
      </w:r>
      <w:r>
        <w:rPr>
          <w:rFonts w:cs="FrankRuehl" w:hint="cs"/>
          <w:sz w:val="26"/>
          <w:rtl/>
        </w:rPr>
        <w:t>ני מאשר שלפי דעתי כל הכנסותיו של המוסד פטורות ממס, ולא היו לו סכומים החייבים במס עפ"י סעיף 3(ז) לפקודה.</w:t>
      </w:r>
    </w:p>
    <w:p w:rsidR="00771318" w:rsidRDefault="00771318">
      <w:pPr>
        <w:pStyle w:val="P00"/>
        <w:spacing w:before="72"/>
        <w:ind w:left="0" w:right="1134"/>
        <w:rPr>
          <w:rFonts w:cs="FrankRuehl" w:hint="cs"/>
          <w:sz w:val="26"/>
          <w:rtl/>
        </w:rPr>
      </w:pPr>
    </w:p>
    <w:p w:rsidR="00771318" w:rsidRDefault="00771318" w:rsidP="00771318">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6"/>
          <w:rtl/>
        </w:rPr>
      </w:pPr>
      <w:r>
        <w:rPr>
          <w:rFonts w:cs="FrankRuehl" w:hint="cs"/>
          <w:sz w:val="26"/>
          <w:rtl/>
        </w:rPr>
        <w:tab/>
      </w:r>
      <w:r>
        <w:rPr>
          <w:rFonts w:cs="FrankRuehl"/>
          <w:sz w:val="26"/>
          <w:rtl/>
        </w:rPr>
        <w:fldChar w:fldCharType="begin">
          <w:ffData>
            <w:name w:val="Text7"/>
            <w:enabled/>
            <w:calcOnExit w:val="0"/>
            <w:textInput>
              <w:default w:val="תאריך"/>
            </w:textInput>
          </w:ffData>
        </w:fldChar>
      </w:r>
      <w:bookmarkStart w:id="12" w:name="Text7"/>
      <w:r>
        <w:rPr>
          <w:rFonts w:cs="FrankRuehl"/>
          <w:sz w:val="26"/>
          <w:rtl/>
        </w:rPr>
        <w:instrText xml:space="preserve"> </w:instrText>
      </w:r>
      <w:r>
        <w:rPr>
          <w:rFonts w:cs="FrankRuehl"/>
          <w:sz w:val="26"/>
        </w:rPr>
        <w:instrText>FORMTEXT</w:instrText>
      </w:r>
      <w:r>
        <w:rPr>
          <w:rFonts w:cs="FrankRuehl"/>
          <w:sz w:val="26"/>
          <w:rtl/>
        </w:rPr>
        <w:instrText xml:space="preserve"> </w:instrText>
      </w:r>
      <w:r w:rsidR="00645F0D" w:rsidRPr="00771318">
        <w:rPr>
          <w:rFonts w:cs="FrankRuehl"/>
          <w:sz w:val="26"/>
        </w:rPr>
      </w:r>
      <w:r>
        <w:rPr>
          <w:rFonts w:cs="FrankRuehl"/>
          <w:sz w:val="26"/>
          <w:rtl/>
        </w:rPr>
        <w:fldChar w:fldCharType="separate"/>
      </w:r>
      <w:r w:rsidR="006F69B0">
        <w:rPr>
          <w:rFonts w:cs="FrankRuehl"/>
          <w:sz w:val="26"/>
          <w:rtl/>
        </w:rPr>
        <w:t>תאריך</w:t>
      </w:r>
      <w:r>
        <w:rPr>
          <w:rFonts w:cs="FrankRuehl"/>
          <w:sz w:val="26"/>
          <w:rtl/>
        </w:rPr>
        <w:fldChar w:fldCharType="end"/>
      </w:r>
      <w:bookmarkEnd w:id="12"/>
      <w:r>
        <w:rPr>
          <w:rFonts w:cs="FrankRuehl" w:hint="cs"/>
          <w:sz w:val="26"/>
          <w:rtl/>
        </w:rPr>
        <w:tab/>
        <w:t>_______________</w:t>
      </w:r>
    </w:p>
    <w:p w:rsidR="00771318" w:rsidRPr="00771318" w:rsidRDefault="00771318" w:rsidP="00771318">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Fonts w:cs="FrankRuehl" w:hint="cs"/>
          <w:sz w:val="22"/>
          <w:szCs w:val="22"/>
          <w:rtl/>
        </w:rPr>
      </w:pPr>
      <w:r w:rsidRPr="00771318">
        <w:rPr>
          <w:rFonts w:cs="FrankRuehl" w:hint="cs"/>
          <w:sz w:val="22"/>
          <w:szCs w:val="22"/>
          <w:rtl/>
        </w:rPr>
        <w:tab/>
      </w:r>
      <w:r w:rsidRPr="00771318">
        <w:rPr>
          <w:rFonts w:cs="FrankRuehl" w:hint="cs"/>
          <w:sz w:val="22"/>
          <w:szCs w:val="22"/>
          <w:rtl/>
        </w:rPr>
        <w:tab/>
        <w:t>חתימה</w:t>
      </w:r>
    </w:p>
    <w:p w:rsidR="009A7226" w:rsidRPr="00C56895" w:rsidRDefault="009A7226">
      <w:pPr>
        <w:pStyle w:val="P00"/>
        <w:spacing w:before="72"/>
        <w:ind w:left="0" w:right="1134"/>
        <w:rPr>
          <w:rStyle w:val="default"/>
          <w:rFonts w:cs="FrankRuehl" w:hint="cs"/>
          <w:rtl/>
        </w:rPr>
      </w:pPr>
    </w:p>
    <w:p w:rsidR="00C56895" w:rsidRPr="00C56895" w:rsidRDefault="00C56895">
      <w:pPr>
        <w:pStyle w:val="P00"/>
        <w:spacing w:before="72"/>
        <w:ind w:left="0" w:right="1134"/>
        <w:rPr>
          <w:rStyle w:val="default"/>
          <w:rFonts w:cs="FrankRuehl" w:hint="cs"/>
          <w:rtl/>
        </w:rPr>
      </w:pPr>
    </w:p>
    <w:p w:rsidR="009A7226" w:rsidRDefault="009A7226" w:rsidP="00164841">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ב באדר א' תשנ"ז (19 בפברואר 1997)</w:t>
      </w:r>
      <w:r>
        <w:rPr>
          <w:rFonts w:cs="FrankRuehl"/>
          <w:sz w:val="26"/>
          <w:rtl/>
        </w:rPr>
        <w:tab/>
        <w:t>ד</w:t>
      </w:r>
      <w:r>
        <w:rPr>
          <w:rFonts w:cs="FrankRuehl" w:hint="cs"/>
          <w:sz w:val="26"/>
          <w:rtl/>
        </w:rPr>
        <w:t>ן מרידור</w:t>
      </w:r>
    </w:p>
    <w:p w:rsidR="009A7226" w:rsidRDefault="009A7226" w:rsidP="0016484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w:t>
      </w:r>
      <w:r>
        <w:rPr>
          <w:rFonts w:cs="FrankRuehl"/>
          <w:sz w:val="22"/>
          <w:rtl/>
        </w:rPr>
        <w:t xml:space="preserve"> </w:t>
      </w:r>
      <w:r>
        <w:rPr>
          <w:rFonts w:cs="FrankRuehl" w:hint="cs"/>
          <w:sz w:val="22"/>
          <w:rtl/>
        </w:rPr>
        <w:t>האוצר</w:t>
      </w:r>
    </w:p>
    <w:p w:rsidR="009A7226" w:rsidRPr="00C56895" w:rsidRDefault="009A7226" w:rsidP="00C56895">
      <w:pPr>
        <w:pStyle w:val="P00"/>
        <w:spacing w:before="72"/>
        <w:ind w:left="0" w:right="1134"/>
        <w:rPr>
          <w:rStyle w:val="default"/>
          <w:rFonts w:cs="FrankRuehl"/>
          <w:rtl/>
        </w:rPr>
      </w:pPr>
    </w:p>
    <w:p w:rsidR="009A7226" w:rsidRPr="00C56895" w:rsidRDefault="009A7226" w:rsidP="00C56895">
      <w:pPr>
        <w:pStyle w:val="P00"/>
        <w:spacing w:before="72"/>
        <w:ind w:left="0" w:right="1134"/>
        <w:rPr>
          <w:rStyle w:val="default"/>
          <w:rFonts w:cs="FrankRuehl"/>
          <w:rtl/>
        </w:rPr>
      </w:pPr>
    </w:p>
    <w:p w:rsidR="009A7226" w:rsidRPr="00C56895" w:rsidRDefault="009A7226" w:rsidP="00C56895">
      <w:pPr>
        <w:pStyle w:val="P00"/>
        <w:spacing w:before="72"/>
        <w:ind w:left="0" w:right="1134"/>
        <w:rPr>
          <w:rStyle w:val="default"/>
          <w:rFonts w:cs="FrankRuehl"/>
          <w:rtl/>
        </w:rPr>
      </w:pPr>
      <w:bookmarkStart w:id="13" w:name="LawPartEnd"/>
    </w:p>
    <w:bookmarkEnd w:id="13"/>
    <w:p w:rsidR="006F69B0" w:rsidRDefault="006F69B0" w:rsidP="00C56895">
      <w:pPr>
        <w:pStyle w:val="P00"/>
        <w:spacing w:before="72"/>
        <w:ind w:left="0" w:right="1134"/>
        <w:rPr>
          <w:rStyle w:val="default"/>
          <w:rFonts w:cs="FrankRuehl"/>
          <w:rtl/>
        </w:rPr>
      </w:pPr>
    </w:p>
    <w:p w:rsidR="006F69B0" w:rsidRDefault="006F69B0" w:rsidP="00C56895">
      <w:pPr>
        <w:pStyle w:val="P00"/>
        <w:spacing w:before="72"/>
        <w:ind w:left="0" w:right="1134"/>
        <w:rPr>
          <w:rStyle w:val="default"/>
          <w:rFonts w:cs="FrankRuehl"/>
          <w:rtl/>
        </w:rPr>
      </w:pPr>
    </w:p>
    <w:p w:rsidR="006F69B0" w:rsidRDefault="006F69B0" w:rsidP="006F69B0">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rsidR="009A7226" w:rsidRPr="006F69B0" w:rsidRDefault="009A7226" w:rsidP="006F69B0">
      <w:pPr>
        <w:pStyle w:val="P00"/>
        <w:spacing w:before="72"/>
        <w:ind w:left="0" w:right="1134"/>
        <w:jc w:val="center"/>
        <w:rPr>
          <w:rStyle w:val="default"/>
          <w:rFonts w:cs="David"/>
          <w:color w:val="0000FF"/>
          <w:szCs w:val="24"/>
          <w:u w:val="single"/>
          <w:rtl/>
        </w:rPr>
      </w:pPr>
    </w:p>
    <w:sectPr w:rsidR="009A7226" w:rsidRPr="006F69B0">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4352" w:rsidRDefault="00554352">
      <w:r>
        <w:separator/>
      </w:r>
    </w:p>
  </w:endnote>
  <w:endnote w:type="continuationSeparator" w:id="0">
    <w:p w:rsidR="00554352" w:rsidRDefault="0055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226" w:rsidRDefault="009A72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A7226" w:rsidRDefault="009A72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7226" w:rsidRDefault="009A72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039">
      <w:rPr>
        <w:rFonts w:cs="TopType Jerushalmi"/>
        <w:noProof/>
        <w:color w:val="000000"/>
        <w:sz w:val="14"/>
        <w:szCs w:val="14"/>
      </w:rPr>
      <w:t>Z:\000000000000-law\yael\revadim\08-10-16\255_206.doc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226" w:rsidRDefault="009A72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69B0">
      <w:rPr>
        <w:rFonts w:hAnsi="FrankRuehl" w:cs="FrankRuehl"/>
        <w:noProof/>
        <w:sz w:val="24"/>
        <w:szCs w:val="24"/>
        <w:rtl/>
      </w:rPr>
      <w:t>3</w:t>
    </w:r>
    <w:r>
      <w:rPr>
        <w:rFonts w:hAnsi="FrankRuehl" w:cs="FrankRuehl"/>
        <w:sz w:val="24"/>
        <w:szCs w:val="24"/>
        <w:rtl/>
      </w:rPr>
      <w:fldChar w:fldCharType="end"/>
    </w:r>
  </w:p>
  <w:p w:rsidR="009A7226" w:rsidRDefault="009A72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7226" w:rsidRDefault="009A72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0039">
      <w:rPr>
        <w:rFonts w:cs="TopType Jerushalmi"/>
        <w:noProof/>
        <w:color w:val="000000"/>
        <w:sz w:val="14"/>
        <w:szCs w:val="14"/>
      </w:rPr>
      <w:t>Z:\000000000000-law\yael\revadim\08-10-16\255_206.doc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4352" w:rsidRDefault="00554352" w:rsidP="00C56895">
      <w:pPr>
        <w:spacing w:before="60"/>
        <w:ind w:right="1134"/>
      </w:pPr>
      <w:r>
        <w:separator/>
      </w:r>
    </w:p>
  </w:footnote>
  <w:footnote w:type="continuationSeparator" w:id="0">
    <w:p w:rsidR="00554352" w:rsidRDefault="00554352">
      <w:r>
        <w:continuationSeparator/>
      </w:r>
    </w:p>
  </w:footnote>
  <w:footnote w:id="1">
    <w:p w:rsidR="00C56895" w:rsidRPr="001B580F" w:rsidRDefault="00C56895" w:rsidP="00C568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56895">
        <w:rPr>
          <w:rFonts w:cs="FrankRuehl"/>
          <w:rtl/>
        </w:rPr>
        <w:t xml:space="preserve">* </w:t>
      </w:r>
      <w:r w:rsidRPr="001B580F">
        <w:rPr>
          <w:rFonts w:cs="FrankRuehl"/>
          <w:rtl/>
        </w:rPr>
        <w:t>פו</w:t>
      </w:r>
      <w:r w:rsidRPr="001B580F">
        <w:rPr>
          <w:rFonts w:cs="FrankRuehl" w:hint="cs"/>
          <w:rtl/>
        </w:rPr>
        <w:t xml:space="preserve">רסמו </w:t>
      </w:r>
      <w:hyperlink r:id="rId1" w:history="1">
        <w:r w:rsidRPr="001B580F">
          <w:rPr>
            <w:rStyle w:val="Hyperlink"/>
            <w:rFonts w:cs="FrankRuehl" w:hint="cs"/>
            <w:rtl/>
          </w:rPr>
          <w:t>ק</w:t>
        </w:r>
        <w:r w:rsidRPr="001B580F">
          <w:rPr>
            <w:rStyle w:val="Hyperlink"/>
            <w:rFonts w:cs="FrankRuehl" w:hint="cs"/>
            <w:rtl/>
          </w:rPr>
          <w:t>"ת תשנ"ז מס' 5815</w:t>
        </w:r>
      </w:hyperlink>
      <w:r>
        <w:rPr>
          <w:rFonts w:cs="FrankRuehl" w:hint="cs"/>
          <w:rtl/>
        </w:rPr>
        <w:t xml:space="preserve"> מיום 4.3.1997 עמ' 448.</w:t>
      </w:r>
    </w:p>
    <w:p w:rsidR="00164841" w:rsidRDefault="00C56895" w:rsidP="00164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B580F">
        <w:rPr>
          <w:rFonts w:cs="FrankRuehl" w:hint="cs"/>
          <w:rtl/>
        </w:rPr>
        <w:t>ת</w:t>
      </w:r>
      <w:r w:rsidRPr="001B580F">
        <w:rPr>
          <w:rFonts w:cs="FrankRuehl"/>
          <w:rtl/>
        </w:rPr>
        <w:t>ו</w:t>
      </w:r>
      <w:r w:rsidRPr="001B580F">
        <w:rPr>
          <w:rFonts w:cs="FrankRuehl" w:hint="cs"/>
          <w:rtl/>
        </w:rPr>
        <w:t xml:space="preserve">קנו </w:t>
      </w:r>
      <w:hyperlink r:id="rId2" w:history="1">
        <w:r w:rsidRPr="001B580F">
          <w:rPr>
            <w:rStyle w:val="Hyperlink"/>
            <w:rFonts w:cs="FrankRuehl" w:hint="cs"/>
            <w:rtl/>
          </w:rPr>
          <w:t>ק"ת תשנ"ח</w:t>
        </w:r>
        <w:r w:rsidRPr="001B580F">
          <w:rPr>
            <w:rStyle w:val="Hyperlink"/>
            <w:rFonts w:cs="FrankRuehl" w:hint="cs"/>
            <w:rtl/>
          </w:rPr>
          <w:t xml:space="preserve"> מס' 5871</w:t>
        </w:r>
      </w:hyperlink>
      <w:r w:rsidRPr="001B580F">
        <w:rPr>
          <w:rFonts w:cs="FrankRuehl" w:hint="cs"/>
          <w:rtl/>
        </w:rPr>
        <w:t xml:space="preserve"> מיום 1.1.1998 עמ' 252 </w:t>
      </w:r>
      <w:r>
        <w:rPr>
          <w:rFonts w:cs="FrankRuehl"/>
          <w:rtl/>
        </w:rPr>
        <w:t>–</w:t>
      </w:r>
      <w:r w:rsidRPr="001B580F">
        <w:rPr>
          <w:rFonts w:cs="FrankRuehl"/>
          <w:rtl/>
        </w:rPr>
        <w:t xml:space="preserve"> ת</w:t>
      </w:r>
      <w:r w:rsidRPr="001B580F">
        <w:rPr>
          <w:rFonts w:cs="FrankRuehl" w:hint="cs"/>
          <w:rtl/>
        </w:rPr>
        <w:t>ק' תשנ"ח</w:t>
      </w:r>
      <w:r>
        <w:rPr>
          <w:rFonts w:cs="FrankRuehl" w:hint="cs"/>
          <w:rtl/>
        </w:rPr>
        <w:t>-</w:t>
      </w:r>
      <w:r w:rsidRPr="001B580F">
        <w:rPr>
          <w:rFonts w:cs="FrankRuehl"/>
          <w:rtl/>
        </w:rPr>
        <w:t>1998</w:t>
      </w:r>
      <w:r>
        <w:rPr>
          <w:rFonts w:cs="FrankRuehl" w:hint="cs"/>
          <w:rtl/>
        </w:rPr>
        <w:t>; תחילתן משנת המס 1996</w:t>
      </w:r>
      <w:r w:rsidRPr="001B580F">
        <w:rPr>
          <w:rFonts w:cs="FrankRuehl"/>
          <w:rtl/>
        </w:rPr>
        <w:t>.</w:t>
      </w:r>
    </w:p>
    <w:p w:rsidR="00C56895" w:rsidRPr="00C56895" w:rsidRDefault="00C56895" w:rsidP="001648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164841">
          <w:rPr>
            <w:rStyle w:val="Hyperlink"/>
            <w:rFonts w:cs="FrankRuehl" w:hint="cs"/>
            <w:rtl/>
          </w:rPr>
          <w:t>ק"ת תשנ"ח מ</w:t>
        </w:r>
        <w:r w:rsidRPr="001B580F">
          <w:rPr>
            <w:rStyle w:val="Hyperlink"/>
            <w:rFonts w:cs="FrankRuehl" w:hint="cs"/>
            <w:rtl/>
          </w:rPr>
          <w:t>ס'</w:t>
        </w:r>
        <w:r w:rsidRPr="001B580F">
          <w:rPr>
            <w:rStyle w:val="Hyperlink"/>
            <w:rFonts w:cs="FrankRuehl" w:hint="cs"/>
            <w:rtl/>
          </w:rPr>
          <w:t xml:space="preserve"> 5899</w:t>
        </w:r>
      </w:hyperlink>
      <w:r w:rsidRPr="001B580F">
        <w:rPr>
          <w:rFonts w:cs="FrankRuehl" w:hint="cs"/>
          <w:rtl/>
        </w:rPr>
        <w:t xml:space="preserve"> מיום 14.5.1998 עמ' 717 </w:t>
      </w:r>
      <w:r>
        <w:rPr>
          <w:rFonts w:cs="FrankRuehl"/>
          <w:rtl/>
        </w:rPr>
        <w:t>–</w:t>
      </w:r>
      <w:r w:rsidRPr="001B580F">
        <w:rPr>
          <w:rFonts w:cs="FrankRuehl"/>
          <w:rtl/>
        </w:rPr>
        <w:t xml:space="preserve"> </w:t>
      </w:r>
      <w:r w:rsidRPr="001B580F">
        <w:rPr>
          <w:rFonts w:cs="FrankRuehl" w:hint="cs"/>
          <w:rtl/>
        </w:rPr>
        <w:t>ת</w:t>
      </w:r>
      <w:r w:rsidRPr="001B580F">
        <w:rPr>
          <w:rFonts w:cs="FrankRuehl"/>
          <w:rtl/>
        </w:rPr>
        <w:t>ק' (</w:t>
      </w:r>
      <w:r w:rsidRPr="001B580F">
        <w:rPr>
          <w:rFonts w:cs="FrankRuehl" w:hint="cs"/>
          <w:rtl/>
        </w:rPr>
        <w:t>מס' 2) תשנ"ח</w:t>
      </w:r>
      <w:r>
        <w:rPr>
          <w:rFonts w:cs="FrankRuehl" w:hint="cs"/>
          <w:rtl/>
        </w:rPr>
        <w:t>-</w:t>
      </w:r>
      <w:r w:rsidRPr="001B580F">
        <w:rPr>
          <w:rFonts w:cs="FrankRuehl"/>
          <w:rtl/>
        </w:rPr>
        <w:t>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226" w:rsidRDefault="009A722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(דו"חות שיגיש מוסד ציבורי), תשנ"ז–1997</w:t>
    </w:r>
  </w:p>
  <w:p w:rsidR="009A7226" w:rsidRDefault="009A72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A7226" w:rsidRDefault="009A722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7226" w:rsidRDefault="009A7226" w:rsidP="00C568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(דו"חות שיגיש מוסד ציבורי), תשנ"ז</w:t>
    </w:r>
    <w:r w:rsidR="00C56895">
      <w:rPr>
        <w:rFonts w:hAnsi="FrankRuehl" w:cs="FrankRuehl" w:hint="cs"/>
        <w:color w:val="000000"/>
        <w:sz w:val="28"/>
        <w:szCs w:val="28"/>
        <w:rtl/>
      </w:rPr>
      <w:t>-</w:t>
    </w:r>
    <w:r>
      <w:rPr>
        <w:rFonts w:hAnsi="FrankRuehl" w:cs="FrankRuehl"/>
        <w:color w:val="000000"/>
        <w:sz w:val="28"/>
        <w:szCs w:val="28"/>
        <w:rtl/>
      </w:rPr>
      <w:t>1997</w:t>
    </w:r>
  </w:p>
  <w:p w:rsidR="009A7226" w:rsidRDefault="009A72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A7226" w:rsidRDefault="009A722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0986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0617"/>
    <w:rsid w:val="00072FC6"/>
    <w:rsid w:val="00164841"/>
    <w:rsid w:val="001B580F"/>
    <w:rsid w:val="004C0617"/>
    <w:rsid w:val="00554352"/>
    <w:rsid w:val="005F0039"/>
    <w:rsid w:val="00645F0D"/>
    <w:rsid w:val="006F69B0"/>
    <w:rsid w:val="00771318"/>
    <w:rsid w:val="007A3F29"/>
    <w:rsid w:val="009A7226"/>
    <w:rsid w:val="009D0E7B"/>
    <w:rsid w:val="00AA6ABC"/>
    <w:rsid w:val="00B66F4C"/>
    <w:rsid w:val="00C56895"/>
    <w:rsid w:val="00D56AD2"/>
    <w:rsid w:val="00F837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CA5FE1-5F70-4312-A3D6-69530F1E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character" w:styleId="FollowedHyperlink">
    <w:name w:val="FollowedHyperlink"/>
    <w:basedOn w:val="a0"/>
    <w:rsid w:val="001B580F"/>
    <w:rPr>
      <w:color w:val="800080"/>
      <w:u w:val="single"/>
    </w:rPr>
  </w:style>
  <w:style w:type="paragraph" w:styleId="a5">
    <w:name w:val="footnote text"/>
    <w:basedOn w:val="a"/>
    <w:semiHidden/>
    <w:rsid w:val="00C56895"/>
    <w:rPr>
      <w:sz w:val="20"/>
      <w:szCs w:val="20"/>
    </w:rPr>
  </w:style>
  <w:style w:type="character" w:styleId="a6">
    <w:name w:val="footnote reference"/>
    <w:basedOn w:val="a0"/>
    <w:semiHidden/>
    <w:rsid w:val="00C568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899.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587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99.pdf" TargetMode="External"/><Relationship Id="rId2" Type="http://schemas.openxmlformats.org/officeDocument/2006/relationships/hyperlink" Target="http://www.nevo.co.il/Law_word/law06/TAK-5871.pdf" TargetMode="External"/><Relationship Id="rId1" Type="http://schemas.openxmlformats.org/officeDocument/2006/relationships/hyperlink" Target="http://www.nevo.co.il/Law_word/law06/TAK-5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5602</CharactersWithSpaces>
  <SharedDoc>false</SharedDoc>
  <HLinks>
    <vt:vector size="54" baseType="variant">
      <vt:variant>
        <vt:i4>393283</vt:i4>
      </vt:variant>
      <vt:variant>
        <vt:i4>47</vt:i4>
      </vt:variant>
      <vt:variant>
        <vt:i4>0</vt:i4>
      </vt:variant>
      <vt:variant>
        <vt:i4>5</vt:i4>
      </vt:variant>
      <vt:variant>
        <vt:lpwstr>http://www.nevo.co.il/advertisements/nevo-100.doc</vt:lpwstr>
      </vt:variant>
      <vt:variant>
        <vt:lpwstr/>
      </vt:variant>
      <vt:variant>
        <vt:i4>7667721</vt:i4>
      </vt:variant>
      <vt:variant>
        <vt:i4>21</vt:i4>
      </vt:variant>
      <vt:variant>
        <vt:i4>0</vt:i4>
      </vt:variant>
      <vt:variant>
        <vt:i4>5</vt:i4>
      </vt:variant>
      <vt:variant>
        <vt:lpwstr>http://www.nevo.co.il/Law_word/law06/TAK-5899.pdf</vt:lpwstr>
      </vt:variant>
      <vt:variant>
        <vt:lpwstr/>
      </vt:variant>
      <vt:variant>
        <vt:i4>8060929</vt:i4>
      </vt:variant>
      <vt:variant>
        <vt:i4>18</vt:i4>
      </vt:variant>
      <vt:variant>
        <vt:i4>0</vt:i4>
      </vt:variant>
      <vt:variant>
        <vt:i4>5</vt:i4>
      </vt:variant>
      <vt:variant>
        <vt:lpwstr>http://www.nevo.co.il/Law_word/law06/TAK-5871.pdf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7667721</vt:i4>
      </vt:variant>
      <vt:variant>
        <vt:i4>6</vt:i4>
      </vt:variant>
      <vt:variant>
        <vt:i4>0</vt:i4>
      </vt:variant>
      <vt:variant>
        <vt:i4>5</vt:i4>
      </vt:variant>
      <vt:variant>
        <vt:lpwstr>http://www.nevo.co.il/Law_word/law06/TAK-5899.pdf</vt:lpwstr>
      </vt:variant>
      <vt:variant>
        <vt:lpwstr/>
      </vt:variant>
      <vt:variant>
        <vt:i4>8060929</vt:i4>
      </vt:variant>
      <vt:variant>
        <vt:i4>3</vt:i4>
      </vt:variant>
      <vt:variant>
        <vt:i4>0</vt:i4>
      </vt:variant>
      <vt:variant>
        <vt:i4>5</vt:i4>
      </vt:variant>
      <vt:variant>
        <vt:lpwstr>http://www.nevo.co.il/Law_word/law06/TAK-5871.pdf</vt:lpwstr>
      </vt:variant>
      <vt:variant>
        <vt:lpwstr/>
      </vt:variant>
      <vt:variant>
        <vt:i4>8192005</vt:i4>
      </vt:variant>
      <vt:variant>
        <vt:i4>0</vt:i4>
      </vt:variant>
      <vt:variant>
        <vt:i4>0</vt:i4>
      </vt:variant>
      <vt:variant>
        <vt:i4>5</vt:i4>
      </vt:variant>
      <vt:variant>
        <vt:lpwstr>http://www.nevo.co.il/Law_word/law06/TAK-5815.pdf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(דו"חות שיגיש מוסד ציבורי), תשנ"ז-1997</vt:lpwstr>
  </property>
  <property fmtid="{D5CDD505-2E9C-101B-9397-08002B2CF9AE}" pid="5" name="LAWNUMBER">
    <vt:lpwstr>0206</vt:lpwstr>
  </property>
  <property fmtid="{D5CDD505-2E9C-101B-9397-08002B2CF9AE}" pid="6" name="TYPE">
    <vt:lpwstr>01</vt:lpwstr>
  </property>
  <property fmtid="{D5CDD505-2E9C-101B-9397-08002B2CF9AE}" pid="7" name="MEKOR_NAME1">
    <vt:lpwstr>פקודת מס הכנסה [נוסח חדש] </vt:lpwstr>
  </property>
  <property fmtid="{D5CDD505-2E9C-101B-9397-08002B2CF9AE}" pid="8" name="MEKOR_SAIF1">
    <vt:lpwstr>9X2X;131XאX5X;243X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דו"חות</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גופים ציבוריים</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