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DF7" w:rsidRDefault="00E26DF7" w:rsidP="00CE1059">
      <w:pPr>
        <w:pStyle w:val="big-header"/>
        <w:ind w:left="0" w:right="1134"/>
        <w:rPr>
          <w:rFonts w:cs="FrankRuehl"/>
          <w:sz w:val="32"/>
        </w:rPr>
      </w:pPr>
      <w:r>
        <w:rPr>
          <w:rFonts w:cs="FrankRuehl" w:hint="cs"/>
          <w:sz w:val="32"/>
          <w:rtl/>
        </w:rPr>
        <w:t>תקנות מס הכנסה (הוראות לענין פירוקים מסוימים), תשס"ד-2004</w:t>
      </w:r>
    </w:p>
    <w:p w:rsidR="007A295D" w:rsidRPr="007A295D" w:rsidRDefault="007A295D" w:rsidP="007A295D">
      <w:pPr>
        <w:spacing w:line="320" w:lineRule="auto"/>
        <w:rPr>
          <w:rFonts w:cs="FrankRuehl"/>
          <w:szCs w:val="26"/>
          <w:rtl/>
        </w:rPr>
      </w:pPr>
    </w:p>
    <w:p w:rsidR="007A295D" w:rsidRDefault="007A295D" w:rsidP="007A295D">
      <w:pPr>
        <w:spacing w:line="320" w:lineRule="auto"/>
        <w:rPr>
          <w:rtl/>
        </w:rPr>
      </w:pPr>
    </w:p>
    <w:p w:rsidR="007A295D" w:rsidRDefault="007A295D" w:rsidP="007A295D">
      <w:pPr>
        <w:spacing w:line="320" w:lineRule="auto"/>
        <w:rPr>
          <w:rFonts w:cs="FrankRuehl"/>
          <w:szCs w:val="26"/>
          <w:rtl/>
        </w:rPr>
      </w:pPr>
      <w:r w:rsidRPr="007A295D">
        <w:rPr>
          <w:rFonts w:cs="Miriam"/>
          <w:szCs w:val="22"/>
          <w:rtl/>
        </w:rPr>
        <w:t>מסים</w:t>
      </w:r>
      <w:r w:rsidRPr="007A295D">
        <w:rPr>
          <w:rFonts w:cs="FrankRuehl"/>
          <w:szCs w:val="26"/>
          <w:rtl/>
        </w:rPr>
        <w:t xml:space="preserve"> – מס הכנסה – מיסוי הון</w:t>
      </w:r>
    </w:p>
    <w:p w:rsidR="007A295D" w:rsidRDefault="007A295D" w:rsidP="007A295D">
      <w:pPr>
        <w:spacing w:line="320" w:lineRule="auto"/>
        <w:rPr>
          <w:rFonts w:cs="FrankRuehl"/>
          <w:szCs w:val="26"/>
          <w:rtl/>
        </w:rPr>
      </w:pPr>
      <w:r w:rsidRPr="007A295D">
        <w:rPr>
          <w:rFonts w:cs="Miriam"/>
          <w:szCs w:val="22"/>
          <w:rtl/>
        </w:rPr>
        <w:t>מסים</w:t>
      </w:r>
      <w:r w:rsidRPr="007A295D">
        <w:rPr>
          <w:rFonts w:cs="FrankRuehl"/>
          <w:szCs w:val="26"/>
          <w:rtl/>
        </w:rPr>
        <w:t xml:space="preserve"> – מס חברות</w:t>
      </w:r>
    </w:p>
    <w:p w:rsidR="007A295D" w:rsidRDefault="007A295D" w:rsidP="007A295D">
      <w:pPr>
        <w:spacing w:line="320" w:lineRule="auto"/>
        <w:rPr>
          <w:rFonts w:cs="FrankRuehl"/>
          <w:szCs w:val="26"/>
          <w:rtl/>
        </w:rPr>
      </w:pPr>
      <w:r w:rsidRPr="007A295D">
        <w:rPr>
          <w:rFonts w:cs="Miriam"/>
          <w:szCs w:val="22"/>
          <w:rtl/>
        </w:rPr>
        <w:t>מסים</w:t>
      </w:r>
      <w:r w:rsidRPr="007A295D">
        <w:rPr>
          <w:rFonts w:cs="FrankRuehl"/>
          <w:szCs w:val="26"/>
          <w:rtl/>
        </w:rPr>
        <w:t xml:space="preserve"> – מס הכנסה – הוראות</w:t>
      </w:r>
    </w:p>
    <w:p w:rsidR="008D2203" w:rsidRPr="007A295D" w:rsidRDefault="007A295D" w:rsidP="007A295D">
      <w:pPr>
        <w:spacing w:line="320" w:lineRule="auto"/>
        <w:rPr>
          <w:rFonts w:cs="Miriam"/>
          <w:szCs w:val="22"/>
          <w:rtl/>
        </w:rPr>
      </w:pPr>
      <w:r w:rsidRPr="007A295D">
        <w:rPr>
          <w:rFonts w:cs="Miriam"/>
          <w:szCs w:val="22"/>
          <w:rtl/>
        </w:rPr>
        <w:t>מסים</w:t>
      </w:r>
      <w:r w:rsidRPr="007A295D">
        <w:rPr>
          <w:rFonts w:cs="FrankRuehl"/>
          <w:szCs w:val="26"/>
          <w:rtl/>
        </w:rPr>
        <w:t xml:space="preserve"> – מס הכנסה – חברות</w:t>
      </w:r>
    </w:p>
    <w:p w:rsidR="00CE1059" w:rsidRDefault="00CE1059" w:rsidP="00CE105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1 </w:t>
            </w:r>
          </w:p>
        </w:tc>
        <w:tc>
          <w:tcPr>
            <w:tcW w:w="5669" w:type="dxa"/>
          </w:tcPr>
          <w:p w:rsidR="00007BE7" w:rsidRPr="00007BE7" w:rsidRDefault="00007BE7" w:rsidP="00007BE7">
            <w:pPr>
              <w:rPr>
                <w:rFonts w:cs="Frankruhel" w:hint="cs"/>
                <w:rtl/>
              </w:rPr>
            </w:pPr>
            <w:r>
              <w:rPr>
                <w:rtl/>
              </w:rPr>
              <w:t>הגדרות</w:t>
            </w:r>
          </w:p>
        </w:tc>
        <w:tc>
          <w:tcPr>
            <w:tcW w:w="567" w:type="dxa"/>
          </w:tcPr>
          <w:p w:rsidR="00007BE7" w:rsidRPr="00007BE7" w:rsidRDefault="00007BE7" w:rsidP="00007BE7">
            <w:pPr>
              <w:rPr>
                <w:rStyle w:val="Hyperlink"/>
                <w:rFonts w:hint="cs"/>
                <w:rtl/>
              </w:rPr>
            </w:pPr>
            <w:hyperlink w:anchor="Seif1" w:tooltip="הגדרות"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2 </w:t>
            </w:r>
          </w:p>
        </w:tc>
        <w:tc>
          <w:tcPr>
            <w:tcW w:w="5669" w:type="dxa"/>
          </w:tcPr>
          <w:p w:rsidR="00007BE7" w:rsidRPr="00007BE7" w:rsidRDefault="00007BE7" w:rsidP="00007BE7">
            <w:pPr>
              <w:rPr>
                <w:rFonts w:cs="Frankruhel" w:hint="cs"/>
                <w:rtl/>
              </w:rPr>
            </w:pPr>
            <w:r>
              <w:rPr>
                <w:rtl/>
              </w:rPr>
              <w:t>סייג להחלת סעיף 93א</w:t>
            </w:r>
          </w:p>
        </w:tc>
        <w:tc>
          <w:tcPr>
            <w:tcW w:w="567" w:type="dxa"/>
          </w:tcPr>
          <w:p w:rsidR="00007BE7" w:rsidRPr="00007BE7" w:rsidRDefault="00007BE7" w:rsidP="00007BE7">
            <w:pPr>
              <w:rPr>
                <w:rStyle w:val="Hyperlink"/>
                <w:rFonts w:hint="cs"/>
                <w:rtl/>
              </w:rPr>
            </w:pPr>
            <w:hyperlink w:anchor="Seif2" w:tooltip="סייג להחלת סעיף 93א"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3 </w:t>
            </w:r>
          </w:p>
        </w:tc>
        <w:tc>
          <w:tcPr>
            <w:tcW w:w="5669" w:type="dxa"/>
          </w:tcPr>
          <w:p w:rsidR="00007BE7" w:rsidRPr="00007BE7" w:rsidRDefault="00007BE7" w:rsidP="00007BE7">
            <w:pPr>
              <w:rPr>
                <w:rFonts w:cs="Frankruhel" w:hint="cs"/>
                <w:rtl/>
              </w:rPr>
            </w:pPr>
            <w:r>
              <w:rPr>
                <w:rtl/>
              </w:rPr>
              <w:t>קביעת עודפים</w:t>
            </w:r>
          </w:p>
        </w:tc>
        <w:tc>
          <w:tcPr>
            <w:tcW w:w="567" w:type="dxa"/>
          </w:tcPr>
          <w:p w:rsidR="00007BE7" w:rsidRPr="00007BE7" w:rsidRDefault="00007BE7" w:rsidP="00007BE7">
            <w:pPr>
              <w:rPr>
                <w:rStyle w:val="Hyperlink"/>
                <w:rFonts w:hint="cs"/>
                <w:rtl/>
              </w:rPr>
            </w:pPr>
            <w:hyperlink w:anchor="Seif3" w:tooltip="קביעת עודפים"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4 </w:t>
            </w:r>
          </w:p>
        </w:tc>
        <w:tc>
          <w:tcPr>
            <w:tcW w:w="5669" w:type="dxa"/>
          </w:tcPr>
          <w:p w:rsidR="00007BE7" w:rsidRPr="00007BE7" w:rsidRDefault="00007BE7" w:rsidP="00007BE7">
            <w:pPr>
              <w:rPr>
                <w:rFonts w:cs="Frankruhel" w:hint="cs"/>
                <w:rtl/>
              </w:rPr>
            </w:pPr>
            <w:r>
              <w:rPr>
                <w:rtl/>
              </w:rPr>
              <w:t>חישוב המס החל על העודפים</w:t>
            </w:r>
          </w:p>
        </w:tc>
        <w:tc>
          <w:tcPr>
            <w:tcW w:w="567" w:type="dxa"/>
          </w:tcPr>
          <w:p w:rsidR="00007BE7" w:rsidRPr="00007BE7" w:rsidRDefault="00007BE7" w:rsidP="00007BE7">
            <w:pPr>
              <w:rPr>
                <w:rStyle w:val="Hyperlink"/>
                <w:rFonts w:hint="cs"/>
                <w:rtl/>
              </w:rPr>
            </w:pPr>
            <w:hyperlink w:anchor="Seif4" w:tooltip="חישוב המס החל על העודפים"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5 </w:t>
            </w:r>
          </w:p>
        </w:tc>
        <w:tc>
          <w:tcPr>
            <w:tcW w:w="5669" w:type="dxa"/>
          </w:tcPr>
          <w:p w:rsidR="00007BE7" w:rsidRPr="00007BE7" w:rsidRDefault="00007BE7" w:rsidP="00007BE7">
            <w:pPr>
              <w:rPr>
                <w:rFonts w:cs="Frankruhel" w:hint="cs"/>
                <w:rtl/>
              </w:rPr>
            </w:pPr>
            <w:r>
              <w:rPr>
                <w:rtl/>
              </w:rPr>
              <w:t>העברת התחייבויות החברה</w:t>
            </w:r>
          </w:p>
        </w:tc>
        <w:tc>
          <w:tcPr>
            <w:tcW w:w="567" w:type="dxa"/>
          </w:tcPr>
          <w:p w:rsidR="00007BE7" w:rsidRPr="00007BE7" w:rsidRDefault="00007BE7" w:rsidP="00007BE7">
            <w:pPr>
              <w:rPr>
                <w:rStyle w:val="Hyperlink"/>
                <w:rFonts w:hint="cs"/>
                <w:rtl/>
              </w:rPr>
            </w:pPr>
            <w:hyperlink w:anchor="Seif5" w:tooltip="העברת התחייבויות החברה"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6 </w:t>
            </w:r>
          </w:p>
        </w:tc>
        <w:tc>
          <w:tcPr>
            <w:tcW w:w="5669" w:type="dxa"/>
          </w:tcPr>
          <w:p w:rsidR="00007BE7" w:rsidRPr="00007BE7" w:rsidRDefault="00007BE7" w:rsidP="00007BE7">
            <w:pPr>
              <w:rPr>
                <w:rFonts w:cs="Frankruhel" w:hint="cs"/>
                <w:rtl/>
              </w:rPr>
            </w:pPr>
            <w:r>
              <w:rPr>
                <w:rtl/>
              </w:rPr>
              <w:t>זיכוי מיוחד</w:t>
            </w:r>
          </w:p>
        </w:tc>
        <w:tc>
          <w:tcPr>
            <w:tcW w:w="567" w:type="dxa"/>
          </w:tcPr>
          <w:p w:rsidR="00007BE7" w:rsidRPr="00007BE7" w:rsidRDefault="00007BE7" w:rsidP="00007BE7">
            <w:pPr>
              <w:rPr>
                <w:rStyle w:val="Hyperlink"/>
                <w:rFonts w:hint="cs"/>
                <w:rtl/>
              </w:rPr>
            </w:pPr>
            <w:hyperlink w:anchor="Seif6" w:tooltip="זיכוי מיוחד"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7 </w:t>
            </w:r>
          </w:p>
        </w:tc>
        <w:tc>
          <w:tcPr>
            <w:tcW w:w="5669" w:type="dxa"/>
          </w:tcPr>
          <w:p w:rsidR="00007BE7" w:rsidRPr="00007BE7" w:rsidRDefault="00007BE7" w:rsidP="00007BE7">
            <w:pPr>
              <w:rPr>
                <w:rFonts w:cs="Frankruhel" w:hint="cs"/>
                <w:rtl/>
              </w:rPr>
            </w:pPr>
            <w:r>
              <w:rPr>
                <w:rtl/>
              </w:rPr>
              <w:t>תנאים מיוחדים לענין העודפים</w:t>
            </w:r>
          </w:p>
        </w:tc>
        <w:tc>
          <w:tcPr>
            <w:tcW w:w="567" w:type="dxa"/>
          </w:tcPr>
          <w:p w:rsidR="00007BE7" w:rsidRPr="00007BE7" w:rsidRDefault="00007BE7" w:rsidP="00007BE7">
            <w:pPr>
              <w:rPr>
                <w:rStyle w:val="Hyperlink"/>
                <w:rFonts w:hint="cs"/>
                <w:rtl/>
              </w:rPr>
            </w:pPr>
            <w:hyperlink w:anchor="Seif7" w:tooltip="תנאים מיוחדים לענין העודפים"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8 </w:t>
            </w:r>
          </w:p>
        </w:tc>
        <w:tc>
          <w:tcPr>
            <w:tcW w:w="5669" w:type="dxa"/>
          </w:tcPr>
          <w:p w:rsidR="00007BE7" w:rsidRPr="00007BE7" w:rsidRDefault="00007BE7" w:rsidP="00007BE7">
            <w:pPr>
              <w:rPr>
                <w:rFonts w:cs="Frankruhel" w:hint="cs"/>
                <w:rtl/>
              </w:rPr>
            </w:pPr>
            <w:r>
              <w:rPr>
                <w:rtl/>
              </w:rPr>
              <w:t>הוראות לענין חישוב רווח ההון</w:t>
            </w:r>
          </w:p>
        </w:tc>
        <w:tc>
          <w:tcPr>
            <w:tcW w:w="567" w:type="dxa"/>
          </w:tcPr>
          <w:p w:rsidR="00007BE7" w:rsidRPr="00007BE7" w:rsidRDefault="00007BE7" w:rsidP="00007BE7">
            <w:pPr>
              <w:rPr>
                <w:rStyle w:val="Hyperlink"/>
                <w:rFonts w:hint="cs"/>
                <w:rtl/>
              </w:rPr>
            </w:pPr>
            <w:hyperlink w:anchor="Seif8" w:tooltip="הוראות לענין חישוב רווח ההון"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9 </w:t>
            </w:r>
          </w:p>
        </w:tc>
        <w:tc>
          <w:tcPr>
            <w:tcW w:w="5669" w:type="dxa"/>
          </w:tcPr>
          <w:p w:rsidR="00007BE7" w:rsidRPr="00007BE7" w:rsidRDefault="00007BE7" w:rsidP="00007BE7">
            <w:pPr>
              <w:rPr>
                <w:rFonts w:cs="Frankruhel" w:hint="cs"/>
                <w:rtl/>
              </w:rPr>
            </w:pPr>
            <w:r>
              <w:rPr>
                <w:rtl/>
              </w:rPr>
              <w:t>התרת הוצאה</w:t>
            </w:r>
          </w:p>
        </w:tc>
        <w:tc>
          <w:tcPr>
            <w:tcW w:w="567" w:type="dxa"/>
          </w:tcPr>
          <w:p w:rsidR="00007BE7" w:rsidRPr="00007BE7" w:rsidRDefault="00007BE7" w:rsidP="00007BE7">
            <w:pPr>
              <w:rPr>
                <w:rStyle w:val="Hyperlink"/>
                <w:rFonts w:hint="cs"/>
                <w:rtl/>
              </w:rPr>
            </w:pPr>
            <w:hyperlink w:anchor="Seif9" w:tooltip="התרת הוצאה"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10 </w:t>
            </w:r>
          </w:p>
        </w:tc>
        <w:tc>
          <w:tcPr>
            <w:tcW w:w="5669" w:type="dxa"/>
          </w:tcPr>
          <w:p w:rsidR="00007BE7" w:rsidRPr="00007BE7" w:rsidRDefault="00007BE7" w:rsidP="00007BE7">
            <w:pPr>
              <w:rPr>
                <w:rFonts w:cs="Frankruhel" w:hint="cs"/>
                <w:rtl/>
              </w:rPr>
            </w:pPr>
            <w:r>
              <w:rPr>
                <w:rtl/>
              </w:rPr>
              <w:t>הוראות לענין הפסדים</w:t>
            </w:r>
          </w:p>
        </w:tc>
        <w:tc>
          <w:tcPr>
            <w:tcW w:w="567" w:type="dxa"/>
          </w:tcPr>
          <w:p w:rsidR="00007BE7" w:rsidRPr="00007BE7" w:rsidRDefault="00007BE7" w:rsidP="00007BE7">
            <w:pPr>
              <w:rPr>
                <w:rStyle w:val="Hyperlink"/>
                <w:rFonts w:hint="cs"/>
                <w:rtl/>
              </w:rPr>
            </w:pPr>
            <w:hyperlink w:anchor="Seif10" w:tooltip="הוראות לענין הפסדים"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11 </w:t>
            </w:r>
          </w:p>
        </w:tc>
        <w:tc>
          <w:tcPr>
            <w:tcW w:w="5669" w:type="dxa"/>
          </w:tcPr>
          <w:p w:rsidR="00007BE7" w:rsidRPr="00007BE7" w:rsidRDefault="00007BE7" w:rsidP="00007BE7">
            <w:pPr>
              <w:rPr>
                <w:rFonts w:cs="Frankruhel" w:hint="cs"/>
                <w:rtl/>
              </w:rPr>
            </w:pPr>
            <w:r>
              <w:rPr>
                <w:rtl/>
              </w:rPr>
              <w:t>אי התרת הפסד הון</w:t>
            </w:r>
          </w:p>
        </w:tc>
        <w:tc>
          <w:tcPr>
            <w:tcW w:w="567" w:type="dxa"/>
          </w:tcPr>
          <w:p w:rsidR="00007BE7" w:rsidRPr="00007BE7" w:rsidRDefault="00007BE7" w:rsidP="00007BE7">
            <w:pPr>
              <w:rPr>
                <w:rStyle w:val="Hyperlink"/>
                <w:rFonts w:hint="cs"/>
                <w:rtl/>
              </w:rPr>
            </w:pPr>
            <w:hyperlink w:anchor="Seif11" w:tooltip="אי התרת הפסד הון"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12 </w:t>
            </w:r>
          </w:p>
        </w:tc>
        <w:tc>
          <w:tcPr>
            <w:tcW w:w="5669" w:type="dxa"/>
          </w:tcPr>
          <w:p w:rsidR="00007BE7" w:rsidRPr="00007BE7" w:rsidRDefault="00007BE7" w:rsidP="00007BE7">
            <w:pPr>
              <w:rPr>
                <w:rFonts w:cs="Frankruhel" w:hint="cs"/>
                <w:rtl/>
              </w:rPr>
            </w:pPr>
            <w:r>
              <w:rPr>
                <w:rtl/>
              </w:rPr>
              <w:t>דין הכנסה, שבח או החזר מס שנתקבלו לאחר סיום הליכי הפירוק</w:t>
            </w:r>
          </w:p>
        </w:tc>
        <w:tc>
          <w:tcPr>
            <w:tcW w:w="567" w:type="dxa"/>
          </w:tcPr>
          <w:p w:rsidR="00007BE7" w:rsidRPr="00007BE7" w:rsidRDefault="00007BE7" w:rsidP="00007BE7">
            <w:pPr>
              <w:rPr>
                <w:rStyle w:val="Hyperlink"/>
                <w:rFonts w:hint="cs"/>
                <w:rtl/>
              </w:rPr>
            </w:pPr>
            <w:hyperlink w:anchor="Seif12" w:tooltip="דין הכנסה, שבח או החזר מס שנתקבלו לאחר סיום הליכי הפירוק"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13 </w:t>
            </w:r>
          </w:p>
        </w:tc>
        <w:tc>
          <w:tcPr>
            <w:tcW w:w="5669" w:type="dxa"/>
          </w:tcPr>
          <w:p w:rsidR="00007BE7" w:rsidRPr="00007BE7" w:rsidRDefault="00007BE7" w:rsidP="00007BE7">
            <w:pPr>
              <w:rPr>
                <w:rFonts w:cs="Frankruhel" w:hint="cs"/>
                <w:rtl/>
              </w:rPr>
            </w:pPr>
            <w:r>
              <w:rPr>
                <w:rtl/>
              </w:rPr>
              <w:t>קביעת מקדמות</w:t>
            </w:r>
          </w:p>
        </w:tc>
        <w:tc>
          <w:tcPr>
            <w:tcW w:w="567" w:type="dxa"/>
          </w:tcPr>
          <w:p w:rsidR="00007BE7" w:rsidRPr="00007BE7" w:rsidRDefault="00007BE7" w:rsidP="00007BE7">
            <w:pPr>
              <w:rPr>
                <w:rStyle w:val="Hyperlink"/>
                <w:rFonts w:hint="cs"/>
                <w:rtl/>
              </w:rPr>
            </w:pPr>
            <w:hyperlink w:anchor="Seif13" w:tooltip="קביעת מקדמות"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007BE7" w:rsidRPr="00007BE7">
        <w:tblPrEx>
          <w:tblCellMar>
            <w:top w:w="0" w:type="dxa"/>
            <w:bottom w:w="0" w:type="dxa"/>
          </w:tblCellMar>
        </w:tblPrEx>
        <w:tc>
          <w:tcPr>
            <w:tcW w:w="1247" w:type="dxa"/>
          </w:tcPr>
          <w:p w:rsidR="00007BE7" w:rsidRPr="00007BE7" w:rsidRDefault="00007BE7" w:rsidP="00007BE7">
            <w:pPr>
              <w:rPr>
                <w:rFonts w:cs="Frankruhel" w:hint="cs"/>
                <w:rtl/>
              </w:rPr>
            </w:pPr>
            <w:r>
              <w:rPr>
                <w:rtl/>
              </w:rPr>
              <w:t xml:space="preserve">סעיף 14 </w:t>
            </w:r>
          </w:p>
        </w:tc>
        <w:tc>
          <w:tcPr>
            <w:tcW w:w="5669" w:type="dxa"/>
          </w:tcPr>
          <w:p w:rsidR="00007BE7" w:rsidRPr="00007BE7" w:rsidRDefault="00007BE7" w:rsidP="00007BE7">
            <w:pPr>
              <w:rPr>
                <w:rFonts w:cs="Frankruhel" w:hint="cs"/>
                <w:rtl/>
              </w:rPr>
            </w:pPr>
            <w:r>
              <w:rPr>
                <w:rtl/>
              </w:rPr>
              <w:t>הוראות לענין פיטורים</w:t>
            </w:r>
          </w:p>
        </w:tc>
        <w:tc>
          <w:tcPr>
            <w:tcW w:w="567" w:type="dxa"/>
          </w:tcPr>
          <w:p w:rsidR="00007BE7" w:rsidRPr="00007BE7" w:rsidRDefault="00007BE7" w:rsidP="00007BE7">
            <w:pPr>
              <w:rPr>
                <w:rStyle w:val="Hyperlink"/>
                <w:rFonts w:hint="cs"/>
                <w:rtl/>
              </w:rPr>
            </w:pPr>
            <w:hyperlink w:anchor="Seif14" w:tooltip="הוראות לענין פיטורים" w:history="1">
              <w:r w:rsidRPr="00007BE7">
                <w:rPr>
                  <w:rStyle w:val="Hyperlink"/>
                </w:rPr>
                <w:t>Go</w:t>
              </w:r>
            </w:hyperlink>
          </w:p>
        </w:tc>
        <w:tc>
          <w:tcPr>
            <w:tcW w:w="850" w:type="dxa"/>
          </w:tcPr>
          <w:p w:rsidR="00007BE7" w:rsidRPr="00007BE7" w:rsidRDefault="00007BE7" w:rsidP="00007B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bl>
    <w:p w:rsidR="00CE1059" w:rsidRDefault="00CE1059" w:rsidP="00CE1059">
      <w:pPr>
        <w:pStyle w:val="big-header"/>
        <w:ind w:left="0" w:right="1134"/>
        <w:rPr>
          <w:rFonts w:cs="FrankRuehl" w:hint="cs"/>
          <w:sz w:val="32"/>
          <w:rtl/>
        </w:rPr>
      </w:pPr>
    </w:p>
    <w:p w:rsidR="00CE1059" w:rsidRDefault="00CE1059" w:rsidP="008D2203">
      <w:pPr>
        <w:pStyle w:val="big-header"/>
        <w:ind w:left="0" w:right="1134"/>
        <w:rPr>
          <w:rFonts w:cs="FrankRuehl" w:hint="cs"/>
          <w:sz w:val="32"/>
          <w:rtl/>
        </w:rPr>
      </w:pPr>
      <w:r>
        <w:rPr>
          <w:rFonts w:cs="FrankRuehl"/>
          <w:sz w:val="32"/>
          <w:rtl/>
        </w:rPr>
        <w:br w:type="page"/>
      </w:r>
      <w:r>
        <w:rPr>
          <w:rFonts w:cs="FrankRuehl" w:hint="cs"/>
          <w:sz w:val="32"/>
          <w:rtl/>
        </w:rPr>
        <w:lastRenderedPageBreak/>
        <w:t>תקנות מס הכנסה (הוראות לענין פירוקים מסוימים), תשס"ד-2004</w:t>
      </w:r>
      <w:r>
        <w:rPr>
          <w:rStyle w:val="default"/>
          <w:sz w:val="22"/>
          <w:szCs w:val="22"/>
          <w:rtl/>
        </w:rPr>
        <w:footnoteReference w:customMarkFollows="1" w:id="1"/>
        <w:t>*</w:t>
      </w:r>
    </w:p>
    <w:p w:rsidR="00E26DF7" w:rsidRDefault="00E26DF7">
      <w:pPr>
        <w:pStyle w:val="P00"/>
        <w:spacing w:before="72"/>
        <w:ind w:left="0" w:right="1134"/>
        <w:rPr>
          <w:rStyle w:val="default"/>
          <w:rFonts w:cs="FrankRuehl" w:hint="cs"/>
          <w:rtl/>
        </w:rPr>
      </w:pPr>
      <w:r>
        <w:rPr>
          <w:rStyle w:val="default"/>
          <w:rFonts w:cs="FrankRuehl" w:hint="cs"/>
          <w:rtl/>
        </w:rPr>
        <w:tab/>
        <w:t xml:space="preserve">בתוקף סמכותי לפי סעיפים 93א(ד) ו-243 לפקודת מס הכנסה (להלן </w:t>
      </w:r>
      <w:r>
        <w:rPr>
          <w:rStyle w:val="default"/>
          <w:rFonts w:cs="FrankRuehl"/>
          <w:rtl/>
        </w:rPr>
        <w:t>–</w:t>
      </w:r>
      <w:r>
        <w:rPr>
          <w:rStyle w:val="default"/>
          <w:rFonts w:cs="FrankRuehl" w:hint="cs"/>
          <w:rtl/>
        </w:rPr>
        <w:t xml:space="preserve"> הפקודה), ובאישור ועדת הכספים של הכנסת, אני מתקין תקנות אלה:</w:t>
      </w:r>
    </w:p>
    <w:p w:rsidR="00E26DF7" w:rsidRDefault="00E26DF7">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3.5pt;margin-top:8.05pt;width:75.05pt;height:10pt;z-index:251651072" filled="f" stroked="f" strokecolor="lime" strokeweight=".25pt">
            <v:textbox style="mso-next-textbox:#_x0000_s1026" inset="1mm,0,1mm,0">
              <w:txbxContent>
                <w:p w:rsidR="00E26DF7" w:rsidRDefault="00E26DF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"חלק יחסי" </w:t>
      </w:r>
      <w:r>
        <w:rPr>
          <w:rStyle w:val="default"/>
          <w:rFonts w:cs="FrankRuehl"/>
          <w:rtl/>
        </w:rPr>
        <w:t>–</w:t>
      </w:r>
      <w:r>
        <w:rPr>
          <w:rStyle w:val="default"/>
          <w:rFonts w:cs="FrankRuehl" w:hint="cs"/>
          <w:rtl/>
        </w:rPr>
        <w:t xml:space="preserve"> חלק יחסי בהתאם לשיעור חלקו של בעל המניות בזכות ליתרת נכסי החברה לאחר סילוק חובותיה בעת פירוקה.</w:t>
      </w:r>
    </w:p>
    <w:p w:rsidR="00E26DF7" w:rsidRDefault="00E26DF7">
      <w:pPr>
        <w:pStyle w:val="P00"/>
        <w:spacing w:before="72"/>
        <w:ind w:left="0" w:right="1134"/>
        <w:rPr>
          <w:rStyle w:val="default"/>
          <w:rFonts w:cs="FrankRuehl" w:hint="cs"/>
          <w:rtl/>
        </w:rPr>
      </w:pPr>
      <w:bookmarkStart w:id="1" w:name="Seif2"/>
      <w:bookmarkEnd w:id="1"/>
      <w:r>
        <w:rPr>
          <w:rFonts w:cs="Miriam"/>
          <w:lang w:val="he-IL"/>
        </w:rPr>
        <w:pict>
          <v:rect id="_x0000_s1079" style="position:absolute;left:0;text-align:left;margin-left:463.5pt;margin-top:8.05pt;width:75.05pt;height:22.1pt;z-index:251652096" filled="f" stroked="f" strokecolor="lime" strokeweight=".25pt">
            <v:textbox style="mso-next-textbox:#_x0000_s1079" inset="1mm,0,1mm,0">
              <w:txbxContent>
                <w:p w:rsidR="00E26DF7" w:rsidRDefault="00E26DF7">
                  <w:pPr>
                    <w:spacing w:line="160" w:lineRule="exact"/>
                    <w:rPr>
                      <w:rFonts w:cs="Miriam" w:hint="cs"/>
                      <w:noProof/>
                      <w:sz w:val="18"/>
                      <w:szCs w:val="18"/>
                      <w:rtl/>
                    </w:rPr>
                  </w:pPr>
                  <w:r>
                    <w:rPr>
                      <w:rFonts w:cs="Miriam" w:hint="cs"/>
                      <w:sz w:val="18"/>
                      <w:szCs w:val="18"/>
                      <w:rtl/>
                    </w:rPr>
                    <w:t>סייג להחלת סעיף 93א</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הוראות סעיף 93א לפקודה לא יחולו בפירוק מרצון של חברה שהתקיים בה אחד מאלה:</w:t>
      </w:r>
    </w:p>
    <w:p w:rsidR="00E26DF7" w:rsidRDefault="00E26DF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היא איגוד מקרקעין, כהגדרתו בחוק מיסוי מקרקעין;</w:t>
      </w:r>
    </w:p>
    <w:p w:rsidR="00E26DF7" w:rsidRDefault="00E26DF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היא תושבת חוץ;</w:t>
      </w:r>
    </w:p>
    <w:p w:rsidR="00E26DF7" w:rsidRDefault="00E26DF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היא חברה משפחתית, כמשמעותה בסעיף 64א לפקודה;</w:t>
      </w:r>
    </w:p>
    <w:p w:rsidR="00E26DF7" w:rsidRDefault="00E26DF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פנקסיה אינם קבילים;</w:t>
      </w:r>
    </w:p>
    <w:p w:rsidR="00E26DF7" w:rsidRDefault="00E26DF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לא הגישה דוח לפקיד השומה על הכנסותיה.</w:t>
      </w:r>
    </w:p>
    <w:p w:rsidR="00E26DF7" w:rsidRDefault="00E26DF7">
      <w:pPr>
        <w:pStyle w:val="P00"/>
        <w:spacing w:before="72"/>
        <w:ind w:left="0" w:right="1134"/>
        <w:rPr>
          <w:rStyle w:val="default"/>
          <w:rFonts w:cs="FrankRuehl" w:hint="cs"/>
          <w:rtl/>
        </w:rPr>
      </w:pPr>
      <w:bookmarkStart w:id="2" w:name="Seif3"/>
      <w:bookmarkEnd w:id="2"/>
      <w:r>
        <w:rPr>
          <w:rFonts w:cs="Miriam"/>
          <w:lang w:val="he-IL"/>
        </w:rPr>
        <w:pict>
          <v:rect id="_x0000_s1081" style="position:absolute;left:0;text-align:left;margin-left:463.5pt;margin-top:8.05pt;width:75.05pt;height:10pt;z-index:251653120" filled="f" stroked="f" strokecolor="lime" strokeweight=".25pt">
            <v:textbox style="mso-next-textbox:#_x0000_s1081" inset="1mm,0,1mm,0">
              <w:txbxContent>
                <w:p w:rsidR="00E26DF7" w:rsidRDefault="00E26DF7">
                  <w:pPr>
                    <w:spacing w:line="160" w:lineRule="exact"/>
                    <w:rPr>
                      <w:rFonts w:cs="Miriam" w:hint="cs"/>
                      <w:noProof/>
                      <w:sz w:val="18"/>
                      <w:szCs w:val="18"/>
                      <w:rtl/>
                    </w:rPr>
                  </w:pPr>
                  <w:r>
                    <w:rPr>
                      <w:rFonts w:cs="Miriam" w:hint="cs"/>
                      <w:sz w:val="18"/>
                      <w:szCs w:val="18"/>
                      <w:rtl/>
                    </w:rPr>
                    <w:t>קביעת עודפים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לענין סעיף 93א(א)(6) לפקודה, יראו כעודפים את הסכום של כל אלה:</w:t>
      </w:r>
    </w:p>
    <w:p w:rsidR="00E26DF7" w:rsidRDefault="00E26DF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הכנסתה החייבת של החברה, בכל שנות המס מאז הקמתה, כפי שהיתה לפני ניכוי ההוצאה בשל חלוקת העודפים, בניכוי דיבידנד ורווחים שחולקו לבעלי המניות לחויבו במס לפי הוראות הפקודה;</w:t>
      </w:r>
    </w:p>
    <w:p w:rsidR="00E26DF7" w:rsidRDefault="00E26DF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השבח כמשמעותו בחוק מיסוי מקרקעין;</w:t>
      </w:r>
    </w:p>
    <w:p w:rsidR="00E26DF7" w:rsidRDefault="00E26DF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רווחים, ובלבד שלא יבואו במנין רווחים כאמור שחלה עליהם פסקה (1) או (2);</w:t>
      </w:r>
    </w:p>
    <w:p w:rsidR="00E26DF7" w:rsidRDefault="00E26DF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יתרת חובה של בעל מניות בחברה שלא סולקה עד לתום הליכי הפירוק של החברה, אלא אם כן חויבה במס כהכנסתו של בעל המניות לפי סעיף 2(1) או (2) לפקודה או שחלות עליה הוראות פסקה (1),</w:t>
      </w:r>
    </w:p>
    <w:p w:rsidR="00E26DF7" w:rsidRDefault="00E26DF7">
      <w:pPr>
        <w:pStyle w:val="P00"/>
        <w:spacing w:before="72"/>
        <w:ind w:left="0" w:right="1134"/>
        <w:rPr>
          <w:rStyle w:val="default"/>
          <w:rFonts w:cs="FrankRuehl" w:hint="cs"/>
          <w:rtl/>
        </w:rPr>
      </w:pPr>
      <w:r>
        <w:rPr>
          <w:rStyle w:val="default"/>
          <w:rFonts w:cs="FrankRuehl" w:hint="cs"/>
          <w:rtl/>
        </w:rPr>
        <w:t>והכל כפי שהצטברו עד לתום הליכי הפירוק.</w:t>
      </w:r>
    </w:p>
    <w:p w:rsidR="00E26DF7" w:rsidRDefault="00E26DF7">
      <w:pPr>
        <w:pStyle w:val="P00"/>
        <w:spacing w:before="72"/>
        <w:ind w:left="0" w:right="1134"/>
        <w:rPr>
          <w:rStyle w:val="default"/>
          <w:rFonts w:cs="FrankRuehl" w:hint="cs"/>
          <w:rtl/>
        </w:rPr>
      </w:pPr>
      <w:bookmarkStart w:id="3" w:name="Seif4"/>
      <w:bookmarkEnd w:id="3"/>
      <w:r>
        <w:rPr>
          <w:rFonts w:cs="Miriam"/>
          <w:lang w:val="he-IL"/>
        </w:rPr>
        <w:pict>
          <v:rect id="_x0000_s1082" style="position:absolute;left:0;text-align:left;margin-left:463.5pt;margin-top:8.05pt;width:75.05pt;height:22.25pt;z-index:251654144" filled="f" stroked="f" strokecolor="lime" strokeweight=".25pt">
            <v:textbox style="mso-next-textbox:#_x0000_s1082" inset="1mm,0,1mm,0">
              <w:txbxContent>
                <w:p w:rsidR="00E26DF7" w:rsidRDefault="00E26DF7">
                  <w:pPr>
                    <w:spacing w:line="160" w:lineRule="exact"/>
                    <w:rPr>
                      <w:rFonts w:cs="Miriam" w:hint="cs"/>
                      <w:noProof/>
                      <w:sz w:val="18"/>
                      <w:szCs w:val="18"/>
                      <w:rtl/>
                    </w:rPr>
                  </w:pPr>
                  <w:r>
                    <w:rPr>
                      <w:rFonts w:cs="Miriam" w:hint="cs"/>
                      <w:sz w:val="18"/>
                      <w:szCs w:val="18"/>
                      <w:rtl/>
                    </w:rPr>
                    <w:t>חישוב המס החל על העודפים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העודפים לפי סעיף 93א(א)(6) שעליהם יחויב בעל מניות בחברה במס בשנת המס 2003 הם הסכומים כפי שנקבעו בתקנה 3(1) עד (3), כשהם מוכפלים בחלקו היחסי של בעל המניות במועד הפירוק, בתוספת יתרת החובה שלו, כאמור בתקנה 3(4).</w:t>
      </w:r>
    </w:p>
    <w:p w:rsidR="00E26DF7" w:rsidRDefault="00E26DF7">
      <w:pPr>
        <w:pStyle w:val="P00"/>
        <w:spacing w:before="72"/>
        <w:ind w:left="0" w:right="1134"/>
        <w:rPr>
          <w:rStyle w:val="default"/>
          <w:rFonts w:cs="FrankRuehl" w:hint="cs"/>
          <w:rtl/>
        </w:rPr>
      </w:pPr>
      <w:bookmarkStart w:id="4" w:name="Seif5"/>
      <w:bookmarkEnd w:id="4"/>
      <w:r>
        <w:rPr>
          <w:rFonts w:cs="Miriam"/>
          <w:lang w:val="he-IL"/>
        </w:rPr>
        <w:pict>
          <v:rect id="_x0000_s1083" style="position:absolute;left:0;text-align:left;margin-left:463.5pt;margin-top:8.05pt;width:75.05pt;height:21.3pt;z-index:251655168" filled="f" stroked="f" strokecolor="lime" strokeweight=".25pt">
            <v:textbox style="mso-next-textbox:#_x0000_s1083" inset="1mm,0,1mm,0">
              <w:txbxContent>
                <w:p w:rsidR="00E26DF7" w:rsidRDefault="00E26DF7">
                  <w:pPr>
                    <w:spacing w:line="160" w:lineRule="exact"/>
                    <w:rPr>
                      <w:rFonts w:cs="Miriam" w:hint="cs"/>
                      <w:noProof/>
                      <w:sz w:val="18"/>
                      <w:szCs w:val="18"/>
                      <w:rtl/>
                    </w:rPr>
                  </w:pPr>
                  <w:r>
                    <w:rPr>
                      <w:rFonts w:cs="Miriam" w:hint="cs"/>
                      <w:sz w:val="18"/>
                      <w:szCs w:val="18"/>
                      <w:rtl/>
                    </w:rPr>
                    <w:t>העברת התחייבויות החברה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לענין סעיף 93א יראו את העברת פעילות החברה ככוללת גם את התחייבויותיה, ולא יראו את העברת ההתחייבויות כתמורה.</w:t>
      </w:r>
    </w:p>
    <w:p w:rsidR="00E26DF7" w:rsidRDefault="00E26DF7">
      <w:pPr>
        <w:pStyle w:val="P00"/>
        <w:spacing w:before="72"/>
        <w:ind w:left="0" w:right="1134"/>
        <w:rPr>
          <w:rStyle w:val="default"/>
          <w:rFonts w:cs="FrankRuehl" w:hint="cs"/>
          <w:rtl/>
        </w:rPr>
      </w:pPr>
      <w:bookmarkStart w:id="5" w:name="Seif6"/>
      <w:bookmarkEnd w:id="5"/>
      <w:r>
        <w:rPr>
          <w:rFonts w:cs="Miriam"/>
          <w:lang w:val="he-IL"/>
        </w:rPr>
        <w:pict>
          <v:rect id="_x0000_s1084" style="position:absolute;left:0;text-align:left;margin-left:463.5pt;margin-top:8.05pt;width:75.05pt;height:9.4pt;z-index:251656192" filled="f" stroked="f" strokecolor="lime" strokeweight=".25pt">
            <v:textbox style="mso-next-textbox:#_x0000_s1084" inset="1mm,0,1mm,0">
              <w:txbxContent>
                <w:p w:rsidR="00E26DF7" w:rsidRDefault="00E26DF7">
                  <w:pPr>
                    <w:spacing w:line="160" w:lineRule="exact"/>
                    <w:rPr>
                      <w:rFonts w:cs="Miriam" w:hint="cs"/>
                      <w:noProof/>
                      <w:sz w:val="18"/>
                      <w:szCs w:val="18"/>
                      <w:rtl/>
                    </w:rPr>
                  </w:pPr>
                  <w:r>
                    <w:rPr>
                      <w:rFonts w:cs="Miriam" w:hint="cs"/>
                      <w:sz w:val="18"/>
                      <w:szCs w:val="18"/>
                      <w:rtl/>
                    </w:rPr>
                    <w:t>זיכוי מיוחד</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היה לחברה הפסד שניתן להעבירו לשנת המס 2004 שמקורו בעודפים, יינתן לבעל המניות זיכוי כנגד המס החל על העודפים שקיבל, בגובה חלקו היחסי במס החברות ששילמה החברה על ההכנסה שממנה חולקו העודפים, ובלבד שלא יינתן זיכוי בשל מס החברות ששולם על הכנסה שממנה חולק לבעלי המניות דיבידנד, ושהזיכוי לא יעלה על סכום המס שאותו בעל מניות חייב בו לפי סעיף 93א לפקודה.</w:t>
      </w:r>
    </w:p>
    <w:p w:rsidR="00E26DF7" w:rsidRDefault="00E26DF7">
      <w:pPr>
        <w:pStyle w:val="P00"/>
        <w:spacing w:before="72"/>
        <w:ind w:left="0" w:right="1134"/>
        <w:rPr>
          <w:rStyle w:val="default"/>
          <w:rFonts w:cs="FrankRuehl" w:hint="cs"/>
          <w:rtl/>
        </w:rPr>
      </w:pPr>
      <w:bookmarkStart w:id="6" w:name="Seif7"/>
      <w:bookmarkEnd w:id="6"/>
      <w:r>
        <w:rPr>
          <w:rFonts w:cs="Miriam"/>
          <w:lang w:val="he-IL"/>
        </w:rPr>
        <w:pict>
          <v:rect id="_x0000_s1085" style="position:absolute;left:0;text-align:left;margin-left:463.5pt;margin-top:8.05pt;width:75.05pt;height:21.4pt;z-index:251657216" filled="f" stroked="f" strokecolor="lime" strokeweight=".25pt">
            <v:textbox style="mso-next-textbox:#_x0000_s1085" inset="1mm,0,1mm,0">
              <w:txbxContent>
                <w:p w:rsidR="00E26DF7" w:rsidRDefault="00E26DF7">
                  <w:pPr>
                    <w:spacing w:line="160" w:lineRule="exact"/>
                    <w:rPr>
                      <w:rFonts w:cs="Miriam" w:hint="cs"/>
                      <w:noProof/>
                      <w:sz w:val="18"/>
                      <w:szCs w:val="18"/>
                      <w:rtl/>
                    </w:rPr>
                  </w:pPr>
                  <w:r>
                    <w:rPr>
                      <w:rFonts w:cs="Miriam" w:hint="cs"/>
                      <w:sz w:val="18"/>
                      <w:szCs w:val="18"/>
                      <w:rtl/>
                    </w:rPr>
                    <w:t>תנאים מיוחדים לענין העודפים</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בחישוב המס החל על העודפים לא יחולו הוראות סעיף 8(ג) ו-9(7א) לפקודה.</w:t>
      </w:r>
    </w:p>
    <w:p w:rsidR="00E26DF7" w:rsidRDefault="00E26DF7">
      <w:pPr>
        <w:pStyle w:val="P00"/>
        <w:spacing w:before="72"/>
        <w:ind w:left="0" w:right="1134"/>
        <w:rPr>
          <w:rStyle w:val="default"/>
          <w:rFonts w:cs="FrankRuehl" w:hint="cs"/>
          <w:rtl/>
        </w:rPr>
      </w:pPr>
      <w:bookmarkStart w:id="7" w:name="Seif8"/>
      <w:bookmarkEnd w:id="7"/>
      <w:r>
        <w:rPr>
          <w:rFonts w:cs="Miriam"/>
          <w:lang w:val="he-IL"/>
        </w:rPr>
        <w:pict>
          <v:rect id="_x0000_s1086" style="position:absolute;left:0;text-align:left;margin-left:463.5pt;margin-top:8.05pt;width:75.05pt;height:22.55pt;z-index:251658240" filled="f" stroked="f" strokecolor="lime" strokeweight=".25pt">
            <v:textbox style="mso-next-textbox:#_x0000_s1086" inset="1mm,0,1mm,0">
              <w:txbxContent>
                <w:p w:rsidR="00E26DF7" w:rsidRDefault="00E26DF7">
                  <w:pPr>
                    <w:spacing w:line="160" w:lineRule="exact"/>
                    <w:rPr>
                      <w:rFonts w:cs="Miriam" w:hint="cs"/>
                      <w:noProof/>
                      <w:sz w:val="18"/>
                      <w:szCs w:val="18"/>
                      <w:rtl/>
                    </w:rPr>
                  </w:pPr>
                  <w:r>
                    <w:rPr>
                      <w:rFonts w:cs="Miriam" w:hint="cs"/>
                      <w:sz w:val="18"/>
                      <w:szCs w:val="18"/>
                      <w:rtl/>
                    </w:rPr>
                    <w:t>הוראות לענין חישוב רווח ההון</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לענין נכס שהועבר לבעל מניות בפטור ממס כאמור בסעיף 93א, יחולו לענין הפקודה וחוק תיאומים בשל אינפלציה הוראות אלה:</w:t>
      </w:r>
    </w:p>
    <w:p w:rsidR="00E26DF7" w:rsidRDefault="00E26DF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נכס שנרכש על ידי החברה יראו את המחיר המקורי, יתרת המחיר המקורי ויום הרכישה, כפי שהיו אילו נמכרו בידי החברה;</w:t>
      </w:r>
    </w:p>
    <w:p w:rsidR="00E26DF7" w:rsidRDefault="00E26DF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בנכס שהועבר לחברה בפטור ממס, יראו את המחיר המקורי, יתרת המחיר המקורי ויום הרכישה, כפי שהיו אילו נמכרו בידי האדם שממנו התקבלו בפטור ממס.</w:t>
      </w:r>
    </w:p>
    <w:p w:rsidR="00E26DF7" w:rsidRDefault="00E26DF7">
      <w:pPr>
        <w:pStyle w:val="P00"/>
        <w:spacing w:before="72"/>
        <w:ind w:left="0" w:right="1134"/>
        <w:rPr>
          <w:rStyle w:val="default"/>
          <w:rFonts w:cs="FrankRuehl" w:hint="cs"/>
          <w:rtl/>
        </w:rPr>
      </w:pPr>
      <w:bookmarkStart w:id="8" w:name="Seif9"/>
      <w:bookmarkEnd w:id="8"/>
      <w:r>
        <w:rPr>
          <w:rFonts w:cs="Miriam"/>
          <w:lang w:val="he-IL"/>
        </w:rPr>
        <w:pict>
          <v:rect id="_x0000_s1087" style="position:absolute;left:0;text-align:left;margin-left:463.5pt;margin-top:8.05pt;width:75.05pt;height:9.7pt;z-index:251659264" filled="f" stroked="f" strokecolor="lime" strokeweight=".25pt">
            <v:textbox style="mso-next-textbox:#_x0000_s1087" inset="1mm,0,1mm,0">
              <w:txbxContent>
                <w:p w:rsidR="00E26DF7" w:rsidRDefault="00E26DF7">
                  <w:pPr>
                    <w:spacing w:line="160" w:lineRule="exact"/>
                    <w:rPr>
                      <w:rFonts w:cs="Miriam" w:hint="cs"/>
                      <w:noProof/>
                      <w:sz w:val="18"/>
                      <w:szCs w:val="18"/>
                      <w:rtl/>
                    </w:rPr>
                  </w:pPr>
                  <w:r>
                    <w:rPr>
                      <w:rFonts w:cs="Miriam" w:hint="cs"/>
                      <w:sz w:val="18"/>
                      <w:szCs w:val="18"/>
                      <w:rtl/>
                    </w:rPr>
                    <w:t>התרת הוצאה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סכום העודפים ששולם לבעל המניות בהתאם לתקנות אלה יותר לחברה כהוצאה בייצור </w:t>
      </w:r>
      <w:r>
        <w:rPr>
          <w:rStyle w:val="default"/>
          <w:rFonts w:cs="FrankRuehl" w:hint="cs"/>
          <w:rtl/>
        </w:rPr>
        <w:lastRenderedPageBreak/>
        <w:t>הכנסה בשנת המס 2003.</w:t>
      </w:r>
    </w:p>
    <w:p w:rsidR="00E26DF7" w:rsidRDefault="00E26DF7">
      <w:pPr>
        <w:pStyle w:val="P00"/>
        <w:spacing w:before="72"/>
        <w:ind w:left="0" w:right="1134"/>
        <w:rPr>
          <w:rStyle w:val="default"/>
          <w:rFonts w:cs="FrankRuehl" w:hint="cs"/>
          <w:rtl/>
        </w:rPr>
      </w:pPr>
      <w:bookmarkStart w:id="9" w:name="Seif10"/>
      <w:bookmarkEnd w:id="9"/>
      <w:r>
        <w:rPr>
          <w:rFonts w:cs="Miriam"/>
          <w:lang w:val="he-IL"/>
        </w:rPr>
        <w:pict>
          <v:rect id="_x0000_s1088" style="position:absolute;left:0;text-align:left;margin-left:463.5pt;margin-top:8.05pt;width:75.05pt;height:18.1pt;z-index:251660288" filled="f" stroked="f" strokecolor="lime" strokeweight=".25pt">
            <v:textbox style="mso-next-textbox:#_x0000_s1088" inset="1mm,0,1mm,0">
              <w:txbxContent>
                <w:p w:rsidR="00E26DF7" w:rsidRDefault="00E26DF7">
                  <w:pPr>
                    <w:spacing w:line="160" w:lineRule="exact"/>
                    <w:rPr>
                      <w:rFonts w:cs="Miriam" w:hint="cs"/>
                      <w:noProof/>
                      <w:sz w:val="18"/>
                      <w:szCs w:val="18"/>
                      <w:rtl/>
                    </w:rPr>
                  </w:pPr>
                  <w:r>
                    <w:rPr>
                      <w:rFonts w:cs="Miriam" w:hint="cs"/>
                      <w:sz w:val="18"/>
                      <w:szCs w:val="18"/>
                      <w:rtl/>
                    </w:rPr>
                    <w:t>הוראות לענין הפסדים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הוראות הפקודה וחוק תיאומים בשל אינפלציה, לפי הענין, יחולו על הפסדים שנותרו בחברה במועד סיום הליכי הפירוק, ויראו אותם הפסדים כהפסד של כל אחד מבעלי המניות, לפי חלקו היחסי במועד הפירוק; ההפסד יסווג כפי שהיה מסווג אילו היה נשאר הפסד של החברה; לענין תקנה זו, "הפסד" </w:t>
      </w:r>
      <w:r>
        <w:rPr>
          <w:rStyle w:val="default"/>
          <w:rFonts w:cs="FrankRuehl"/>
          <w:rtl/>
        </w:rPr>
        <w:t>–</w:t>
      </w:r>
      <w:r>
        <w:rPr>
          <w:rStyle w:val="default"/>
          <w:rFonts w:cs="FrankRuehl" w:hint="cs"/>
          <w:rtl/>
        </w:rPr>
        <w:t xml:space="preserve"> למעט הפסד שמקורו בתשלום העודפים לבעלי המניות.</w:t>
      </w:r>
    </w:p>
    <w:p w:rsidR="00E26DF7" w:rsidRDefault="00E26DF7">
      <w:pPr>
        <w:pStyle w:val="P00"/>
        <w:spacing w:before="72"/>
        <w:ind w:left="0" w:right="1134"/>
        <w:rPr>
          <w:rStyle w:val="default"/>
          <w:rFonts w:cs="FrankRuehl" w:hint="cs"/>
          <w:rtl/>
        </w:rPr>
      </w:pPr>
      <w:bookmarkStart w:id="10" w:name="Seif11"/>
      <w:bookmarkEnd w:id="10"/>
      <w:r>
        <w:rPr>
          <w:rFonts w:cs="Miriam"/>
          <w:lang w:val="he-IL"/>
        </w:rPr>
        <w:pict>
          <v:rect id="_x0000_s1089" style="position:absolute;left:0;text-align:left;margin-left:463.5pt;margin-top:8.05pt;width:75.05pt;height:13.15pt;z-index:251661312" filled="f" stroked="f" strokecolor="lime" strokeweight=".25pt">
            <v:textbox style="mso-next-textbox:#_x0000_s1089" inset="1mm,0,1mm,0">
              <w:txbxContent>
                <w:p w:rsidR="00E26DF7" w:rsidRDefault="00E26DF7">
                  <w:pPr>
                    <w:spacing w:line="160" w:lineRule="exact"/>
                    <w:rPr>
                      <w:rFonts w:cs="Miriam" w:hint="cs"/>
                      <w:noProof/>
                      <w:sz w:val="18"/>
                      <w:szCs w:val="18"/>
                      <w:rtl/>
                    </w:rPr>
                  </w:pPr>
                  <w:r>
                    <w:rPr>
                      <w:rFonts w:cs="Miriam" w:hint="cs"/>
                      <w:sz w:val="18"/>
                      <w:szCs w:val="18"/>
                      <w:rtl/>
                    </w:rPr>
                    <w:t>אי התרת הפסד הון</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לא יותר הפסד הון בשל ההשקעה במניות החברה.</w:t>
      </w:r>
    </w:p>
    <w:p w:rsidR="00E26DF7" w:rsidRDefault="00E26DF7">
      <w:pPr>
        <w:pStyle w:val="P00"/>
        <w:spacing w:before="72"/>
        <w:ind w:left="0" w:right="1134"/>
        <w:rPr>
          <w:rStyle w:val="default"/>
          <w:rFonts w:cs="FrankRuehl" w:hint="cs"/>
          <w:rtl/>
        </w:rPr>
      </w:pPr>
      <w:bookmarkStart w:id="11" w:name="Seif12"/>
      <w:bookmarkEnd w:id="11"/>
      <w:r>
        <w:rPr>
          <w:rFonts w:cs="Miriam"/>
          <w:lang w:val="he-IL"/>
        </w:rPr>
        <w:pict>
          <v:rect id="_x0000_s1090" style="position:absolute;left:0;text-align:left;margin-left:463.5pt;margin-top:8.05pt;width:75.05pt;height:38.25pt;z-index:251662336" filled="f" stroked="f" strokecolor="lime" strokeweight=".25pt">
            <v:textbox style="mso-next-textbox:#_x0000_s1090" inset="1mm,0,1mm,0">
              <w:txbxContent>
                <w:p w:rsidR="00E26DF7" w:rsidRDefault="00E26DF7">
                  <w:pPr>
                    <w:spacing w:line="160" w:lineRule="exact"/>
                    <w:rPr>
                      <w:rFonts w:cs="Miriam" w:hint="cs"/>
                      <w:noProof/>
                      <w:sz w:val="18"/>
                      <w:szCs w:val="18"/>
                      <w:rtl/>
                    </w:rPr>
                  </w:pPr>
                  <w:r>
                    <w:rPr>
                      <w:rFonts w:cs="Miriam" w:hint="cs"/>
                      <w:sz w:val="18"/>
                      <w:szCs w:val="18"/>
                      <w:rtl/>
                    </w:rPr>
                    <w:t>דין הכנסה, שבח או החזר מס שנתקבלו לאחר סיום הליכי הפירוק</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היו לחברה הכנסה או שבח מקרקעין, כמשמעותו בחוק מיסוי מקרקעין, לאחר שהסתיימו הליכי הפירוק, יראו אותם כהכנסת בעלי המניות, לפי סעיף 2(1) או 2(2) לפקודה, בהתאם לחלקם היחסי במועד הפירוק.</w:t>
      </w:r>
    </w:p>
    <w:p w:rsidR="00E26DF7" w:rsidRDefault="00E26DF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לחברה החזר מס יראו אותו כהחזר מס של בעלי המניות, בהתאם לחלקם היחסי.</w:t>
      </w:r>
    </w:p>
    <w:p w:rsidR="00E26DF7" w:rsidRDefault="00E26DF7">
      <w:pPr>
        <w:pStyle w:val="P00"/>
        <w:spacing w:before="72"/>
        <w:ind w:left="0" w:right="1134"/>
        <w:rPr>
          <w:rStyle w:val="default"/>
          <w:rFonts w:cs="FrankRuehl" w:hint="cs"/>
          <w:rtl/>
        </w:rPr>
      </w:pPr>
      <w:bookmarkStart w:id="12" w:name="Seif13"/>
      <w:bookmarkEnd w:id="12"/>
      <w:r>
        <w:rPr>
          <w:rFonts w:cs="Miriam"/>
          <w:lang w:val="he-IL"/>
        </w:rPr>
        <w:pict>
          <v:rect id="_x0000_s1091" style="position:absolute;left:0;text-align:left;margin-left:463.5pt;margin-top:8.05pt;width:75.05pt;height:10pt;z-index:251663360" filled="f" stroked="f" strokecolor="lime" strokeweight=".25pt">
            <v:textbox style="mso-next-textbox:#_x0000_s1091" inset="1mm,0,1mm,0">
              <w:txbxContent>
                <w:p w:rsidR="00E26DF7" w:rsidRDefault="00E26DF7">
                  <w:pPr>
                    <w:spacing w:line="160" w:lineRule="exact"/>
                    <w:rPr>
                      <w:rFonts w:cs="Miriam" w:hint="cs"/>
                      <w:noProof/>
                      <w:sz w:val="18"/>
                      <w:szCs w:val="18"/>
                      <w:rtl/>
                    </w:rPr>
                  </w:pPr>
                  <w:r>
                    <w:rPr>
                      <w:rFonts w:cs="Miriam" w:hint="cs"/>
                      <w:sz w:val="18"/>
                      <w:szCs w:val="18"/>
                      <w:rtl/>
                    </w:rPr>
                    <w:t>קביעת מקדמות</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בקביעת מקדמות של בעל המניות, כאמור בסעיף 175 לפקודה, לשנת המס שלאחר שנת המס שהסתיימו בה הליכי הפירוק, יצורף למחזור המהווה בסיס למקדמותיו גם חלקו היחסי במחזור העסקאות של החברה.</w:t>
      </w:r>
    </w:p>
    <w:p w:rsidR="00E26DF7" w:rsidRDefault="00E26DF7">
      <w:pPr>
        <w:pStyle w:val="P00"/>
        <w:spacing w:before="72"/>
        <w:ind w:left="0" w:right="1134"/>
        <w:rPr>
          <w:rStyle w:val="default"/>
          <w:rFonts w:cs="FrankRuehl" w:hint="cs"/>
          <w:rtl/>
        </w:rPr>
      </w:pPr>
      <w:bookmarkStart w:id="13" w:name="Seif14"/>
      <w:bookmarkEnd w:id="13"/>
      <w:r>
        <w:rPr>
          <w:rFonts w:cs="Miriam"/>
          <w:lang w:val="he-IL"/>
        </w:rPr>
        <w:pict>
          <v:rect id="_x0000_s1092" style="position:absolute;left:0;text-align:left;margin-left:463.5pt;margin-top:8.05pt;width:75.05pt;height:19.8pt;z-index:251664384" filled="f" stroked="f" strokecolor="lime" strokeweight=".25pt">
            <v:textbox style="mso-next-textbox:#_x0000_s1092" inset="1mm,0,1mm,0">
              <w:txbxContent>
                <w:p w:rsidR="00E26DF7" w:rsidRDefault="00E26DF7">
                  <w:pPr>
                    <w:spacing w:line="160" w:lineRule="exact"/>
                    <w:rPr>
                      <w:rFonts w:cs="Miriam" w:hint="cs"/>
                      <w:noProof/>
                      <w:sz w:val="18"/>
                      <w:szCs w:val="18"/>
                      <w:rtl/>
                    </w:rPr>
                  </w:pPr>
                  <w:r>
                    <w:rPr>
                      <w:rFonts w:cs="Miriam" w:hint="cs"/>
                      <w:sz w:val="18"/>
                      <w:szCs w:val="18"/>
                      <w:rtl/>
                    </w:rPr>
                    <w:t>הוראות לענין פיטורים</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על אף האמור בכל דין, לענין הוראת הפקודה לא יראו את הפסקת העבודה במסגרת החברה בשל פירוקה לפי הוראות תקנות אלה כפיטורים או כהתפטרות.</w:t>
      </w:r>
    </w:p>
    <w:p w:rsidR="00E26DF7" w:rsidRDefault="00E26DF7">
      <w:pPr>
        <w:pStyle w:val="P00"/>
        <w:spacing w:before="72"/>
        <w:ind w:left="0" w:right="1134"/>
        <w:rPr>
          <w:rStyle w:val="default"/>
          <w:rFonts w:cs="FrankRuehl" w:hint="cs"/>
          <w:rtl/>
        </w:rPr>
      </w:pPr>
    </w:p>
    <w:p w:rsidR="00E26DF7" w:rsidRDefault="00E26DF7">
      <w:pPr>
        <w:pStyle w:val="P00"/>
        <w:spacing w:before="72"/>
        <w:ind w:left="0" w:right="1134"/>
        <w:rPr>
          <w:rStyle w:val="default"/>
          <w:rFonts w:cs="FrankRuehl" w:hint="cs"/>
          <w:rtl/>
        </w:rPr>
      </w:pPr>
    </w:p>
    <w:p w:rsidR="00E26DF7" w:rsidRDefault="00E26DF7" w:rsidP="00CE1059">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י"ג בטבת התשס"ד (7 בינואר 2004)</w:t>
      </w:r>
      <w:r w:rsidR="00CE1059">
        <w:rPr>
          <w:rFonts w:cs="FrankRuehl" w:hint="cs"/>
          <w:sz w:val="26"/>
          <w:szCs w:val="26"/>
          <w:rtl/>
        </w:rPr>
        <w:tab/>
      </w:r>
      <w:r>
        <w:rPr>
          <w:rFonts w:cs="FrankRuehl" w:hint="cs"/>
          <w:sz w:val="26"/>
          <w:szCs w:val="26"/>
          <w:rtl/>
        </w:rPr>
        <w:t>בנימין נתניהו</w:t>
      </w:r>
    </w:p>
    <w:p w:rsidR="00E26DF7" w:rsidRDefault="00E26DF7">
      <w:pPr>
        <w:pStyle w:val="sig-1"/>
        <w:widowControl/>
        <w:tabs>
          <w:tab w:val="clear" w:pos="851"/>
          <w:tab w:val="clear" w:pos="2835"/>
          <w:tab w:val="clear" w:pos="4820"/>
          <w:tab w:val="center" w:pos="4536"/>
        </w:tabs>
        <w:ind w:left="0" w:right="1134"/>
        <w:rPr>
          <w:rFonts w:cs="FrankRuehl" w:hint="cs"/>
          <w:sz w:val="22"/>
          <w:rtl/>
        </w:rPr>
      </w:pPr>
      <w:r>
        <w:rPr>
          <w:rFonts w:cs="FrankRuehl" w:hint="cs"/>
          <w:sz w:val="22"/>
          <w:rtl/>
        </w:rPr>
        <w:tab/>
        <w:t>שר האוצר</w:t>
      </w:r>
    </w:p>
    <w:p w:rsidR="00E26DF7" w:rsidRPr="00CE1059" w:rsidRDefault="00E26DF7" w:rsidP="00CE1059">
      <w:pPr>
        <w:pStyle w:val="P00"/>
        <w:spacing w:before="72"/>
        <w:ind w:left="0" w:right="1134"/>
        <w:rPr>
          <w:rStyle w:val="default"/>
          <w:rFonts w:cs="FrankRuehl" w:hint="cs"/>
          <w:rtl/>
        </w:rPr>
      </w:pPr>
    </w:p>
    <w:p w:rsidR="00CE1059" w:rsidRPr="00CE1059" w:rsidRDefault="00CE1059" w:rsidP="00CE1059">
      <w:pPr>
        <w:pStyle w:val="P00"/>
        <w:spacing w:before="72"/>
        <w:ind w:left="0" w:right="1134"/>
        <w:rPr>
          <w:rStyle w:val="default"/>
          <w:rFonts w:cs="FrankRuehl" w:hint="cs"/>
          <w:rtl/>
        </w:rPr>
      </w:pPr>
    </w:p>
    <w:p w:rsidR="00CE1059" w:rsidRPr="00CE1059" w:rsidRDefault="00CE1059" w:rsidP="00CE1059">
      <w:pPr>
        <w:pStyle w:val="P00"/>
        <w:spacing w:before="72"/>
        <w:ind w:left="0" w:right="1134"/>
        <w:rPr>
          <w:rStyle w:val="default"/>
          <w:rFonts w:cs="FrankRuehl" w:hint="cs"/>
          <w:rtl/>
        </w:rPr>
      </w:pPr>
    </w:p>
    <w:sectPr w:rsidR="00CE1059" w:rsidRPr="00CE105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55FA" w:rsidRDefault="00BB55FA">
      <w:r>
        <w:separator/>
      </w:r>
    </w:p>
  </w:endnote>
  <w:endnote w:type="continuationSeparator" w:id="0">
    <w:p w:rsidR="00BB55FA" w:rsidRDefault="00BB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6DF7" w:rsidRDefault="00E26DF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26DF7" w:rsidRDefault="00E26DF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26DF7" w:rsidRDefault="00E26DF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07BE7">
      <w:rPr>
        <w:rFonts w:cs="TopType Jerushalmi"/>
        <w:noProof/>
        <w:color w:val="000000"/>
        <w:sz w:val="14"/>
        <w:szCs w:val="14"/>
      </w:rPr>
      <w:t>Z:\000000000000-law\yael\08-10-12\999_243.doc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6DF7" w:rsidRDefault="00E26DF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A295D">
      <w:rPr>
        <w:rFonts w:hAnsi="FrankRuehl" w:cs="FrankRuehl"/>
        <w:noProof/>
        <w:sz w:val="24"/>
        <w:szCs w:val="24"/>
        <w:rtl/>
      </w:rPr>
      <w:t>2</w:t>
    </w:r>
    <w:r>
      <w:rPr>
        <w:rFonts w:hAnsi="FrankRuehl" w:cs="FrankRuehl"/>
        <w:sz w:val="24"/>
        <w:szCs w:val="24"/>
        <w:rtl/>
      </w:rPr>
      <w:fldChar w:fldCharType="end"/>
    </w:r>
  </w:p>
  <w:p w:rsidR="00E26DF7" w:rsidRDefault="00E26DF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26DF7" w:rsidRDefault="00E26DF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07BE7">
      <w:rPr>
        <w:rFonts w:cs="TopType Jerushalmi"/>
        <w:noProof/>
        <w:color w:val="000000"/>
        <w:sz w:val="14"/>
        <w:szCs w:val="14"/>
      </w:rPr>
      <w:t>Z:\000000000000-law\yael\08-10-12\999_243.doc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55FA" w:rsidRDefault="00BB55FA" w:rsidP="00CE1059">
      <w:pPr>
        <w:spacing w:before="60"/>
        <w:ind w:right="1134"/>
      </w:pPr>
      <w:r>
        <w:separator/>
      </w:r>
    </w:p>
  </w:footnote>
  <w:footnote w:type="continuationSeparator" w:id="0">
    <w:p w:rsidR="00BB55FA" w:rsidRDefault="00BB55FA">
      <w:r>
        <w:continuationSeparator/>
      </w:r>
    </w:p>
  </w:footnote>
  <w:footnote w:id="1">
    <w:p w:rsidR="00CE1059" w:rsidRDefault="00CE1059" w:rsidP="00CE10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8E3D6D">
          <w:rPr>
            <w:rStyle w:val="Hyperlink"/>
            <w:rFonts w:cs="FrankRuehl" w:hint="cs"/>
            <w:rtl/>
          </w:rPr>
          <w:t>ק"ת תשס"ד מס' 6286</w:t>
        </w:r>
      </w:hyperlink>
      <w:r>
        <w:rPr>
          <w:rFonts w:cs="FrankRuehl" w:hint="cs"/>
          <w:rtl/>
        </w:rPr>
        <w:t xml:space="preserve"> מיום 19.1.2004 עמ' 154.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6DF7" w:rsidRDefault="00E26DF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26DF7" w:rsidRDefault="00E26DF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26DF7" w:rsidRDefault="00E26DF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6DF7" w:rsidRDefault="00E26DF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(הוראות לענין פירוקים מסוימים), תשס"ד-2004</w:t>
    </w:r>
  </w:p>
  <w:p w:rsidR="00E26DF7" w:rsidRDefault="00E26DF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26DF7" w:rsidRDefault="00E26DF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57104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3D6D"/>
    <w:rsid w:val="00007BE7"/>
    <w:rsid w:val="0008376F"/>
    <w:rsid w:val="00371CBF"/>
    <w:rsid w:val="00552E9C"/>
    <w:rsid w:val="007827A8"/>
    <w:rsid w:val="007A295D"/>
    <w:rsid w:val="008D2203"/>
    <w:rsid w:val="008E3D6D"/>
    <w:rsid w:val="00BB55FA"/>
    <w:rsid w:val="00CE1059"/>
    <w:rsid w:val="00CE7332"/>
    <w:rsid w:val="00E26DF7"/>
    <w:rsid w:val="00E273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1198D649-A035-4C96-92FB-FF2ADDA8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5009</CharactersWithSpaces>
  <SharedDoc>false</SharedDoc>
  <HLinks>
    <vt:vector size="90" baseType="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7798796</vt:i4>
      </vt:variant>
      <vt:variant>
        <vt:i4>0</vt:i4>
      </vt:variant>
      <vt:variant>
        <vt:i4>0</vt:i4>
      </vt:variant>
      <vt:variant>
        <vt:i4>5</vt:i4>
      </vt:variant>
      <vt:variant>
        <vt:lpwstr>http://www.nevo.co.il/Law_word/law06/TAK-6286.pdf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(הוראות לענין פירוקים מסוימים), תשס"ד-2004</vt:lpwstr>
  </property>
  <property fmtid="{D5CDD505-2E9C-101B-9397-08002B2CF9AE}" pid="4" name="LAWNUMBER">
    <vt:lpwstr>0243</vt:lpwstr>
  </property>
  <property fmtid="{D5CDD505-2E9C-101B-9397-08002B2CF9AE}" pid="5" name="TYPE">
    <vt:lpwstr>01</vt:lpwstr>
  </property>
  <property fmtid="{D5CDD505-2E9C-101B-9397-08002B2CF9AE}" pid="6" name="CHNAME">
    <vt:lpwstr>מס הכנסה</vt:lpwstr>
  </property>
  <property fmtid="{D5CDD505-2E9C-101B-9397-08002B2CF9AE}" pid="7" name="MEKOR_NAME1">
    <vt:lpwstr>פקודת מס הכנסה </vt:lpwstr>
  </property>
  <property fmtid="{D5CDD505-2E9C-101B-9397-08002B2CF9AE}" pid="8" name="MEKOR_SAIF1">
    <vt:lpwstr>93אXדX;243X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מיסוי הון</vt:lpwstr>
  </property>
  <property fmtid="{D5CDD505-2E9C-101B-9397-08002B2CF9AE}" pid="12" name="NOSE41">
    <vt:lpwstr/>
  </property>
  <property fmtid="{D5CDD505-2E9C-101B-9397-08002B2CF9AE}" pid="13" name="NOSE12">
    <vt:lpwstr>מסים</vt:lpwstr>
  </property>
  <property fmtid="{D5CDD505-2E9C-101B-9397-08002B2CF9AE}" pid="14" name="NOSE22">
    <vt:lpwstr>מס חברות</vt:lpwstr>
  </property>
  <property fmtid="{D5CDD505-2E9C-101B-9397-08002B2CF9AE}" pid="15" name="NOSE32">
    <vt:lpwstr/>
  </property>
  <property fmtid="{D5CDD505-2E9C-101B-9397-08002B2CF9AE}" pid="16" name="NOSE42">
    <vt:lpwstr/>
  </property>
  <property fmtid="{D5CDD505-2E9C-101B-9397-08002B2CF9AE}" pid="17" name="NOSE13">
    <vt:lpwstr>מסים</vt:lpwstr>
  </property>
  <property fmtid="{D5CDD505-2E9C-101B-9397-08002B2CF9AE}" pid="18" name="NOSE23">
    <vt:lpwstr>מס הכנסה</vt:lpwstr>
  </property>
  <property fmtid="{D5CDD505-2E9C-101B-9397-08002B2CF9AE}" pid="19" name="NOSE33">
    <vt:lpwstr>הוראות</vt:lpwstr>
  </property>
  <property fmtid="{D5CDD505-2E9C-101B-9397-08002B2CF9AE}" pid="20" name="NOSE43">
    <vt:lpwstr/>
  </property>
  <property fmtid="{D5CDD505-2E9C-101B-9397-08002B2CF9AE}" pid="21" name="NOSE14">
    <vt:lpwstr>מסים</vt:lpwstr>
  </property>
  <property fmtid="{D5CDD505-2E9C-101B-9397-08002B2CF9AE}" pid="22" name="NOSE24">
    <vt:lpwstr>מס הכנסה</vt:lpwstr>
  </property>
  <property fmtid="{D5CDD505-2E9C-101B-9397-08002B2CF9AE}" pid="23" name="NOSE34">
    <vt:lpwstr>חברות</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