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40B9" w:rsidRDefault="005140B9" w:rsidP="00894B0F">
      <w:pPr>
        <w:pStyle w:val="big-header"/>
        <w:ind w:left="0" w:right="1134"/>
        <w:rPr>
          <w:rFonts w:cs="FrankRuehl" w:hint="cs"/>
          <w:sz w:val="32"/>
          <w:rtl/>
        </w:rPr>
      </w:pPr>
      <w:r>
        <w:rPr>
          <w:rFonts w:cs="FrankRuehl"/>
          <w:sz w:val="32"/>
          <w:rtl/>
        </w:rPr>
        <w:t>תקנות מס הכנסה (</w:t>
      </w:r>
      <w:r w:rsidR="001E7920">
        <w:rPr>
          <w:rFonts w:cs="FrankRuehl" w:hint="cs"/>
          <w:sz w:val="32"/>
          <w:rtl/>
        </w:rPr>
        <w:t>הערכת מלאי של יהלומן</w:t>
      </w:r>
      <w:r>
        <w:rPr>
          <w:rFonts w:cs="FrankRuehl"/>
          <w:sz w:val="32"/>
          <w:rtl/>
        </w:rPr>
        <w:t xml:space="preserve">), </w:t>
      </w:r>
      <w:r w:rsidR="001E7920">
        <w:rPr>
          <w:rFonts w:cs="FrankRuehl" w:hint="cs"/>
          <w:sz w:val="32"/>
          <w:rtl/>
        </w:rPr>
        <w:t>תשע"ח-2018</w:t>
      </w:r>
    </w:p>
    <w:p w:rsidR="00AC7B96" w:rsidRDefault="00AC7B96" w:rsidP="00AC7B96">
      <w:pPr>
        <w:spacing w:line="320" w:lineRule="auto"/>
        <w:rPr>
          <w:rFonts w:hint="cs"/>
          <w:rtl/>
        </w:rPr>
      </w:pPr>
    </w:p>
    <w:p w:rsidR="00654085" w:rsidRDefault="00654085" w:rsidP="00AC7B96">
      <w:pPr>
        <w:spacing w:line="320" w:lineRule="auto"/>
        <w:rPr>
          <w:rFonts w:hint="cs"/>
          <w:rtl/>
        </w:rPr>
      </w:pPr>
    </w:p>
    <w:p w:rsidR="00AC7B96" w:rsidRDefault="00AC7B96" w:rsidP="00AC7B96">
      <w:pPr>
        <w:spacing w:line="320" w:lineRule="auto"/>
        <w:rPr>
          <w:rFonts w:cs="FrankRuehl"/>
          <w:szCs w:val="26"/>
          <w:rtl/>
        </w:rPr>
      </w:pPr>
      <w:r w:rsidRPr="00AC7B96">
        <w:rPr>
          <w:rFonts w:cs="Miriam"/>
          <w:szCs w:val="22"/>
          <w:rtl/>
        </w:rPr>
        <w:t>מסים</w:t>
      </w:r>
      <w:r w:rsidRPr="00AC7B96">
        <w:rPr>
          <w:rFonts w:cs="FrankRuehl"/>
          <w:szCs w:val="26"/>
          <w:rtl/>
        </w:rPr>
        <w:t xml:space="preserve"> – מס הכנסה – ניכויים – ניכוי מתשלומים</w:t>
      </w:r>
    </w:p>
    <w:p w:rsidR="00D10C7F" w:rsidRPr="00AC7B96" w:rsidRDefault="00AC7B96" w:rsidP="00AC7B96">
      <w:pPr>
        <w:spacing w:line="320" w:lineRule="auto"/>
        <w:rPr>
          <w:rFonts w:cs="Miriam"/>
          <w:szCs w:val="22"/>
          <w:rtl/>
        </w:rPr>
      </w:pPr>
      <w:r w:rsidRPr="00AC7B96">
        <w:rPr>
          <w:rFonts w:cs="Miriam"/>
          <w:szCs w:val="22"/>
          <w:rtl/>
        </w:rPr>
        <w:t>משפט פרטי וכלכלה</w:t>
      </w:r>
      <w:r w:rsidRPr="00AC7B96">
        <w:rPr>
          <w:rFonts w:cs="FrankRuehl"/>
          <w:szCs w:val="26"/>
          <w:rtl/>
        </w:rPr>
        <w:t xml:space="preserve"> – מסחר </w:t>
      </w:r>
    </w:p>
    <w:p w:rsidR="005140B9" w:rsidRDefault="005140B9">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F3DEE" w:rsidRPr="007F3DEE" w:rsidTr="007F3DEE">
        <w:tblPrEx>
          <w:tblCellMar>
            <w:top w:w="0" w:type="dxa"/>
            <w:bottom w:w="0" w:type="dxa"/>
          </w:tblCellMar>
        </w:tblPrEx>
        <w:tc>
          <w:tcPr>
            <w:tcW w:w="1247" w:type="dxa"/>
          </w:tcPr>
          <w:p w:rsidR="007F3DEE" w:rsidRPr="007F3DEE" w:rsidRDefault="007F3DEE" w:rsidP="007F3DEE">
            <w:pPr>
              <w:rPr>
                <w:rFonts w:cs="Frankruhel"/>
                <w:rtl/>
              </w:rPr>
            </w:pPr>
            <w:r>
              <w:rPr>
                <w:rtl/>
              </w:rPr>
              <w:t xml:space="preserve">סעיף 1 </w:t>
            </w:r>
          </w:p>
        </w:tc>
        <w:tc>
          <w:tcPr>
            <w:tcW w:w="5669" w:type="dxa"/>
          </w:tcPr>
          <w:p w:rsidR="007F3DEE" w:rsidRPr="007F3DEE" w:rsidRDefault="007F3DEE" w:rsidP="007F3DEE">
            <w:pPr>
              <w:rPr>
                <w:rFonts w:cs="Frankruhel"/>
                <w:rtl/>
              </w:rPr>
            </w:pPr>
            <w:r>
              <w:rPr>
                <w:rtl/>
              </w:rPr>
              <w:t>הגדרות</w:t>
            </w:r>
          </w:p>
        </w:tc>
        <w:tc>
          <w:tcPr>
            <w:tcW w:w="567" w:type="dxa"/>
          </w:tcPr>
          <w:p w:rsidR="007F3DEE" w:rsidRPr="007F3DEE" w:rsidRDefault="007F3DEE" w:rsidP="007F3DEE">
            <w:pPr>
              <w:rPr>
                <w:rStyle w:val="Hyperlink"/>
                <w:rtl/>
              </w:rPr>
            </w:pPr>
            <w:hyperlink w:anchor="Seif1" w:tooltip="הגדרות" w:history="1">
              <w:r w:rsidRPr="007F3DEE">
                <w:rPr>
                  <w:rStyle w:val="Hyperlink"/>
                </w:rPr>
                <w:t>Go</w:t>
              </w:r>
            </w:hyperlink>
          </w:p>
        </w:tc>
        <w:tc>
          <w:tcPr>
            <w:tcW w:w="850" w:type="dxa"/>
          </w:tcPr>
          <w:p w:rsidR="007F3DEE" w:rsidRPr="007F3DEE" w:rsidRDefault="007F3DEE" w:rsidP="007F3DEE">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7F3DEE" w:rsidRPr="007F3DEE" w:rsidTr="007F3DEE">
        <w:tblPrEx>
          <w:tblCellMar>
            <w:top w:w="0" w:type="dxa"/>
            <w:bottom w:w="0" w:type="dxa"/>
          </w:tblCellMar>
        </w:tblPrEx>
        <w:tc>
          <w:tcPr>
            <w:tcW w:w="1247" w:type="dxa"/>
          </w:tcPr>
          <w:p w:rsidR="007F3DEE" w:rsidRPr="007F3DEE" w:rsidRDefault="007F3DEE" w:rsidP="007F3DEE">
            <w:pPr>
              <w:rPr>
                <w:rFonts w:cs="Frankruhel"/>
                <w:rtl/>
              </w:rPr>
            </w:pPr>
            <w:r>
              <w:rPr>
                <w:rtl/>
              </w:rPr>
              <w:t xml:space="preserve">סעיף 2 </w:t>
            </w:r>
          </w:p>
        </w:tc>
        <w:tc>
          <w:tcPr>
            <w:tcW w:w="5669" w:type="dxa"/>
          </w:tcPr>
          <w:p w:rsidR="007F3DEE" w:rsidRPr="007F3DEE" w:rsidRDefault="007F3DEE" w:rsidP="007F3DEE">
            <w:pPr>
              <w:rPr>
                <w:rFonts w:cs="Frankruhel"/>
                <w:rtl/>
              </w:rPr>
            </w:pPr>
            <w:r>
              <w:rPr>
                <w:rtl/>
              </w:rPr>
              <w:t>אופן מדידת עלות המלאי</w:t>
            </w:r>
          </w:p>
        </w:tc>
        <w:tc>
          <w:tcPr>
            <w:tcW w:w="567" w:type="dxa"/>
          </w:tcPr>
          <w:p w:rsidR="007F3DEE" w:rsidRPr="007F3DEE" w:rsidRDefault="007F3DEE" w:rsidP="007F3DEE">
            <w:pPr>
              <w:rPr>
                <w:rStyle w:val="Hyperlink"/>
                <w:rtl/>
              </w:rPr>
            </w:pPr>
            <w:hyperlink w:anchor="Seif2" w:tooltip="אופן מדידת עלות המלאי" w:history="1">
              <w:r w:rsidRPr="007F3DEE">
                <w:rPr>
                  <w:rStyle w:val="Hyperlink"/>
                </w:rPr>
                <w:t>Go</w:t>
              </w:r>
            </w:hyperlink>
          </w:p>
        </w:tc>
        <w:tc>
          <w:tcPr>
            <w:tcW w:w="850" w:type="dxa"/>
          </w:tcPr>
          <w:p w:rsidR="007F3DEE" w:rsidRPr="007F3DEE" w:rsidRDefault="007F3DEE" w:rsidP="007F3DEE">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7F3DEE" w:rsidRPr="007F3DEE" w:rsidTr="007F3DEE">
        <w:tblPrEx>
          <w:tblCellMar>
            <w:top w:w="0" w:type="dxa"/>
            <w:bottom w:w="0" w:type="dxa"/>
          </w:tblCellMar>
        </w:tblPrEx>
        <w:tc>
          <w:tcPr>
            <w:tcW w:w="1247" w:type="dxa"/>
          </w:tcPr>
          <w:p w:rsidR="007F3DEE" w:rsidRPr="007F3DEE" w:rsidRDefault="007F3DEE" w:rsidP="007F3DEE">
            <w:pPr>
              <w:rPr>
                <w:rFonts w:cs="Frankruhel"/>
                <w:rtl/>
              </w:rPr>
            </w:pPr>
            <w:r>
              <w:rPr>
                <w:rtl/>
              </w:rPr>
              <w:t xml:space="preserve">סעיף 3 </w:t>
            </w:r>
          </w:p>
        </w:tc>
        <w:tc>
          <w:tcPr>
            <w:tcW w:w="5669" w:type="dxa"/>
          </w:tcPr>
          <w:p w:rsidR="007F3DEE" w:rsidRPr="007F3DEE" w:rsidRDefault="007F3DEE" w:rsidP="007F3DEE">
            <w:pPr>
              <w:rPr>
                <w:rFonts w:cs="Frankruhel"/>
                <w:rtl/>
              </w:rPr>
            </w:pPr>
            <w:r>
              <w:rPr>
                <w:rtl/>
              </w:rPr>
              <w:t>הפחתה לירידת ערך לפי שווי שוק</w:t>
            </w:r>
          </w:p>
        </w:tc>
        <w:tc>
          <w:tcPr>
            <w:tcW w:w="567" w:type="dxa"/>
          </w:tcPr>
          <w:p w:rsidR="007F3DEE" w:rsidRPr="007F3DEE" w:rsidRDefault="007F3DEE" w:rsidP="007F3DEE">
            <w:pPr>
              <w:rPr>
                <w:rStyle w:val="Hyperlink"/>
                <w:rtl/>
              </w:rPr>
            </w:pPr>
            <w:hyperlink w:anchor="Seif3" w:tooltip="הפחתה לירידת ערך לפי שווי שוק" w:history="1">
              <w:r w:rsidRPr="007F3DEE">
                <w:rPr>
                  <w:rStyle w:val="Hyperlink"/>
                </w:rPr>
                <w:t>Go</w:t>
              </w:r>
            </w:hyperlink>
          </w:p>
        </w:tc>
        <w:tc>
          <w:tcPr>
            <w:tcW w:w="850" w:type="dxa"/>
          </w:tcPr>
          <w:p w:rsidR="007F3DEE" w:rsidRPr="007F3DEE" w:rsidRDefault="007F3DEE" w:rsidP="007F3DEE">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7F3DEE" w:rsidRPr="007F3DEE" w:rsidTr="007F3DEE">
        <w:tblPrEx>
          <w:tblCellMar>
            <w:top w:w="0" w:type="dxa"/>
            <w:bottom w:w="0" w:type="dxa"/>
          </w:tblCellMar>
        </w:tblPrEx>
        <w:tc>
          <w:tcPr>
            <w:tcW w:w="1247" w:type="dxa"/>
          </w:tcPr>
          <w:p w:rsidR="007F3DEE" w:rsidRPr="007F3DEE" w:rsidRDefault="007F3DEE" w:rsidP="007F3DEE">
            <w:pPr>
              <w:rPr>
                <w:rFonts w:cs="Frankruhel"/>
                <w:rtl/>
              </w:rPr>
            </w:pPr>
            <w:r>
              <w:rPr>
                <w:rtl/>
              </w:rPr>
              <w:t xml:space="preserve">סעיף 4 </w:t>
            </w:r>
          </w:p>
        </w:tc>
        <w:tc>
          <w:tcPr>
            <w:tcW w:w="5669" w:type="dxa"/>
          </w:tcPr>
          <w:p w:rsidR="007F3DEE" w:rsidRPr="007F3DEE" w:rsidRDefault="007F3DEE" w:rsidP="007F3DEE">
            <w:pPr>
              <w:rPr>
                <w:rFonts w:cs="Frankruhel"/>
                <w:rtl/>
              </w:rPr>
            </w:pPr>
            <w:r>
              <w:rPr>
                <w:rtl/>
              </w:rPr>
              <w:t>קביעת שווי השוק</w:t>
            </w:r>
          </w:p>
        </w:tc>
        <w:tc>
          <w:tcPr>
            <w:tcW w:w="567" w:type="dxa"/>
          </w:tcPr>
          <w:p w:rsidR="007F3DEE" w:rsidRPr="007F3DEE" w:rsidRDefault="007F3DEE" w:rsidP="007F3DEE">
            <w:pPr>
              <w:rPr>
                <w:rStyle w:val="Hyperlink"/>
                <w:rtl/>
              </w:rPr>
            </w:pPr>
            <w:hyperlink w:anchor="Seif4" w:tooltip="קביעת שווי השוק" w:history="1">
              <w:r w:rsidRPr="007F3DEE">
                <w:rPr>
                  <w:rStyle w:val="Hyperlink"/>
                </w:rPr>
                <w:t>Go</w:t>
              </w:r>
            </w:hyperlink>
          </w:p>
        </w:tc>
        <w:tc>
          <w:tcPr>
            <w:tcW w:w="850" w:type="dxa"/>
          </w:tcPr>
          <w:p w:rsidR="007F3DEE" w:rsidRPr="007F3DEE" w:rsidRDefault="007F3DEE" w:rsidP="007F3DEE">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7F3DEE" w:rsidRPr="007F3DEE" w:rsidTr="007F3DEE">
        <w:tblPrEx>
          <w:tblCellMar>
            <w:top w:w="0" w:type="dxa"/>
            <w:bottom w:w="0" w:type="dxa"/>
          </w:tblCellMar>
        </w:tblPrEx>
        <w:tc>
          <w:tcPr>
            <w:tcW w:w="1247" w:type="dxa"/>
          </w:tcPr>
          <w:p w:rsidR="007F3DEE" w:rsidRPr="007F3DEE" w:rsidRDefault="007F3DEE" w:rsidP="007F3DEE">
            <w:pPr>
              <w:rPr>
                <w:rFonts w:cs="Frankruhel"/>
                <w:rtl/>
              </w:rPr>
            </w:pPr>
            <w:r>
              <w:rPr>
                <w:rtl/>
              </w:rPr>
              <w:t xml:space="preserve">סעיף 5 </w:t>
            </w:r>
          </w:p>
        </w:tc>
        <w:tc>
          <w:tcPr>
            <w:tcW w:w="5669" w:type="dxa"/>
          </w:tcPr>
          <w:p w:rsidR="007F3DEE" w:rsidRPr="007F3DEE" w:rsidRDefault="007F3DEE" w:rsidP="007F3DEE">
            <w:pPr>
              <w:rPr>
                <w:rFonts w:cs="Frankruhel"/>
                <w:rtl/>
              </w:rPr>
            </w:pPr>
            <w:r>
              <w:rPr>
                <w:rtl/>
              </w:rPr>
              <w:t>אי תחולה</w:t>
            </w:r>
          </w:p>
        </w:tc>
        <w:tc>
          <w:tcPr>
            <w:tcW w:w="567" w:type="dxa"/>
          </w:tcPr>
          <w:p w:rsidR="007F3DEE" w:rsidRPr="007F3DEE" w:rsidRDefault="007F3DEE" w:rsidP="007F3DEE">
            <w:pPr>
              <w:rPr>
                <w:rStyle w:val="Hyperlink"/>
                <w:rtl/>
              </w:rPr>
            </w:pPr>
            <w:hyperlink w:anchor="Seif5" w:tooltip="אי תחולה" w:history="1">
              <w:r w:rsidRPr="007F3DEE">
                <w:rPr>
                  <w:rStyle w:val="Hyperlink"/>
                </w:rPr>
                <w:t>Go</w:t>
              </w:r>
            </w:hyperlink>
          </w:p>
        </w:tc>
        <w:tc>
          <w:tcPr>
            <w:tcW w:w="850" w:type="dxa"/>
          </w:tcPr>
          <w:p w:rsidR="007F3DEE" w:rsidRPr="007F3DEE" w:rsidRDefault="007F3DEE" w:rsidP="007F3DEE">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7F3DEE" w:rsidRPr="007F3DEE" w:rsidTr="007F3DEE">
        <w:tblPrEx>
          <w:tblCellMar>
            <w:top w:w="0" w:type="dxa"/>
            <w:bottom w:w="0" w:type="dxa"/>
          </w:tblCellMar>
        </w:tblPrEx>
        <w:tc>
          <w:tcPr>
            <w:tcW w:w="1247" w:type="dxa"/>
          </w:tcPr>
          <w:p w:rsidR="007F3DEE" w:rsidRPr="007F3DEE" w:rsidRDefault="007F3DEE" w:rsidP="007F3DEE">
            <w:pPr>
              <w:rPr>
                <w:rFonts w:cs="Frankruhel"/>
                <w:rtl/>
              </w:rPr>
            </w:pPr>
            <w:r>
              <w:rPr>
                <w:rtl/>
              </w:rPr>
              <w:t xml:space="preserve">סעיף 6 </w:t>
            </w:r>
          </w:p>
        </w:tc>
        <w:tc>
          <w:tcPr>
            <w:tcW w:w="5669" w:type="dxa"/>
          </w:tcPr>
          <w:p w:rsidR="007F3DEE" w:rsidRPr="007F3DEE" w:rsidRDefault="007F3DEE" w:rsidP="007F3DEE">
            <w:pPr>
              <w:rPr>
                <w:rFonts w:cs="Frankruhel"/>
                <w:rtl/>
              </w:rPr>
            </w:pPr>
            <w:r>
              <w:rPr>
                <w:rtl/>
              </w:rPr>
              <w:t>תחולה והוראת מעבר</w:t>
            </w:r>
          </w:p>
        </w:tc>
        <w:tc>
          <w:tcPr>
            <w:tcW w:w="567" w:type="dxa"/>
          </w:tcPr>
          <w:p w:rsidR="007F3DEE" w:rsidRPr="007F3DEE" w:rsidRDefault="007F3DEE" w:rsidP="007F3DEE">
            <w:pPr>
              <w:rPr>
                <w:rStyle w:val="Hyperlink"/>
                <w:rtl/>
              </w:rPr>
            </w:pPr>
            <w:hyperlink w:anchor="Seif6" w:tooltip="תחולה והוראת מעבר" w:history="1">
              <w:r w:rsidRPr="007F3DEE">
                <w:rPr>
                  <w:rStyle w:val="Hyperlink"/>
                </w:rPr>
                <w:t>Go</w:t>
              </w:r>
            </w:hyperlink>
          </w:p>
        </w:tc>
        <w:tc>
          <w:tcPr>
            <w:tcW w:w="850" w:type="dxa"/>
          </w:tcPr>
          <w:p w:rsidR="007F3DEE" w:rsidRPr="007F3DEE" w:rsidRDefault="007F3DEE" w:rsidP="007F3DEE">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bl>
    <w:p w:rsidR="005140B9" w:rsidRDefault="005140B9">
      <w:pPr>
        <w:pStyle w:val="big-header"/>
        <w:ind w:left="0" w:right="1134"/>
        <w:rPr>
          <w:rFonts w:cs="FrankRuehl"/>
          <w:sz w:val="32"/>
          <w:rtl/>
        </w:rPr>
      </w:pPr>
    </w:p>
    <w:p w:rsidR="005140B9" w:rsidRDefault="005140B9" w:rsidP="00D10C7F">
      <w:pPr>
        <w:pStyle w:val="big-header"/>
        <w:ind w:left="0" w:right="1134"/>
        <w:rPr>
          <w:rStyle w:val="default"/>
          <w:rFonts w:hint="cs"/>
          <w:rtl/>
        </w:rPr>
      </w:pPr>
      <w:r>
        <w:rPr>
          <w:rFonts w:cs="FrankRuehl"/>
          <w:sz w:val="32"/>
          <w:rtl/>
        </w:rPr>
        <w:br w:type="page"/>
      </w:r>
      <w:r w:rsidR="001E7920">
        <w:rPr>
          <w:rFonts w:cs="FrankRuehl"/>
          <w:sz w:val="32"/>
          <w:rtl/>
        </w:rPr>
        <w:lastRenderedPageBreak/>
        <w:t>תקנות מס הכנסה (</w:t>
      </w:r>
      <w:r w:rsidR="001E7920">
        <w:rPr>
          <w:rFonts w:cs="FrankRuehl" w:hint="cs"/>
          <w:sz w:val="32"/>
          <w:rtl/>
        </w:rPr>
        <w:t>הערכת מלאי של יהלומן</w:t>
      </w:r>
      <w:r w:rsidR="001E7920">
        <w:rPr>
          <w:rFonts w:cs="FrankRuehl"/>
          <w:sz w:val="32"/>
          <w:rtl/>
        </w:rPr>
        <w:t xml:space="preserve">), </w:t>
      </w:r>
      <w:r w:rsidR="001E7920">
        <w:rPr>
          <w:rFonts w:cs="FrankRuehl" w:hint="cs"/>
          <w:sz w:val="32"/>
          <w:rtl/>
        </w:rPr>
        <w:t>תשע"ח-2018</w:t>
      </w:r>
      <w:r w:rsidR="00894B0F">
        <w:rPr>
          <w:rStyle w:val="a6"/>
          <w:rFonts w:cs="FrankRuehl"/>
          <w:sz w:val="32"/>
          <w:rtl/>
        </w:rPr>
        <w:footnoteReference w:customMarkFollows="1" w:id="1"/>
        <w:t>*</w:t>
      </w:r>
    </w:p>
    <w:p w:rsidR="005140B9" w:rsidRDefault="005140B9">
      <w:pPr>
        <w:pStyle w:val="P00"/>
        <w:spacing w:before="72"/>
        <w:ind w:left="0" w:right="1134"/>
        <w:rPr>
          <w:rStyle w:val="default"/>
          <w:rFonts w:cs="FrankRuehl"/>
          <w:rtl/>
        </w:rPr>
      </w:pPr>
      <w:r w:rsidRPr="00125E7C">
        <w:rPr>
          <w:rFonts w:cs="FrankRuehl"/>
          <w:sz w:val="26"/>
          <w:rtl/>
        </w:rPr>
        <w:tab/>
      </w:r>
      <w:r w:rsidRPr="00125E7C">
        <w:rPr>
          <w:rStyle w:val="default"/>
          <w:rFonts w:cs="FrankRuehl"/>
          <w:rtl/>
        </w:rPr>
        <w:t>בתוקף סמכותי לפי</w:t>
      </w:r>
      <w:r w:rsidR="001E7920">
        <w:rPr>
          <w:rStyle w:val="default"/>
          <w:rFonts w:cs="FrankRuehl" w:hint="cs"/>
          <w:rtl/>
        </w:rPr>
        <w:t xml:space="preserve"> סעיף 85(ה)</w:t>
      </w:r>
      <w:r w:rsidRPr="00125E7C">
        <w:rPr>
          <w:rStyle w:val="default"/>
          <w:rFonts w:cs="FrankRuehl"/>
          <w:rtl/>
        </w:rPr>
        <w:t xml:space="preserve"> לפקודת מס הכנסה</w:t>
      </w:r>
      <w:r w:rsidR="001E7920">
        <w:rPr>
          <w:rStyle w:val="default"/>
          <w:rFonts w:cs="FrankRuehl" w:hint="cs"/>
          <w:rtl/>
        </w:rPr>
        <w:t xml:space="preserve"> (להלן </w:t>
      </w:r>
      <w:r w:rsidR="001E7920">
        <w:rPr>
          <w:rStyle w:val="default"/>
          <w:rFonts w:cs="FrankRuehl"/>
          <w:rtl/>
        </w:rPr>
        <w:t>–</w:t>
      </w:r>
      <w:r w:rsidR="001E7920">
        <w:rPr>
          <w:rStyle w:val="default"/>
          <w:rFonts w:cs="FrankRuehl" w:hint="cs"/>
          <w:rtl/>
        </w:rPr>
        <w:t xml:space="preserve"> הפקודה)</w:t>
      </w:r>
      <w:r w:rsidRPr="00125E7C">
        <w:rPr>
          <w:rStyle w:val="default"/>
          <w:rFonts w:cs="FrankRuehl"/>
          <w:rtl/>
        </w:rPr>
        <w:t>,</w:t>
      </w:r>
      <w:r w:rsidR="001E7920">
        <w:rPr>
          <w:rStyle w:val="default"/>
          <w:rFonts w:cs="FrankRuehl" w:hint="cs"/>
          <w:rtl/>
        </w:rPr>
        <w:t xml:space="preserve"> ובאישור ועדת הכספים של הכנסת,</w:t>
      </w:r>
      <w:r w:rsidRPr="00125E7C">
        <w:rPr>
          <w:rStyle w:val="default"/>
          <w:rFonts w:cs="FrankRuehl"/>
          <w:rtl/>
        </w:rPr>
        <w:t xml:space="preserve"> אני מתקין תקנות אלה:</w:t>
      </w:r>
    </w:p>
    <w:p w:rsidR="005140B9" w:rsidRDefault="005140B9">
      <w:pPr>
        <w:pStyle w:val="P00"/>
        <w:spacing w:before="72"/>
        <w:ind w:left="0" w:right="1134"/>
        <w:rPr>
          <w:rStyle w:val="default"/>
          <w:rFonts w:cs="FrankRuehl" w:hint="cs"/>
          <w:rtl/>
        </w:rPr>
      </w:pPr>
      <w:bookmarkStart w:id="0" w:name="Seif1"/>
      <w:bookmarkEnd w:id="0"/>
      <w:r w:rsidRPr="00125E7C">
        <w:rPr>
          <w:rFonts w:cs="Miriam"/>
          <w:lang w:val="he-IL"/>
        </w:rPr>
        <w:pict>
          <v:rect id="_x0000_s1026" style="position:absolute;left:0;text-align:left;margin-left:464.5pt;margin-top:8.05pt;width:75.05pt;height:11pt;z-index:251655168" o:allowincell="f" filled="f" stroked="f" strokecolor="lime" strokeweight=".25pt">
            <v:textbox inset="0,0,0,0">
              <w:txbxContent>
                <w:p w:rsidR="00BF0468" w:rsidRDefault="00BF0468">
                  <w:pPr>
                    <w:spacing w:line="160" w:lineRule="exac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sidRPr="00125E7C">
        <w:rPr>
          <w:rStyle w:val="big-number"/>
          <w:rFonts w:cs="Miriam"/>
          <w:rtl/>
        </w:rPr>
        <w:t>1</w:t>
      </w:r>
      <w:r w:rsidRPr="00125E7C">
        <w:rPr>
          <w:rStyle w:val="big-number"/>
          <w:rFonts w:cs="FrankRuehl"/>
          <w:rtl/>
        </w:rPr>
        <w:t>.</w:t>
      </w:r>
      <w:r w:rsidRPr="00125E7C">
        <w:rPr>
          <w:rStyle w:val="big-number"/>
          <w:rFonts w:cs="FrankRuehl"/>
          <w:rtl/>
        </w:rPr>
        <w:tab/>
      </w:r>
      <w:r w:rsidR="0015389A">
        <w:rPr>
          <w:rStyle w:val="default"/>
          <w:rFonts w:cs="FrankRuehl"/>
          <w:rtl/>
        </w:rPr>
        <w:t>בתקנות אלה –</w:t>
      </w:r>
    </w:p>
    <w:p w:rsidR="005140B9" w:rsidRDefault="005140B9" w:rsidP="0015389A">
      <w:pPr>
        <w:pStyle w:val="P00"/>
        <w:spacing w:before="72"/>
        <w:ind w:left="0" w:right="1134"/>
        <w:rPr>
          <w:rStyle w:val="default"/>
          <w:rFonts w:cs="FrankRuehl"/>
          <w:rtl/>
        </w:rPr>
      </w:pPr>
      <w:r w:rsidRPr="00125E7C">
        <w:rPr>
          <w:rFonts w:cs="FrankRuehl"/>
          <w:sz w:val="26"/>
          <w:rtl/>
        </w:rPr>
        <w:tab/>
      </w:r>
      <w:r w:rsidRPr="00125E7C">
        <w:rPr>
          <w:rStyle w:val="default"/>
          <w:rFonts w:cs="FrankRuehl"/>
          <w:rtl/>
        </w:rPr>
        <w:t>"</w:t>
      </w:r>
      <w:r w:rsidR="001E7920">
        <w:rPr>
          <w:rStyle w:val="default"/>
          <w:rFonts w:cs="FrankRuehl" w:hint="cs"/>
          <w:rtl/>
        </w:rPr>
        <w:t xml:space="preserve">האתר" </w:t>
      </w:r>
      <w:r w:rsidR="001E7920">
        <w:rPr>
          <w:rStyle w:val="default"/>
          <w:rFonts w:cs="FrankRuehl"/>
          <w:rtl/>
        </w:rPr>
        <w:t>–</w:t>
      </w:r>
      <w:r w:rsidR="001E7920">
        <w:rPr>
          <w:rStyle w:val="default"/>
          <w:rFonts w:cs="FrankRuehl" w:hint="cs"/>
          <w:rtl/>
        </w:rPr>
        <w:t xml:space="preserve"> אתר האינטרנט של רשות המסים;</w:t>
      </w:r>
    </w:p>
    <w:p w:rsidR="001E7920" w:rsidRDefault="001E7920" w:rsidP="0015389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"גמולוג" </w:t>
      </w:r>
      <w:r>
        <w:rPr>
          <w:rStyle w:val="default"/>
          <w:rFonts w:cs="FrankRuehl"/>
          <w:rtl/>
        </w:rPr>
        <w:t>–</w:t>
      </w:r>
      <w:r>
        <w:rPr>
          <w:rStyle w:val="default"/>
          <w:rFonts w:cs="FrankRuehl" w:hint="cs"/>
          <w:rtl/>
        </w:rPr>
        <w:t xml:space="preserve"> מומחה לחקר, מיון, סיווג והערכת יהלומים, בעל תעודה בתחום ממכון מקצועי לשם כך;</w:t>
      </w:r>
    </w:p>
    <w:p w:rsidR="001E7920" w:rsidRDefault="001E7920" w:rsidP="0015389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"מחירון" </w:t>
      </w:r>
      <w:r>
        <w:rPr>
          <w:rStyle w:val="default"/>
          <w:rFonts w:cs="FrankRuehl"/>
          <w:rtl/>
        </w:rPr>
        <w:t>–</w:t>
      </w:r>
      <w:r>
        <w:rPr>
          <w:rStyle w:val="default"/>
          <w:rFonts w:cs="FrankRuehl" w:hint="cs"/>
          <w:rtl/>
        </w:rPr>
        <w:t xml:space="preserve"> קובץ מחירים שיטתי, מקצועי ובלתי תלוי המהווה בסיס לקביעת ערך שוק של יהלומים, שמתפרסם ומתעדכן באופן סדיר ושניתן לעיין בו בכל עת, לרבות אתרי אינטרנט למסחר ביהלומים הכוללים מחירי יהלומים המבוססים על מחירי היצע וביקוש ממשיים ליהלומים, המנוי ברשימה שפרסם המנהל באתר בהתייעצות עם נשיא בורסת היהלומים הישראלית ונשיא התאחדות תעשייני היהלומים;</w:t>
      </w:r>
    </w:p>
    <w:p w:rsidR="001E7920" w:rsidRDefault="001E7920" w:rsidP="0015389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"מרכז הערכה" </w:t>
      </w:r>
      <w:r w:rsidR="00BF0468">
        <w:rPr>
          <w:rStyle w:val="default"/>
          <w:rFonts w:cs="FrankRuehl"/>
          <w:rtl/>
        </w:rPr>
        <w:t>–</w:t>
      </w:r>
      <w:r>
        <w:rPr>
          <w:rStyle w:val="default"/>
          <w:rFonts w:cs="FrankRuehl" w:hint="cs"/>
          <w:rtl/>
        </w:rPr>
        <w:t xml:space="preserve"> </w:t>
      </w:r>
      <w:r w:rsidR="00BF0468">
        <w:rPr>
          <w:rStyle w:val="default"/>
          <w:rFonts w:cs="FrankRuehl" w:hint="cs"/>
          <w:rtl/>
        </w:rPr>
        <w:t>גוף עצמאי ובלתי תלוי המתמחה בזיהוי, דירוג וסיווג של יהלומים המנוי ברשימה שפרסם המנהל באתר בהתייעצות עם נשיא בורסת היהלומים הישראלית ונשיא התאחדות תעשייני היהלומים;</w:t>
      </w:r>
    </w:p>
    <w:p w:rsidR="00BF0468" w:rsidRDefault="00BF0468" w:rsidP="0015389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"שווי השוק ליהלום" </w:t>
      </w:r>
      <w:r>
        <w:rPr>
          <w:rStyle w:val="default"/>
          <w:rFonts w:cs="FrankRuehl"/>
          <w:rtl/>
        </w:rPr>
        <w:t>–</w:t>
      </w:r>
      <w:r>
        <w:rPr>
          <w:rStyle w:val="default"/>
          <w:rFonts w:cs="FrankRuehl" w:hint="cs"/>
          <w:rtl/>
        </w:rPr>
        <w:t xml:space="preserve"> אומדן מחיר המכירה במהלך העסקים הרגיל בין מוכר מרצון לקונה מרצון בניכוי אומדן העלויות להשלמה ואומדן העלויות הדרושות לביצוע המכירה.</w:t>
      </w:r>
    </w:p>
    <w:p w:rsidR="005140B9" w:rsidRPr="00BF0468" w:rsidRDefault="005140B9">
      <w:pPr>
        <w:pStyle w:val="P00"/>
        <w:spacing w:before="72"/>
        <w:ind w:left="0" w:right="1134"/>
        <w:rPr>
          <w:rStyle w:val="default"/>
          <w:rFonts w:cs="FrankRuehl"/>
          <w:sz w:val="20"/>
          <w:rtl/>
        </w:rPr>
      </w:pPr>
      <w:bookmarkStart w:id="1" w:name="Seif2"/>
      <w:bookmarkEnd w:id="1"/>
      <w:r w:rsidRPr="00125E7C">
        <w:rPr>
          <w:rFonts w:cs="Miriam"/>
          <w:lang w:val="he-IL"/>
        </w:rPr>
        <w:pict>
          <v:rect id="_x0000_s1027" style="position:absolute;left:0;text-align:left;margin-left:464.5pt;margin-top:8.05pt;width:75.05pt;height:20pt;z-index:251656192" o:allowincell="f" filled="f" stroked="f" strokecolor="lime" strokeweight=".25pt">
            <v:textbox inset="0,0,0,0">
              <w:txbxContent>
                <w:p w:rsidR="00BF0468" w:rsidRDefault="00BF0468" w:rsidP="00894B0F">
                  <w:pPr>
                    <w:spacing w:line="160" w:lineRule="exact"/>
                    <w:rPr>
                      <w:rFonts w:cs="Miriam"/>
                      <w:noProof/>
                      <w:sz w:val="18"/>
                      <w:szCs w:val="18"/>
                      <w:rtl/>
                    </w:rPr>
                  </w:pPr>
                  <w:r>
                    <w:rPr>
                      <w:rFonts w:cs="Miriam" w:hint="cs"/>
                      <w:sz w:val="18"/>
                      <w:szCs w:val="18"/>
                      <w:rtl/>
                    </w:rPr>
                    <w:t>אופן מדידת עלות המלאי</w:t>
                  </w:r>
                </w:p>
              </w:txbxContent>
            </v:textbox>
            <w10:anchorlock/>
          </v:rect>
        </w:pict>
      </w:r>
      <w:r w:rsidRPr="00125E7C">
        <w:rPr>
          <w:rStyle w:val="big-number"/>
          <w:rFonts w:cs="Miriam"/>
          <w:rtl/>
        </w:rPr>
        <w:t>2</w:t>
      </w:r>
      <w:r w:rsidRPr="00125E7C">
        <w:rPr>
          <w:rStyle w:val="big-number"/>
          <w:rFonts w:cs="FrankRuehl"/>
          <w:rtl/>
        </w:rPr>
        <w:t>.</w:t>
      </w:r>
      <w:r w:rsidRPr="00125E7C">
        <w:rPr>
          <w:rStyle w:val="big-number"/>
          <w:rFonts w:cs="FrankRuehl"/>
          <w:rtl/>
        </w:rPr>
        <w:tab/>
      </w:r>
      <w:r w:rsidR="00BF0468">
        <w:rPr>
          <w:rStyle w:val="default"/>
          <w:rFonts w:cs="FrankRuehl" w:hint="cs"/>
          <w:rtl/>
        </w:rPr>
        <w:t xml:space="preserve">עלות מלאי יהלומים תיקבע על פי עלותו המסוימת של כל יהלום; לא ניתן לזהות באופן מסוים את עלות מלאי היהלומים, כולה או חלקה, תיקבע עלות מלאי היהלומים שלא ניתן לזהותה באופן מסוים, לפי שיטת ניהול מלאי תמידי, באמצעות נוסחת נכנס-ראשון, יוצא-ראשון </w:t>
      </w:r>
      <w:r w:rsidR="00BF0468" w:rsidRPr="00BF0468">
        <w:rPr>
          <w:rStyle w:val="default"/>
          <w:rFonts w:cs="FrankRuehl" w:hint="cs"/>
          <w:sz w:val="20"/>
          <w:rtl/>
        </w:rPr>
        <w:t>("</w:t>
      </w:r>
      <w:r w:rsidR="00BF0468" w:rsidRPr="00BF0468">
        <w:rPr>
          <w:rStyle w:val="default"/>
          <w:rFonts w:cs="FrankRuehl"/>
          <w:sz w:val="20"/>
        </w:rPr>
        <w:t>FIFO</w:t>
      </w:r>
      <w:r w:rsidR="00BF0468" w:rsidRPr="00BF0468">
        <w:rPr>
          <w:rStyle w:val="default"/>
          <w:rFonts w:cs="FrankRuehl" w:hint="cs"/>
          <w:sz w:val="20"/>
          <w:rtl/>
        </w:rPr>
        <w:t>") או באמצעות נוסחת ממוצע</w:t>
      </w:r>
      <w:r w:rsidR="00BF0468">
        <w:rPr>
          <w:rStyle w:val="default"/>
          <w:rFonts w:cs="FrankRuehl" w:hint="cs"/>
          <w:sz w:val="20"/>
          <w:rtl/>
        </w:rPr>
        <w:t xml:space="preserve"> משוקלל של עלויות, ובלבד שאותה נוסחת עלות תחול לגבי כל מלאי בעל אופי ושימוש דומים באופן עקבי</w:t>
      </w:r>
      <w:r w:rsidRPr="00BF0468">
        <w:rPr>
          <w:rStyle w:val="default"/>
          <w:rFonts w:cs="FrankRuehl"/>
          <w:sz w:val="20"/>
          <w:rtl/>
        </w:rPr>
        <w:t>.</w:t>
      </w:r>
    </w:p>
    <w:p w:rsidR="005140B9" w:rsidRDefault="005140B9">
      <w:pPr>
        <w:pStyle w:val="P00"/>
        <w:spacing w:before="72"/>
        <w:ind w:left="0" w:right="1134"/>
        <w:rPr>
          <w:rStyle w:val="default"/>
          <w:rFonts w:cs="FrankRuehl"/>
          <w:rtl/>
        </w:rPr>
      </w:pPr>
      <w:bookmarkStart w:id="2" w:name="Seif3"/>
      <w:bookmarkEnd w:id="2"/>
      <w:r w:rsidRPr="00125E7C">
        <w:rPr>
          <w:rFonts w:cs="Miriam"/>
          <w:lang w:val="he-IL"/>
        </w:rPr>
        <w:pict>
          <v:rect id="_x0000_s1028" style="position:absolute;left:0;text-align:left;margin-left:464.5pt;margin-top:8.05pt;width:75.05pt;height:19.2pt;z-index:251657216" o:allowincell="f" filled="f" stroked="f" strokecolor="lime" strokeweight=".25pt">
            <v:textbox inset="0,0,0,0">
              <w:txbxContent>
                <w:p w:rsidR="00BF0468" w:rsidRDefault="00BF0468" w:rsidP="00894B0F">
                  <w:pPr>
                    <w:spacing w:line="160" w:lineRule="exact"/>
                    <w:rPr>
                      <w:rFonts w:cs="Miriam"/>
                      <w:noProof/>
                      <w:sz w:val="18"/>
                      <w:szCs w:val="18"/>
                      <w:rtl/>
                    </w:rPr>
                  </w:pPr>
                  <w:r>
                    <w:rPr>
                      <w:rFonts w:cs="Miriam" w:hint="cs"/>
                      <w:sz w:val="18"/>
                      <w:szCs w:val="18"/>
                      <w:rtl/>
                    </w:rPr>
                    <w:t>הפחתה לירידת ערך לפי שווי שוק</w:t>
                  </w:r>
                </w:p>
              </w:txbxContent>
            </v:textbox>
            <w10:anchorlock/>
          </v:rect>
        </w:pict>
      </w:r>
      <w:r w:rsidRPr="00125E7C">
        <w:rPr>
          <w:rStyle w:val="big-number"/>
          <w:rFonts w:cs="Miriam"/>
          <w:rtl/>
        </w:rPr>
        <w:t>3</w:t>
      </w:r>
      <w:r w:rsidRPr="00125E7C">
        <w:rPr>
          <w:rStyle w:val="big-number"/>
          <w:rFonts w:cs="FrankRuehl"/>
          <w:rtl/>
        </w:rPr>
        <w:t>.</w:t>
      </w:r>
      <w:r w:rsidRPr="00125E7C">
        <w:rPr>
          <w:rStyle w:val="big-number"/>
          <w:rFonts w:cs="FrankRuehl"/>
          <w:rtl/>
        </w:rPr>
        <w:tab/>
      </w:r>
      <w:r w:rsidR="00BF0468">
        <w:rPr>
          <w:rStyle w:val="default"/>
          <w:rFonts w:cs="FrankRuehl" w:hint="cs"/>
          <w:rtl/>
        </w:rPr>
        <w:t>פחת שווי השוק ליהלום של יהלום שמשקלו קרט או יותר מעלותו, בסוף שנת המס, תותר הפחתה לירידת ערך בשנת המס לפי שווי השוק ליהלום נכון לאותו מועד, ובלבד שחלפו 13 חודשים ממועד רכישתו</w:t>
      </w:r>
      <w:r w:rsidRPr="00125E7C">
        <w:rPr>
          <w:rStyle w:val="default"/>
          <w:rFonts w:cs="FrankRuehl"/>
          <w:rtl/>
        </w:rPr>
        <w:t>.</w:t>
      </w:r>
    </w:p>
    <w:p w:rsidR="005140B9" w:rsidRDefault="005140B9">
      <w:pPr>
        <w:pStyle w:val="P00"/>
        <w:spacing w:before="72"/>
        <w:ind w:left="0" w:right="1134"/>
        <w:rPr>
          <w:rStyle w:val="default"/>
          <w:rFonts w:cs="FrankRuehl"/>
          <w:rtl/>
        </w:rPr>
      </w:pPr>
      <w:bookmarkStart w:id="3" w:name="Seif4"/>
      <w:bookmarkEnd w:id="3"/>
      <w:r w:rsidRPr="00125E7C">
        <w:rPr>
          <w:rFonts w:cs="Miriam"/>
          <w:lang w:val="he-IL"/>
        </w:rPr>
        <w:pict>
          <v:rect id="_x0000_s1029" style="position:absolute;left:0;text-align:left;margin-left:464.5pt;margin-top:8.05pt;width:75.05pt;height:13.75pt;z-index:251658240" o:allowincell="f" filled="f" stroked="f" strokecolor="lime" strokeweight=".25pt">
            <v:textbox inset="0,0,0,0">
              <w:txbxContent>
                <w:p w:rsidR="00BF0468" w:rsidRDefault="00BF0468" w:rsidP="00894B0F">
                  <w:pPr>
                    <w:spacing w:line="160" w:lineRule="exact"/>
                    <w:rPr>
                      <w:rFonts w:cs="Miriam"/>
                      <w:noProof/>
                      <w:sz w:val="18"/>
                      <w:szCs w:val="18"/>
                      <w:rtl/>
                    </w:rPr>
                  </w:pPr>
                  <w:r>
                    <w:rPr>
                      <w:rFonts w:cs="Miriam" w:hint="cs"/>
                      <w:sz w:val="18"/>
                      <w:szCs w:val="18"/>
                      <w:rtl/>
                    </w:rPr>
                    <w:t>קביעת שווי השוק</w:t>
                  </w:r>
                </w:p>
              </w:txbxContent>
            </v:textbox>
            <w10:anchorlock/>
          </v:rect>
        </w:pict>
      </w:r>
      <w:r w:rsidRPr="00125E7C">
        <w:rPr>
          <w:rStyle w:val="big-number"/>
          <w:rFonts w:cs="Miriam"/>
          <w:rtl/>
        </w:rPr>
        <w:t>4</w:t>
      </w:r>
      <w:r w:rsidRPr="00125E7C">
        <w:rPr>
          <w:rStyle w:val="big-number"/>
          <w:rFonts w:cs="FrankRuehl"/>
          <w:rtl/>
        </w:rPr>
        <w:t>.</w:t>
      </w:r>
      <w:r w:rsidRPr="00125E7C">
        <w:rPr>
          <w:rStyle w:val="big-number"/>
          <w:rFonts w:cs="FrankRuehl"/>
          <w:rtl/>
        </w:rPr>
        <w:tab/>
      </w:r>
      <w:r w:rsidR="00BF0468">
        <w:rPr>
          <w:rStyle w:val="default"/>
          <w:rFonts w:cs="FrankRuehl" w:hint="cs"/>
          <w:rtl/>
        </w:rPr>
        <w:t>קביעת שווי השוק ליהלום של יהלום כאמור בתקנה 3 ייקבע כלהלן:</w:t>
      </w:r>
    </w:p>
    <w:p w:rsidR="00BF0468" w:rsidRDefault="00BF0468" w:rsidP="00BF0468">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לגבי יהלום שמשקלו בין קרט אחד ל-3 קרטים </w:t>
      </w:r>
      <w:r>
        <w:rPr>
          <w:rStyle w:val="default"/>
          <w:rFonts w:cs="FrankRuehl"/>
          <w:rtl/>
        </w:rPr>
        <w:t>–</w:t>
      </w:r>
      <w:r>
        <w:rPr>
          <w:rStyle w:val="default"/>
          <w:rFonts w:cs="FrankRuehl" w:hint="cs"/>
          <w:rtl/>
        </w:rPr>
        <w:t xml:space="preserve"> על פי חוות דעת של מרכז הערכה, הערכה של גמולוג בלתי תלוי או ראיה בלתי תלויה אחרת; הוכח שווי השוק ליהלום באמצעות ראיה בלתי תלויה אחרת, לא יפחת השווי מערך היהלום לפי מחירון;</w:t>
      </w:r>
    </w:p>
    <w:p w:rsidR="00BF0468" w:rsidRDefault="00BF0468" w:rsidP="00BF0468">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לגבי יהלום שמשקלו יותר מ-3 קרטים </w:t>
      </w:r>
      <w:r>
        <w:rPr>
          <w:rStyle w:val="default"/>
          <w:rFonts w:cs="FrankRuehl"/>
          <w:rtl/>
        </w:rPr>
        <w:t>–</w:t>
      </w:r>
      <w:r>
        <w:rPr>
          <w:rStyle w:val="default"/>
          <w:rFonts w:cs="FrankRuehl" w:hint="cs"/>
          <w:rtl/>
        </w:rPr>
        <w:t xml:space="preserve"> על פי חוות דעת של מרכז הערכה או הערכה של גמולוג בלתי תלוי.</w:t>
      </w:r>
    </w:p>
    <w:p w:rsidR="005140B9" w:rsidRDefault="005140B9">
      <w:pPr>
        <w:pStyle w:val="P00"/>
        <w:spacing w:before="72"/>
        <w:ind w:left="0" w:right="1134"/>
        <w:rPr>
          <w:rStyle w:val="default"/>
          <w:rFonts w:cs="FrankRuehl"/>
          <w:rtl/>
        </w:rPr>
      </w:pPr>
      <w:bookmarkStart w:id="4" w:name="Seif5"/>
      <w:bookmarkEnd w:id="4"/>
      <w:r w:rsidRPr="00125E7C">
        <w:rPr>
          <w:rFonts w:cs="Miriam"/>
          <w:lang w:val="he-IL"/>
        </w:rPr>
        <w:pict>
          <v:rect id="_x0000_s1030" style="position:absolute;left:0;text-align:left;margin-left:464.5pt;margin-top:8.05pt;width:75.05pt;height:11.55pt;z-index:251659264" o:allowincell="f" filled="f" stroked="f" strokecolor="lime" strokeweight=".25pt">
            <v:textbox inset="0,0,0,0">
              <w:txbxContent>
                <w:p w:rsidR="00BF0468" w:rsidRDefault="00BF0468">
                  <w:pPr>
                    <w:spacing w:line="160" w:lineRule="exact"/>
                    <w:rPr>
                      <w:rFonts w:cs="Miriam"/>
                      <w:noProof/>
                      <w:sz w:val="18"/>
                      <w:szCs w:val="18"/>
                      <w:rtl/>
                    </w:rPr>
                  </w:pPr>
                  <w:r>
                    <w:rPr>
                      <w:rFonts w:cs="Miriam" w:hint="cs"/>
                      <w:sz w:val="18"/>
                      <w:szCs w:val="18"/>
                      <w:rtl/>
                    </w:rPr>
                    <w:t>אי-תחולה</w:t>
                  </w:r>
                </w:p>
              </w:txbxContent>
            </v:textbox>
            <w10:anchorlock/>
          </v:rect>
        </w:pict>
      </w:r>
      <w:r w:rsidRPr="00125E7C">
        <w:rPr>
          <w:rStyle w:val="big-number"/>
          <w:rFonts w:cs="Miriam"/>
          <w:rtl/>
        </w:rPr>
        <w:t>5</w:t>
      </w:r>
      <w:r w:rsidRPr="00125E7C">
        <w:rPr>
          <w:rStyle w:val="big-number"/>
          <w:rFonts w:cs="FrankRuehl"/>
          <w:rtl/>
        </w:rPr>
        <w:t>.</w:t>
      </w:r>
      <w:r w:rsidRPr="00125E7C">
        <w:rPr>
          <w:rStyle w:val="big-number"/>
          <w:rFonts w:cs="FrankRuehl"/>
          <w:rtl/>
        </w:rPr>
        <w:tab/>
      </w:r>
      <w:r w:rsidR="00BF0468">
        <w:rPr>
          <w:rStyle w:val="default"/>
          <w:rFonts w:cs="FrankRuehl" w:hint="cs"/>
          <w:rtl/>
        </w:rPr>
        <w:t>פקיד השומה רשאי לקבוע, לבקשת יהלומן, כי מחמת אופיו, היקפו או נסיבותיו של עסקו, לא יחולו לגביו החובות הקבועות בתקנה 2</w:t>
      </w:r>
      <w:r w:rsidRPr="00125E7C">
        <w:rPr>
          <w:rStyle w:val="default"/>
          <w:rFonts w:cs="FrankRuehl"/>
          <w:rtl/>
        </w:rPr>
        <w:t>.</w:t>
      </w:r>
    </w:p>
    <w:p w:rsidR="005140B9" w:rsidRDefault="005140B9">
      <w:pPr>
        <w:pStyle w:val="P00"/>
        <w:spacing w:before="72"/>
        <w:ind w:left="0" w:right="1134"/>
        <w:rPr>
          <w:rStyle w:val="default"/>
          <w:rFonts w:cs="FrankRuehl"/>
          <w:rtl/>
        </w:rPr>
      </w:pPr>
      <w:bookmarkStart w:id="5" w:name="Seif6"/>
      <w:bookmarkEnd w:id="5"/>
      <w:r w:rsidRPr="00125E7C">
        <w:rPr>
          <w:rFonts w:cs="Miriam"/>
          <w:lang w:val="he-IL"/>
        </w:rPr>
        <w:pict>
          <v:rect id="_x0000_s1031" style="position:absolute;left:0;text-align:left;margin-left:464.5pt;margin-top:8.05pt;width:75.05pt;height:16.4pt;z-index:251660288" o:allowincell="f" filled="f" stroked="f" strokecolor="lime" strokeweight=".25pt">
            <v:textbox inset="0,0,0,0">
              <w:txbxContent>
                <w:p w:rsidR="00BF0468" w:rsidRDefault="00BF0468">
                  <w:pPr>
                    <w:spacing w:line="160" w:lineRule="exact"/>
                    <w:rPr>
                      <w:rFonts w:cs="Miriam"/>
                      <w:noProof/>
                      <w:sz w:val="18"/>
                      <w:szCs w:val="18"/>
                      <w:rtl/>
                    </w:rPr>
                  </w:pPr>
                  <w:r>
                    <w:rPr>
                      <w:rFonts w:cs="Miriam" w:hint="cs"/>
                      <w:sz w:val="18"/>
                      <w:szCs w:val="18"/>
                      <w:rtl/>
                    </w:rPr>
                    <w:t>תחולה והוראת מעבר</w:t>
                  </w:r>
                </w:p>
              </w:txbxContent>
            </v:textbox>
            <w10:anchorlock/>
          </v:rect>
        </w:pict>
      </w:r>
      <w:r w:rsidRPr="00125E7C">
        <w:rPr>
          <w:rStyle w:val="big-number"/>
          <w:rFonts w:cs="Miriam"/>
          <w:rtl/>
        </w:rPr>
        <w:t>6</w:t>
      </w:r>
      <w:r w:rsidRPr="00125E7C">
        <w:rPr>
          <w:rStyle w:val="big-number"/>
          <w:rFonts w:cs="FrankRuehl"/>
          <w:rtl/>
        </w:rPr>
        <w:t>.</w:t>
      </w:r>
      <w:r w:rsidRPr="00125E7C">
        <w:rPr>
          <w:rStyle w:val="big-number"/>
          <w:rFonts w:cs="FrankRuehl"/>
          <w:rtl/>
        </w:rPr>
        <w:tab/>
      </w:r>
      <w:r w:rsidR="00BF0468">
        <w:rPr>
          <w:rStyle w:val="default"/>
          <w:rFonts w:cs="FrankRuehl" w:hint="cs"/>
          <w:rtl/>
        </w:rPr>
        <w:t>(א)</w:t>
      </w:r>
      <w:r w:rsidR="00BF0468">
        <w:rPr>
          <w:rStyle w:val="default"/>
          <w:rFonts w:cs="FrankRuehl"/>
          <w:rtl/>
        </w:rPr>
        <w:tab/>
      </w:r>
      <w:r w:rsidR="00BF0468">
        <w:rPr>
          <w:rStyle w:val="default"/>
          <w:rFonts w:cs="FrankRuehl" w:hint="cs"/>
          <w:rtl/>
        </w:rPr>
        <w:t>תקנות 3 ו-4 יחולו לגבי יהלום שנרכש ביום ג' בטבת התשע"ז (1 בינואר 2017) או לאחריו</w:t>
      </w:r>
      <w:r w:rsidRPr="00125E7C">
        <w:rPr>
          <w:rStyle w:val="default"/>
          <w:rFonts w:cs="FrankRuehl"/>
          <w:rtl/>
        </w:rPr>
        <w:t>.</w:t>
      </w:r>
    </w:p>
    <w:p w:rsidR="00BF0468" w:rsidRDefault="00BF0468">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החובה לנהל מלאי תמידי הקבועה בתקנה 2 לתקנות אלה, תחול על יהלום שיירכש ביום כ"ד בטבת התשע"ט (1 בינואר 2019) ואילך.</w:t>
      </w:r>
    </w:p>
    <w:p w:rsidR="005140B9" w:rsidRDefault="005140B9">
      <w:pPr>
        <w:pStyle w:val="P00"/>
        <w:spacing w:before="72"/>
        <w:ind w:left="0" w:right="1134"/>
        <w:rPr>
          <w:rStyle w:val="default"/>
          <w:rFonts w:cs="FrankRuehl"/>
          <w:rtl/>
        </w:rPr>
      </w:pPr>
    </w:p>
    <w:p w:rsidR="001E7920" w:rsidRPr="00125E7C" w:rsidRDefault="001E7920">
      <w:pPr>
        <w:pStyle w:val="P00"/>
        <w:spacing w:before="72"/>
        <w:ind w:left="0" w:right="1134"/>
        <w:rPr>
          <w:rStyle w:val="default"/>
          <w:rFonts w:cs="FrankRuehl" w:hint="cs"/>
          <w:rtl/>
        </w:rPr>
      </w:pPr>
    </w:p>
    <w:p w:rsidR="005140B9" w:rsidRPr="00125E7C" w:rsidRDefault="00BF0468" w:rsidP="00654085">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ח' בשבט התשע"ח (24 בינואר 2018</w:t>
      </w:r>
      <w:r w:rsidR="005140B9" w:rsidRPr="00125E7C">
        <w:rPr>
          <w:rStyle w:val="default"/>
          <w:rFonts w:cs="FrankRuehl"/>
          <w:rtl/>
        </w:rPr>
        <w:t>)</w:t>
      </w:r>
      <w:r w:rsidR="00894B0F">
        <w:rPr>
          <w:rStyle w:val="default"/>
          <w:rFonts w:cs="FrankRuehl" w:hint="cs"/>
          <w:rtl/>
        </w:rPr>
        <w:tab/>
      </w:r>
      <w:r>
        <w:rPr>
          <w:rStyle w:val="default"/>
          <w:rFonts w:cs="FrankRuehl" w:hint="cs"/>
          <w:rtl/>
        </w:rPr>
        <w:t>משה כחלון</w:t>
      </w:r>
    </w:p>
    <w:p w:rsidR="005140B9" w:rsidRPr="00894B0F" w:rsidRDefault="00894B0F" w:rsidP="00654085">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hint="cs"/>
          <w:sz w:val="22"/>
          <w:szCs w:val="22"/>
          <w:rtl/>
        </w:rPr>
      </w:pPr>
      <w:r w:rsidRPr="00894B0F">
        <w:rPr>
          <w:rStyle w:val="default"/>
          <w:rFonts w:cs="FrankRuehl" w:hint="cs"/>
          <w:sz w:val="22"/>
          <w:szCs w:val="22"/>
          <w:rtl/>
        </w:rPr>
        <w:tab/>
      </w:r>
      <w:r w:rsidR="005140B9" w:rsidRPr="00894B0F">
        <w:rPr>
          <w:rStyle w:val="default"/>
          <w:rFonts w:cs="FrankRuehl"/>
          <w:sz w:val="22"/>
          <w:szCs w:val="22"/>
          <w:rtl/>
        </w:rPr>
        <w:t>שר האוצר</w:t>
      </w:r>
    </w:p>
    <w:p w:rsidR="001E7920" w:rsidRDefault="001E7920" w:rsidP="00894B0F">
      <w:pPr>
        <w:pStyle w:val="P00"/>
        <w:spacing w:before="72"/>
        <w:ind w:left="0" w:right="1134"/>
        <w:rPr>
          <w:rStyle w:val="default"/>
          <w:rFonts w:cs="FrankRuehl" w:hint="cs"/>
          <w:rtl/>
        </w:rPr>
      </w:pPr>
    </w:p>
    <w:p w:rsidR="00894B0F" w:rsidRPr="00125E7C" w:rsidRDefault="00894B0F" w:rsidP="00894B0F">
      <w:pPr>
        <w:pStyle w:val="P00"/>
        <w:spacing w:before="72"/>
        <w:ind w:left="0" w:right="1134"/>
        <w:rPr>
          <w:rStyle w:val="default"/>
          <w:rFonts w:cs="FrankRuehl" w:hint="cs"/>
          <w:rtl/>
        </w:rPr>
      </w:pPr>
    </w:p>
    <w:p w:rsidR="005140B9" w:rsidRPr="00894B0F" w:rsidRDefault="005140B9" w:rsidP="00894B0F">
      <w:pPr>
        <w:pStyle w:val="P00"/>
        <w:spacing w:before="72"/>
        <w:ind w:left="0" w:right="1134"/>
        <w:rPr>
          <w:rStyle w:val="default"/>
          <w:rFonts w:cs="FrankRuehl"/>
          <w:rtl/>
        </w:rPr>
      </w:pPr>
      <w:bookmarkStart w:id="6" w:name="LawPartEnd"/>
    </w:p>
    <w:bookmarkEnd w:id="6"/>
    <w:p w:rsidR="007F3DEE" w:rsidRDefault="007F3DEE" w:rsidP="00894B0F">
      <w:pPr>
        <w:pStyle w:val="P00"/>
        <w:spacing w:before="72"/>
        <w:ind w:left="0" w:right="1134"/>
        <w:rPr>
          <w:rStyle w:val="default"/>
          <w:rFonts w:cs="FrankRuehl"/>
          <w:rtl/>
        </w:rPr>
      </w:pPr>
    </w:p>
    <w:p w:rsidR="007F3DEE" w:rsidRDefault="007F3DEE" w:rsidP="00894B0F">
      <w:pPr>
        <w:pStyle w:val="P00"/>
        <w:spacing w:before="72"/>
        <w:ind w:left="0" w:right="1134"/>
        <w:rPr>
          <w:rStyle w:val="default"/>
          <w:rFonts w:cs="FrankRuehl"/>
          <w:rtl/>
        </w:rPr>
      </w:pPr>
    </w:p>
    <w:p w:rsidR="007F3DEE" w:rsidRDefault="007F3DEE" w:rsidP="007F3DEE">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rsidR="005140B9" w:rsidRPr="007F3DEE" w:rsidRDefault="005140B9" w:rsidP="007F3DEE">
      <w:pPr>
        <w:pStyle w:val="P00"/>
        <w:spacing w:before="72"/>
        <w:ind w:left="0" w:right="1134"/>
        <w:jc w:val="center"/>
        <w:rPr>
          <w:rStyle w:val="default"/>
          <w:rFonts w:cs="David"/>
          <w:color w:val="0000FF"/>
          <w:szCs w:val="24"/>
          <w:u w:val="single"/>
          <w:rtl/>
        </w:rPr>
      </w:pPr>
    </w:p>
    <w:sectPr w:rsidR="005140B9" w:rsidRPr="007F3DEE">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645D3" w:rsidRDefault="00F645D3">
      <w:r>
        <w:separator/>
      </w:r>
    </w:p>
  </w:endnote>
  <w:endnote w:type="continuationSeparator" w:id="0">
    <w:p w:rsidR="00F645D3" w:rsidRDefault="00F64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0468" w:rsidRDefault="00BF0468">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rsidR="00BF0468" w:rsidRDefault="00BF0468">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F0468" w:rsidRDefault="00BF0468">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F:\Yael\hakika\Revadim\255_382.doc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0468" w:rsidRDefault="00BF0468">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7F3DEE">
      <w:rPr>
        <w:rFonts w:hAnsi="FrankRuehl" w:cs="FrankRuehl"/>
        <w:noProof/>
        <w:rtl/>
      </w:rPr>
      <w:t>3</w:t>
    </w:r>
    <w:r>
      <w:rPr>
        <w:rFonts w:hAnsi="FrankRuehl" w:cs="FrankRuehl"/>
        <w:rtl/>
      </w:rPr>
      <w:fldChar w:fldCharType="end"/>
    </w:r>
  </w:p>
  <w:p w:rsidR="00BF0468" w:rsidRDefault="00BF0468">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F0468" w:rsidRDefault="00BF0468">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F:\Yael\hakika\Revadim\255_382.doc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645D3" w:rsidRDefault="00F645D3" w:rsidP="00894B0F">
      <w:pPr>
        <w:spacing w:before="60"/>
        <w:ind w:right="1134"/>
      </w:pPr>
      <w:r>
        <w:separator/>
      </w:r>
    </w:p>
  </w:footnote>
  <w:footnote w:type="continuationSeparator" w:id="0">
    <w:p w:rsidR="00F645D3" w:rsidRDefault="00F645D3">
      <w:r>
        <w:continuationSeparator/>
      </w:r>
    </w:p>
  </w:footnote>
  <w:footnote w:id="1">
    <w:p w:rsidR="0021626D" w:rsidRPr="00894B0F" w:rsidRDefault="00BF0468" w:rsidP="0021626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894B0F">
        <w:rPr>
          <w:rFonts w:cs="FrankRuehl"/>
          <w:rtl/>
        </w:rPr>
        <w:t xml:space="preserve">* </w:t>
      </w:r>
      <w:r w:rsidRPr="00026051">
        <w:rPr>
          <w:rFonts w:cs="FrankRuehl"/>
          <w:rtl/>
        </w:rPr>
        <w:t>פו</w:t>
      </w:r>
      <w:r w:rsidRPr="00026051">
        <w:rPr>
          <w:rFonts w:cs="FrankRuehl" w:hint="cs"/>
          <w:rtl/>
        </w:rPr>
        <w:t xml:space="preserve">רסמו </w:t>
      </w:r>
      <w:hyperlink r:id="rId1" w:history="1">
        <w:r w:rsidRPr="0021626D">
          <w:rPr>
            <w:rStyle w:val="Hyperlink"/>
            <w:rFonts w:cs="FrankRuehl" w:hint="cs"/>
            <w:rtl/>
          </w:rPr>
          <w:t>ק"ת תשע"ח</w:t>
        </w:r>
        <w:r w:rsidRPr="0021626D">
          <w:rPr>
            <w:rStyle w:val="Hyperlink"/>
            <w:rFonts w:cs="FrankRuehl" w:hint="cs"/>
            <w:rtl/>
          </w:rPr>
          <w:t xml:space="preserve"> מס' 7954</w:t>
        </w:r>
      </w:hyperlink>
      <w:r w:rsidRPr="00026051">
        <w:rPr>
          <w:rFonts w:cs="FrankRuehl" w:hint="cs"/>
          <w:rtl/>
        </w:rPr>
        <w:t xml:space="preserve"> מיום </w:t>
      </w:r>
      <w:r>
        <w:rPr>
          <w:rFonts w:cs="FrankRuehl" w:hint="cs"/>
          <w:rtl/>
        </w:rPr>
        <w:t>20.2.2018</w:t>
      </w:r>
      <w:r w:rsidRPr="00026051">
        <w:rPr>
          <w:rFonts w:cs="FrankRuehl" w:hint="cs"/>
          <w:rtl/>
        </w:rPr>
        <w:t xml:space="preserve"> עמ' </w:t>
      </w:r>
      <w:r>
        <w:rPr>
          <w:rFonts w:cs="FrankRuehl" w:hint="cs"/>
          <w:rtl/>
        </w:rPr>
        <w:t>1022</w:t>
      </w:r>
      <w:r w:rsidRPr="00026051">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0468" w:rsidRDefault="00BF046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(ניכוי מתשלומים בעד עיבוד יהלומים או בעד מסחר ביהלומים), תשנ"ג–1992</w:t>
    </w:r>
  </w:p>
  <w:p w:rsidR="00BF0468" w:rsidRDefault="00BF046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F0468" w:rsidRDefault="00BF046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0468" w:rsidRDefault="00BF046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w:t>
    </w:r>
    <w:r>
      <w:rPr>
        <w:rFonts w:hAnsi="FrankRuehl" w:cs="FrankRuehl" w:hint="cs"/>
        <w:color w:val="000000"/>
        <w:sz w:val="28"/>
        <w:szCs w:val="28"/>
        <w:rtl/>
      </w:rPr>
      <w:t>הערכת מלאי של יהלומן</w:t>
    </w:r>
    <w:r>
      <w:rPr>
        <w:rFonts w:hAnsi="FrankRuehl" w:cs="FrankRuehl"/>
        <w:color w:val="000000"/>
        <w:sz w:val="28"/>
        <w:szCs w:val="28"/>
        <w:rtl/>
      </w:rPr>
      <w:t>), תש</w:t>
    </w:r>
    <w:r>
      <w:rPr>
        <w:rFonts w:hAnsi="FrankRuehl" w:cs="FrankRuehl" w:hint="cs"/>
        <w:color w:val="000000"/>
        <w:sz w:val="28"/>
        <w:szCs w:val="28"/>
        <w:rtl/>
      </w:rPr>
      <w:t>ע"ח-2018</w:t>
    </w:r>
  </w:p>
  <w:p w:rsidR="00BF0468" w:rsidRDefault="00BF046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F0468" w:rsidRDefault="00BF046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6051"/>
    <w:rsid w:val="00026051"/>
    <w:rsid w:val="00125E7C"/>
    <w:rsid w:val="00127DF7"/>
    <w:rsid w:val="0015389A"/>
    <w:rsid w:val="001E7920"/>
    <w:rsid w:val="001F2852"/>
    <w:rsid w:val="0021626D"/>
    <w:rsid w:val="00411205"/>
    <w:rsid w:val="005140B9"/>
    <w:rsid w:val="005E67C5"/>
    <w:rsid w:val="00654085"/>
    <w:rsid w:val="00775019"/>
    <w:rsid w:val="007F3DEE"/>
    <w:rsid w:val="00860F36"/>
    <w:rsid w:val="0088491C"/>
    <w:rsid w:val="00894B0F"/>
    <w:rsid w:val="0093411F"/>
    <w:rsid w:val="00A20C1F"/>
    <w:rsid w:val="00AC7B96"/>
    <w:rsid w:val="00BE5B56"/>
    <w:rsid w:val="00BF0468"/>
    <w:rsid w:val="00C0703B"/>
    <w:rsid w:val="00C44AAE"/>
    <w:rsid w:val="00CD5188"/>
    <w:rsid w:val="00D10C7F"/>
    <w:rsid w:val="00E06645"/>
    <w:rsid w:val="00F645D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15583040-E382-4437-BCFB-48A94A756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sid w:val="00125E7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0489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95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3161</CharactersWithSpaces>
  <SharedDoc>false</SharedDoc>
  <HLinks>
    <vt:vector size="48" baseType="variant">
      <vt:variant>
        <vt:i4>393283</vt:i4>
      </vt:variant>
      <vt:variant>
        <vt:i4>36</vt:i4>
      </vt:variant>
      <vt:variant>
        <vt:i4>0</vt:i4>
      </vt:variant>
      <vt:variant>
        <vt:i4>5</vt:i4>
      </vt:variant>
      <vt:variant>
        <vt:lpwstr>http://www.nevo.co.il/advertisements/nevo-100.doc</vt:lpwstr>
      </vt:variant>
      <vt:variant>
        <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8060933</vt:i4>
      </vt:variant>
      <vt:variant>
        <vt:i4>0</vt:i4>
      </vt:variant>
      <vt:variant>
        <vt:i4>0</vt:i4>
      </vt:variant>
      <vt:variant>
        <vt:i4>5</vt:i4>
      </vt:variant>
      <vt:variant>
        <vt:lpwstr>http://www.nevo.co.il/Law_word/law06/tak-7954.pdf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מס הכנסה</vt:lpwstr>
  </property>
  <property fmtid="{D5CDD505-2E9C-101B-9397-08002B2CF9AE}" pid="4" name="LAWNAME">
    <vt:lpwstr>תקנות מס הכנסה (הערכת מלאי של יהלומן), תשע"ח-2018</vt:lpwstr>
  </property>
  <property fmtid="{D5CDD505-2E9C-101B-9397-08002B2CF9AE}" pid="5" name="LAWNUMBER">
    <vt:lpwstr>0778</vt:lpwstr>
  </property>
  <property fmtid="{D5CDD505-2E9C-101B-9397-08002B2CF9AE}" pid="6" name="TYPE">
    <vt:lpwstr>01</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MEKOR_NAME1">
    <vt:lpwstr>פקודת מס הכנסה</vt:lpwstr>
  </property>
  <property fmtid="{D5CDD505-2E9C-101B-9397-08002B2CF9AE}" pid="16" name="MEKOR_SAIF1">
    <vt:lpwstr>85XהX</vt:lpwstr>
  </property>
  <property fmtid="{D5CDD505-2E9C-101B-9397-08002B2CF9AE}" pid="17" name="NOSE11">
    <vt:lpwstr>מסים</vt:lpwstr>
  </property>
  <property fmtid="{D5CDD505-2E9C-101B-9397-08002B2CF9AE}" pid="18" name="NOSE21">
    <vt:lpwstr>מס הכנסה</vt:lpwstr>
  </property>
  <property fmtid="{D5CDD505-2E9C-101B-9397-08002B2CF9AE}" pid="19" name="NOSE31">
    <vt:lpwstr>ניכויים</vt:lpwstr>
  </property>
  <property fmtid="{D5CDD505-2E9C-101B-9397-08002B2CF9AE}" pid="20" name="NOSE41">
    <vt:lpwstr>ניכוי מתשלומים</vt:lpwstr>
  </property>
  <property fmtid="{D5CDD505-2E9C-101B-9397-08002B2CF9AE}" pid="21" name="NOSE12">
    <vt:lpwstr>משפט פרטי וכלכלה</vt:lpwstr>
  </property>
  <property fmtid="{D5CDD505-2E9C-101B-9397-08002B2CF9AE}" pid="22" name="NOSE22">
    <vt:lpwstr>מסחר </vt:lpwstr>
  </property>
  <property fmtid="{D5CDD505-2E9C-101B-9397-08002B2CF9AE}" pid="23" name="NOSE32">
    <vt:lpwstr/>
  </property>
  <property fmtid="{D5CDD505-2E9C-101B-9397-08002B2CF9AE}" pid="24" name="NOSE42">
    <vt:lpwstr/>
  </property>
  <property fmtid="{D5CDD505-2E9C-101B-9397-08002B2CF9AE}" pid="25" name="NOSE13">
    <vt:lpwstr/>
  </property>
  <property fmtid="{D5CDD505-2E9C-101B-9397-08002B2CF9AE}" pid="26" name="NOSE23">
    <vt:lpwstr/>
  </property>
  <property fmtid="{D5CDD505-2E9C-101B-9397-08002B2CF9AE}" pid="27" name="NOSE33">
    <vt:lpwstr/>
  </property>
  <property fmtid="{D5CDD505-2E9C-101B-9397-08002B2CF9AE}" pid="28" name="NOSE43">
    <vt:lpwstr/>
  </property>
  <property fmtid="{D5CDD505-2E9C-101B-9397-08002B2CF9AE}" pid="29" name="NOSE14">
    <vt:lpwstr/>
  </property>
  <property fmtid="{D5CDD505-2E9C-101B-9397-08002B2CF9AE}" pid="30" name="NOSE24">
    <vt:lpwstr/>
  </property>
  <property fmtid="{D5CDD505-2E9C-101B-9397-08002B2CF9AE}" pid="31" name="NOSE34">
    <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y fmtid="{D5CDD505-2E9C-101B-9397-08002B2CF9AE}" pid="57" name="MEKORSAMCHUT">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y fmtid="{D5CDD505-2E9C-101B-9397-08002B2CF9AE}" pid="63" name="LINKK1">
    <vt:lpwstr>http://www.nevo.co.il/Law_word/law06/tak-7954.pdf;‎רשומות - תקנות כלליות#פורסמו ק"ת ‏תשע"ח מס' 7954 #מיום 20.2.2018 עמ' 1022‏</vt:lpwstr>
  </property>
  <property fmtid="{D5CDD505-2E9C-101B-9397-08002B2CF9AE}" pid="64" name="LINKK2">
    <vt:lpwstr/>
  </property>
</Properties>
</file>