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E9A84" w14:textId="77777777" w:rsidR="00A81DD0" w:rsidRDefault="00E97A38" w:rsidP="006E19C1">
      <w:pPr>
        <w:pStyle w:val="big-header"/>
        <w:ind w:left="0" w:right="1134"/>
        <w:rPr>
          <w:rFonts w:cs="FrankRuehl" w:hint="cs"/>
          <w:sz w:val="32"/>
          <w:rtl/>
        </w:rPr>
      </w:pPr>
      <w:r>
        <w:rPr>
          <w:rFonts w:cs="FrankRuehl" w:hint="cs"/>
          <w:sz w:val="32"/>
          <w:rtl/>
        </w:rPr>
        <w:t>תקנות מס הכנסה (</w:t>
      </w:r>
      <w:r w:rsidR="00D17608">
        <w:rPr>
          <w:rFonts w:cs="FrankRuehl" w:hint="cs"/>
          <w:sz w:val="32"/>
          <w:rtl/>
        </w:rPr>
        <w:t xml:space="preserve">הפחתה של סכום העיצום הכספי בשל אי-זיהוי או דיווח לצורך </w:t>
      </w:r>
      <w:r w:rsidR="006E19C1">
        <w:rPr>
          <w:rFonts w:cs="FrankRuehl" w:hint="cs"/>
          <w:sz w:val="32"/>
          <w:rtl/>
        </w:rPr>
        <w:t>יישום הסכם פטקא), תשע"</w:t>
      </w:r>
      <w:r w:rsidR="00D17608">
        <w:rPr>
          <w:rFonts w:cs="FrankRuehl" w:hint="cs"/>
          <w:sz w:val="32"/>
          <w:rtl/>
        </w:rPr>
        <w:t>ח</w:t>
      </w:r>
      <w:r w:rsidR="006E19C1">
        <w:rPr>
          <w:rFonts w:cs="FrankRuehl" w:hint="cs"/>
          <w:sz w:val="32"/>
          <w:rtl/>
        </w:rPr>
        <w:t>-201</w:t>
      </w:r>
      <w:r w:rsidR="00D17608">
        <w:rPr>
          <w:rFonts w:cs="FrankRuehl" w:hint="cs"/>
          <w:sz w:val="32"/>
          <w:rtl/>
        </w:rPr>
        <w:t>8</w:t>
      </w:r>
    </w:p>
    <w:p w14:paraId="1BDAAF98" w14:textId="77777777" w:rsidR="00FC4953" w:rsidRPr="00FC4953" w:rsidRDefault="00FC4953" w:rsidP="00FC4953">
      <w:pPr>
        <w:spacing w:line="320" w:lineRule="auto"/>
        <w:rPr>
          <w:rFonts w:cs="FrankRuehl"/>
          <w:szCs w:val="26"/>
          <w:rtl/>
        </w:rPr>
      </w:pPr>
    </w:p>
    <w:p w14:paraId="2F8F1470" w14:textId="77777777" w:rsidR="00FC4953" w:rsidRDefault="00FC4953" w:rsidP="00FC4953">
      <w:pPr>
        <w:spacing w:line="320" w:lineRule="auto"/>
        <w:rPr>
          <w:rtl/>
        </w:rPr>
      </w:pPr>
    </w:p>
    <w:p w14:paraId="1F0FEBB3" w14:textId="77777777" w:rsidR="00FC4953" w:rsidRDefault="00FC4953" w:rsidP="00FC4953">
      <w:pPr>
        <w:spacing w:line="320" w:lineRule="auto"/>
        <w:rPr>
          <w:rFonts w:cs="Miriam"/>
          <w:szCs w:val="22"/>
          <w:rtl/>
        </w:rPr>
      </w:pPr>
      <w:r w:rsidRPr="00FC4953">
        <w:rPr>
          <w:rFonts w:cs="Miriam"/>
          <w:szCs w:val="22"/>
          <w:rtl/>
        </w:rPr>
        <w:t>מסים</w:t>
      </w:r>
      <w:r w:rsidRPr="00FC4953">
        <w:rPr>
          <w:rFonts w:cs="FrankRuehl"/>
          <w:szCs w:val="26"/>
          <w:rtl/>
        </w:rPr>
        <w:t xml:space="preserve"> – מס הכנסה</w:t>
      </w:r>
    </w:p>
    <w:p w14:paraId="40D1F1CB" w14:textId="77777777" w:rsidR="00FC4953" w:rsidRPr="00FC4953" w:rsidRDefault="00FC4953" w:rsidP="00FC4953">
      <w:pPr>
        <w:spacing w:line="320" w:lineRule="auto"/>
        <w:rPr>
          <w:rFonts w:cs="Miriam" w:hint="cs"/>
          <w:szCs w:val="22"/>
          <w:rtl/>
        </w:rPr>
      </w:pPr>
      <w:r w:rsidRPr="00FC4953">
        <w:rPr>
          <w:rFonts w:cs="Miriam"/>
          <w:szCs w:val="22"/>
          <w:rtl/>
        </w:rPr>
        <w:t>משפט בינ"ל פומבי</w:t>
      </w:r>
      <w:r w:rsidRPr="00FC4953">
        <w:rPr>
          <w:rFonts w:cs="FrankRuehl"/>
          <w:szCs w:val="26"/>
          <w:rtl/>
        </w:rPr>
        <w:t xml:space="preserve"> – אמנות</w:t>
      </w:r>
    </w:p>
    <w:p w14:paraId="5135C253" w14:textId="77777777" w:rsidR="00392946" w:rsidRDefault="00392946" w:rsidP="00A81DD0">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06304" w:rsidRPr="00906304" w14:paraId="6C1B5B2C" w14:textId="77777777" w:rsidTr="00906304">
        <w:tblPrEx>
          <w:tblCellMar>
            <w:top w:w="0" w:type="dxa"/>
            <w:bottom w:w="0" w:type="dxa"/>
          </w:tblCellMar>
        </w:tblPrEx>
        <w:tc>
          <w:tcPr>
            <w:tcW w:w="1247" w:type="dxa"/>
          </w:tcPr>
          <w:p w14:paraId="166CD23B" w14:textId="77777777" w:rsidR="00906304" w:rsidRPr="00906304" w:rsidRDefault="00906304" w:rsidP="00906304">
            <w:pPr>
              <w:rPr>
                <w:rFonts w:cs="Frankruhel" w:hint="cs"/>
                <w:rtl/>
              </w:rPr>
            </w:pPr>
            <w:r>
              <w:rPr>
                <w:rtl/>
              </w:rPr>
              <w:t xml:space="preserve">סעיף 1 </w:t>
            </w:r>
          </w:p>
        </w:tc>
        <w:tc>
          <w:tcPr>
            <w:tcW w:w="5669" w:type="dxa"/>
          </w:tcPr>
          <w:p w14:paraId="67C9E05F" w14:textId="77777777" w:rsidR="00906304" w:rsidRPr="00906304" w:rsidRDefault="00906304" w:rsidP="00906304">
            <w:pPr>
              <w:rPr>
                <w:rFonts w:cs="Frankruhel" w:hint="cs"/>
                <w:rtl/>
              </w:rPr>
            </w:pPr>
            <w:r>
              <w:rPr>
                <w:rtl/>
              </w:rPr>
              <w:t>הפחתת סכומי העיצום הכספי</w:t>
            </w:r>
          </w:p>
        </w:tc>
        <w:tc>
          <w:tcPr>
            <w:tcW w:w="567" w:type="dxa"/>
          </w:tcPr>
          <w:p w14:paraId="46B18C88" w14:textId="77777777" w:rsidR="00906304" w:rsidRPr="00906304" w:rsidRDefault="00906304" w:rsidP="00906304">
            <w:pPr>
              <w:rPr>
                <w:rStyle w:val="Hyperlink"/>
                <w:rFonts w:hint="cs"/>
                <w:rtl/>
              </w:rPr>
            </w:pPr>
            <w:hyperlink w:anchor="Seif1" w:tooltip="הפחתת סכומי העיצום הכספי" w:history="1">
              <w:r w:rsidRPr="00906304">
                <w:rPr>
                  <w:rStyle w:val="Hyperlink"/>
                </w:rPr>
                <w:t>Go</w:t>
              </w:r>
            </w:hyperlink>
          </w:p>
        </w:tc>
        <w:tc>
          <w:tcPr>
            <w:tcW w:w="850" w:type="dxa"/>
          </w:tcPr>
          <w:p w14:paraId="24690617" w14:textId="77777777" w:rsidR="00906304" w:rsidRPr="00906304" w:rsidRDefault="00906304" w:rsidP="009063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06304" w:rsidRPr="00906304" w14:paraId="396B03EB" w14:textId="77777777" w:rsidTr="00906304">
        <w:tblPrEx>
          <w:tblCellMar>
            <w:top w:w="0" w:type="dxa"/>
            <w:bottom w:w="0" w:type="dxa"/>
          </w:tblCellMar>
        </w:tblPrEx>
        <w:tc>
          <w:tcPr>
            <w:tcW w:w="1247" w:type="dxa"/>
          </w:tcPr>
          <w:p w14:paraId="70859760" w14:textId="77777777" w:rsidR="00906304" w:rsidRPr="00906304" w:rsidRDefault="00906304" w:rsidP="00906304">
            <w:pPr>
              <w:rPr>
                <w:rFonts w:cs="Frankruhel" w:hint="cs"/>
                <w:rtl/>
              </w:rPr>
            </w:pPr>
            <w:r>
              <w:rPr>
                <w:rtl/>
              </w:rPr>
              <w:t xml:space="preserve">סעיף 2 </w:t>
            </w:r>
          </w:p>
        </w:tc>
        <w:tc>
          <w:tcPr>
            <w:tcW w:w="5669" w:type="dxa"/>
          </w:tcPr>
          <w:p w14:paraId="500D2965" w14:textId="77777777" w:rsidR="00906304" w:rsidRPr="00906304" w:rsidRDefault="00906304" w:rsidP="00906304">
            <w:pPr>
              <w:rPr>
                <w:rFonts w:cs="Frankruhel" w:hint="cs"/>
                <w:rtl/>
              </w:rPr>
            </w:pPr>
            <w:r>
              <w:rPr>
                <w:rtl/>
              </w:rPr>
              <w:t>הפחתה בשל כמה נסיבות</w:t>
            </w:r>
          </w:p>
        </w:tc>
        <w:tc>
          <w:tcPr>
            <w:tcW w:w="567" w:type="dxa"/>
          </w:tcPr>
          <w:p w14:paraId="23F9FAB5" w14:textId="77777777" w:rsidR="00906304" w:rsidRPr="00906304" w:rsidRDefault="00906304" w:rsidP="00906304">
            <w:pPr>
              <w:rPr>
                <w:rStyle w:val="Hyperlink"/>
                <w:rFonts w:hint="cs"/>
                <w:rtl/>
              </w:rPr>
            </w:pPr>
            <w:hyperlink w:anchor="Seif2" w:tooltip="הפחתה בשל כמה נסיבות" w:history="1">
              <w:r w:rsidRPr="00906304">
                <w:rPr>
                  <w:rStyle w:val="Hyperlink"/>
                </w:rPr>
                <w:t>Go</w:t>
              </w:r>
            </w:hyperlink>
          </w:p>
        </w:tc>
        <w:tc>
          <w:tcPr>
            <w:tcW w:w="850" w:type="dxa"/>
          </w:tcPr>
          <w:p w14:paraId="4813C4A0" w14:textId="77777777" w:rsidR="00906304" w:rsidRPr="00906304" w:rsidRDefault="00906304" w:rsidP="009063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06304" w:rsidRPr="00906304" w14:paraId="7AA15B77" w14:textId="77777777" w:rsidTr="00906304">
        <w:tblPrEx>
          <w:tblCellMar>
            <w:top w:w="0" w:type="dxa"/>
            <w:bottom w:w="0" w:type="dxa"/>
          </w:tblCellMar>
        </w:tblPrEx>
        <w:tc>
          <w:tcPr>
            <w:tcW w:w="1247" w:type="dxa"/>
          </w:tcPr>
          <w:p w14:paraId="59822762" w14:textId="77777777" w:rsidR="00906304" w:rsidRPr="00906304" w:rsidRDefault="00906304" w:rsidP="00906304">
            <w:pPr>
              <w:rPr>
                <w:rFonts w:cs="Frankruhel" w:hint="cs"/>
                <w:rtl/>
              </w:rPr>
            </w:pPr>
            <w:r>
              <w:rPr>
                <w:rtl/>
              </w:rPr>
              <w:t xml:space="preserve">סעיף 3 </w:t>
            </w:r>
          </w:p>
        </w:tc>
        <w:tc>
          <w:tcPr>
            <w:tcW w:w="5669" w:type="dxa"/>
          </w:tcPr>
          <w:p w14:paraId="712DD2B5" w14:textId="77777777" w:rsidR="00906304" w:rsidRPr="00906304" w:rsidRDefault="00906304" w:rsidP="00906304">
            <w:pPr>
              <w:rPr>
                <w:rFonts w:cs="Frankruhel" w:hint="cs"/>
                <w:rtl/>
              </w:rPr>
            </w:pPr>
            <w:r>
              <w:rPr>
                <w:rtl/>
              </w:rPr>
              <w:t>הפחתת העיצום הכספי למוסד פיננסי שאין לו חשבונות בני דיווח</w:t>
            </w:r>
          </w:p>
        </w:tc>
        <w:tc>
          <w:tcPr>
            <w:tcW w:w="567" w:type="dxa"/>
          </w:tcPr>
          <w:p w14:paraId="05F9707B" w14:textId="77777777" w:rsidR="00906304" w:rsidRPr="00906304" w:rsidRDefault="00906304" w:rsidP="00906304">
            <w:pPr>
              <w:rPr>
                <w:rStyle w:val="Hyperlink"/>
                <w:rFonts w:hint="cs"/>
                <w:rtl/>
              </w:rPr>
            </w:pPr>
            <w:hyperlink w:anchor="Seif3" w:tooltip="הפחתת העיצום הכספי למוסד פיננסי שאין לו חשבונות בני דיווח" w:history="1">
              <w:r w:rsidRPr="00906304">
                <w:rPr>
                  <w:rStyle w:val="Hyperlink"/>
                </w:rPr>
                <w:t>Go</w:t>
              </w:r>
            </w:hyperlink>
          </w:p>
        </w:tc>
        <w:tc>
          <w:tcPr>
            <w:tcW w:w="850" w:type="dxa"/>
          </w:tcPr>
          <w:p w14:paraId="4D5CC293" w14:textId="77777777" w:rsidR="00906304" w:rsidRPr="00906304" w:rsidRDefault="00906304" w:rsidP="0090630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1B3ECACF" w14:textId="77777777" w:rsidR="00392946" w:rsidRDefault="00392946" w:rsidP="00392946">
      <w:pPr>
        <w:pStyle w:val="big-header"/>
        <w:ind w:left="0" w:right="1134"/>
        <w:rPr>
          <w:rFonts w:cs="FrankRuehl" w:hint="cs"/>
          <w:sz w:val="32"/>
          <w:rtl/>
        </w:rPr>
      </w:pPr>
    </w:p>
    <w:p w14:paraId="52F7344D" w14:textId="77777777" w:rsidR="00392946" w:rsidRDefault="00392946" w:rsidP="006E19C1">
      <w:pPr>
        <w:pStyle w:val="big-header"/>
        <w:ind w:left="0" w:right="1134"/>
        <w:rPr>
          <w:rFonts w:cs="FrankRuehl" w:hint="cs"/>
          <w:sz w:val="32"/>
          <w:rtl/>
        </w:rPr>
      </w:pPr>
      <w:r>
        <w:rPr>
          <w:rFonts w:cs="FrankRuehl"/>
          <w:sz w:val="32"/>
          <w:rtl/>
        </w:rPr>
        <w:br w:type="page"/>
      </w:r>
      <w:r w:rsidR="00D17608">
        <w:rPr>
          <w:rFonts w:cs="FrankRuehl" w:hint="cs"/>
          <w:sz w:val="32"/>
          <w:rtl/>
        </w:rPr>
        <w:lastRenderedPageBreak/>
        <w:t>תקנות מס הכנסה (הפחתה של סכום העיצום הכספי בשל אי-זיהוי או דיווח לצורך יישום הסכם פטקא), תשע"ח-2018</w:t>
      </w:r>
      <w:r>
        <w:rPr>
          <w:rStyle w:val="default"/>
          <w:sz w:val="22"/>
          <w:szCs w:val="22"/>
          <w:rtl/>
        </w:rPr>
        <w:footnoteReference w:customMarkFollows="1" w:id="1"/>
        <w:t>*</w:t>
      </w:r>
    </w:p>
    <w:p w14:paraId="709E444A" w14:textId="77777777" w:rsidR="00E97A38" w:rsidRDefault="00E97A38" w:rsidP="006E7362">
      <w:pPr>
        <w:pStyle w:val="P00"/>
        <w:spacing w:before="72"/>
        <w:ind w:left="0" w:right="1134"/>
        <w:rPr>
          <w:rStyle w:val="default"/>
          <w:rFonts w:cs="FrankRuehl"/>
          <w:rtl/>
        </w:rPr>
      </w:pPr>
      <w:r>
        <w:rPr>
          <w:rStyle w:val="default"/>
          <w:rFonts w:cs="FrankRuehl" w:hint="cs"/>
          <w:rtl/>
        </w:rPr>
        <w:tab/>
        <w:t xml:space="preserve">בתוקף סמכותי לפי </w:t>
      </w:r>
      <w:r w:rsidR="00D17608">
        <w:rPr>
          <w:rStyle w:val="default"/>
          <w:rFonts w:cs="FrankRuehl" w:hint="cs"/>
          <w:rtl/>
        </w:rPr>
        <w:t>סעיף 195טו</w:t>
      </w:r>
      <w:r>
        <w:rPr>
          <w:rStyle w:val="default"/>
          <w:rFonts w:cs="FrankRuehl" w:hint="cs"/>
          <w:rtl/>
        </w:rPr>
        <w:t xml:space="preserve"> לפקודת מס הכנסה (להלן </w:t>
      </w:r>
      <w:r>
        <w:rPr>
          <w:rStyle w:val="default"/>
          <w:rFonts w:cs="FrankRuehl"/>
          <w:rtl/>
        </w:rPr>
        <w:t>–</w:t>
      </w:r>
      <w:r>
        <w:rPr>
          <w:rStyle w:val="default"/>
          <w:rFonts w:cs="FrankRuehl" w:hint="cs"/>
          <w:rtl/>
        </w:rPr>
        <w:t xml:space="preserve"> הפקודה),</w:t>
      </w:r>
      <w:r w:rsidR="006E7362">
        <w:rPr>
          <w:rStyle w:val="default"/>
          <w:rFonts w:cs="FrankRuehl" w:hint="cs"/>
          <w:rtl/>
        </w:rPr>
        <w:t xml:space="preserve"> </w:t>
      </w:r>
      <w:r w:rsidR="00D17608">
        <w:rPr>
          <w:rStyle w:val="default"/>
          <w:rFonts w:cs="FrankRuehl" w:hint="cs"/>
          <w:rtl/>
        </w:rPr>
        <w:t>בהסכמת שרת המשפטים</w:t>
      </w:r>
      <w:r>
        <w:rPr>
          <w:rStyle w:val="default"/>
          <w:rFonts w:cs="FrankRuehl" w:hint="cs"/>
          <w:rtl/>
        </w:rPr>
        <w:t xml:space="preserve"> ובאישור ועדת הכספים של הכנסת, אני מתקין תקנות אלה:</w:t>
      </w:r>
    </w:p>
    <w:p w14:paraId="02AEAE51" w14:textId="77777777" w:rsidR="00E97A38" w:rsidRDefault="00E97A38">
      <w:pPr>
        <w:pStyle w:val="P00"/>
        <w:spacing w:before="72"/>
        <w:ind w:left="0" w:right="1134"/>
        <w:rPr>
          <w:rStyle w:val="default"/>
          <w:rFonts w:cs="FrankRuehl"/>
          <w:sz w:val="20"/>
          <w:rtl/>
        </w:rPr>
      </w:pPr>
      <w:bookmarkStart w:id="0" w:name="Seif1"/>
      <w:bookmarkEnd w:id="0"/>
      <w:r>
        <w:rPr>
          <w:rFonts w:cs="Miriam"/>
          <w:lang w:val="he-IL"/>
        </w:rPr>
        <w:pict w14:anchorId="36810644">
          <v:rect id="_x0000_s1026" style="position:absolute;left:0;text-align:left;margin-left:468pt;margin-top:8.05pt;width:70.55pt;height:20.65pt;z-index:251656704" filled="f" stroked="f" strokecolor="lime" strokeweight=".25pt">
            <v:textbox style="mso-next-textbox:#_x0000_s1026" inset="1mm,0,1mm,0">
              <w:txbxContent>
                <w:p w14:paraId="7F648B34" w14:textId="77777777" w:rsidR="003738AD" w:rsidRDefault="003738AD">
                  <w:pPr>
                    <w:spacing w:line="160" w:lineRule="exact"/>
                    <w:rPr>
                      <w:rFonts w:cs="Miriam" w:hint="cs"/>
                      <w:noProof/>
                      <w:sz w:val="18"/>
                      <w:szCs w:val="18"/>
                      <w:rtl/>
                    </w:rPr>
                  </w:pPr>
                  <w:r>
                    <w:rPr>
                      <w:rFonts w:cs="Miriam" w:hint="cs"/>
                      <w:sz w:val="18"/>
                      <w:szCs w:val="18"/>
                      <w:rtl/>
                    </w:rPr>
                    <w:t>הפחתת סכומי העיצום הכספי</w:t>
                  </w:r>
                </w:p>
              </w:txbxContent>
            </v:textbox>
            <w10:anchorlock/>
          </v:rect>
        </w:pict>
      </w:r>
      <w:r>
        <w:rPr>
          <w:rStyle w:val="big-number"/>
          <w:rFonts w:cs="Miriam"/>
          <w:rtl/>
        </w:rPr>
        <w:t>1</w:t>
      </w:r>
      <w:r w:rsidRPr="00074241">
        <w:rPr>
          <w:rStyle w:val="default"/>
          <w:rFonts w:cs="FrankRuehl"/>
          <w:sz w:val="20"/>
          <w:rtl/>
        </w:rPr>
        <w:t>.</w:t>
      </w:r>
      <w:r w:rsidRPr="00074241">
        <w:rPr>
          <w:rStyle w:val="default"/>
          <w:rFonts w:cs="FrankRuehl"/>
          <w:sz w:val="20"/>
          <w:rtl/>
        </w:rPr>
        <w:tab/>
      </w:r>
      <w:r w:rsidR="00D17608">
        <w:rPr>
          <w:rStyle w:val="default"/>
          <w:rFonts w:cs="FrankRuehl" w:hint="cs"/>
          <w:sz w:val="20"/>
          <w:rtl/>
        </w:rPr>
        <w:t xml:space="preserve">המנהל רשאי </w:t>
      </w:r>
      <w:r w:rsidR="000070FA">
        <w:rPr>
          <w:rStyle w:val="default"/>
          <w:rFonts w:cs="FrankRuehl" w:hint="cs"/>
          <w:sz w:val="20"/>
          <w:rtl/>
        </w:rPr>
        <w:t>להפחית למפר את סכום העיצום הכספי, בשיעורים שלהלן, אם התקיימה אחת או יותר מנסיבות אלה:</w:t>
      </w:r>
    </w:p>
    <w:p w14:paraId="02620E67" w14:textId="77777777" w:rsidR="000070FA" w:rsidRDefault="000070FA" w:rsidP="000070FA">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המפר לא הפר הוראה מהוראות סימן ז' לפקודה בחמש השנים שקדמו להפרה </w:t>
      </w:r>
      <w:r>
        <w:rPr>
          <w:rStyle w:val="default"/>
          <w:rFonts w:cs="FrankRuehl"/>
          <w:sz w:val="20"/>
          <w:rtl/>
        </w:rPr>
        <w:t>–</w:t>
      </w:r>
      <w:r>
        <w:rPr>
          <w:rStyle w:val="default"/>
          <w:rFonts w:cs="FrankRuehl" w:hint="cs"/>
          <w:sz w:val="20"/>
          <w:rtl/>
        </w:rPr>
        <w:t xml:space="preserve"> 30%; לא הפר את אותה הוראה בשלוש השנים שקדמו להפרה </w:t>
      </w:r>
      <w:r>
        <w:rPr>
          <w:rStyle w:val="default"/>
          <w:rFonts w:cs="FrankRuehl"/>
          <w:sz w:val="20"/>
          <w:rtl/>
        </w:rPr>
        <w:t>–</w:t>
      </w:r>
      <w:r>
        <w:rPr>
          <w:rStyle w:val="default"/>
          <w:rFonts w:cs="FrankRuehl" w:hint="cs"/>
          <w:sz w:val="20"/>
          <w:rtl/>
        </w:rPr>
        <w:t xml:space="preserve"> 10%;</w:t>
      </w:r>
    </w:p>
    <w:p w14:paraId="06CF4902" w14:textId="77777777" w:rsidR="000070FA" w:rsidRDefault="000070FA" w:rsidP="000070FA">
      <w:pPr>
        <w:pStyle w:val="P00"/>
        <w:spacing w:before="72"/>
        <w:ind w:left="62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 xml:space="preserve">המפר הפסיק את ההפרה מיוזמתו ודיווח עליה למנהל </w:t>
      </w:r>
      <w:r>
        <w:rPr>
          <w:rStyle w:val="default"/>
          <w:rFonts w:cs="FrankRuehl"/>
          <w:sz w:val="20"/>
          <w:rtl/>
        </w:rPr>
        <w:t>–</w:t>
      </w:r>
      <w:r>
        <w:rPr>
          <w:rStyle w:val="default"/>
          <w:rFonts w:cs="FrankRuehl" w:hint="cs"/>
          <w:sz w:val="20"/>
          <w:rtl/>
        </w:rPr>
        <w:t xml:space="preserve"> 50%;</w:t>
      </w:r>
    </w:p>
    <w:p w14:paraId="5930960E" w14:textId="77777777" w:rsidR="000070FA" w:rsidRDefault="000070FA" w:rsidP="000070FA">
      <w:pPr>
        <w:pStyle w:val="P00"/>
        <w:spacing w:before="72"/>
        <w:ind w:left="62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 xml:space="preserve">למפר מערכת נהלים שנועדה לאתר את ההפרה ולמנוע אותה והוא נקט פעולות למניעת הישנות ההפרה ולהקטנת הנזק להנחת דעתו של המנהל </w:t>
      </w:r>
      <w:r>
        <w:rPr>
          <w:rStyle w:val="default"/>
          <w:rFonts w:cs="FrankRuehl"/>
          <w:sz w:val="20"/>
          <w:rtl/>
        </w:rPr>
        <w:t>–</w:t>
      </w:r>
      <w:r>
        <w:rPr>
          <w:rStyle w:val="default"/>
          <w:rFonts w:cs="FrankRuehl" w:hint="cs"/>
          <w:sz w:val="20"/>
          <w:rtl/>
        </w:rPr>
        <w:t xml:space="preserve"> 50%;</w:t>
      </w:r>
    </w:p>
    <w:p w14:paraId="37F9827A" w14:textId="77777777" w:rsidR="000070FA" w:rsidRDefault="000070FA" w:rsidP="000070FA">
      <w:pPr>
        <w:pStyle w:val="P00"/>
        <w:spacing w:before="72"/>
        <w:ind w:left="624" w:right="1134"/>
        <w:rPr>
          <w:rStyle w:val="default"/>
          <w:rFonts w:cs="FrankRuehl"/>
          <w:sz w:val="20"/>
          <w:rtl/>
        </w:rPr>
      </w:pPr>
      <w:r>
        <w:rPr>
          <w:rStyle w:val="default"/>
          <w:rFonts w:cs="FrankRuehl" w:hint="cs"/>
          <w:sz w:val="20"/>
          <w:rtl/>
        </w:rPr>
        <w:t>(ד)</w:t>
      </w:r>
      <w:r>
        <w:rPr>
          <w:rStyle w:val="default"/>
          <w:rFonts w:cs="FrankRuehl"/>
          <w:sz w:val="20"/>
          <w:rtl/>
        </w:rPr>
        <w:tab/>
      </w:r>
      <w:r>
        <w:rPr>
          <w:rStyle w:val="default"/>
          <w:rFonts w:cs="FrankRuehl" w:hint="cs"/>
          <w:sz w:val="20"/>
          <w:rtl/>
        </w:rPr>
        <w:t xml:space="preserve">ההפרה היא קלה, בנסיבות ביצועה; לעניין זה, יתחשב המנהל, בין השאר, בהיקף ההפרה, ברווח שהיה עשוי להיות מופק ממנה, בהפסד שהיה עשוי להימנע אלמלא ההפרה או בנזק שהיה עשוי להיגרם בעקבותיה </w:t>
      </w:r>
      <w:r>
        <w:rPr>
          <w:rStyle w:val="default"/>
          <w:rFonts w:cs="FrankRuehl"/>
          <w:sz w:val="20"/>
          <w:rtl/>
        </w:rPr>
        <w:t>–</w:t>
      </w:r>
      <w:r>
        <w:rPr>
          <w:rStyle w:val="default"/>
          <w:rFonts w:cs="FrankRuehl" w:hint="cs"/>
          <w:sz w:val="20"/>
          <w:rtl/>
        </w:rPr>
        <w:t xml:space="preserve"> 50%;</w:t>
      </w:r>
    </w:p>
    <w:p w14:paraId="7A0F5F74" w14:textId="77777777" w:rsidR="000070FA" w:rsidRDefault="000070FA" w:rsidP="000070FA">
      <w:pPr>
        <w:pStyle w:val="P00"/>
        <w:spacing w:before="72"/>
        <w:ind w:left="624" w:right="1134"/>
        <w:rPr>
          <w:rStyle w:val="default"/>
          <w:rFonts w:cs="FrankRuehl"/>
          <w:sz w:val="20"/>
          <w:rtl/>
        </w:rPr>
      </w:pPr>
      <w:r>
        <w:rPr>
          <w:rStyle w:val="default"/>
          <w:rFonts w:cs="FrankRuehl" w:hint="cs"/>
          <w:sz w:val="20"/>
          <w:rtl/>
        </w:rPr>
        <w:t>(ה)</w:t>
      </w:r>
      <w:r>
        <w:rPr>
          <w:rStyle w:val="default"/>
          <w:rFonts w:cs="FrankRuehl"/>
          <w:sz w:val="20"/>
          <w:rtl/>
        </w:rPr>
        <w:tab/>
      </w:r>
      <w:r>
        <w:rPr>
          <w:rStyle w:val="default"/>
          <w:rFonts w:cs="FrankRuehl" w:hint="cs"/>
          <w:sz w:val="20"/>
          <w:rtl/>
        </w:rPr>
        <w:t xml:space="preserve">המפר לא ערך את כל הבדיקות הנדרשות לגבי קבוצה מסוימת של חשבונות המנוהלים אצלו, או שלא סיווג חשבונות כנדרש או שלא העביר למנהל מידע כנדרש לגבי חשבונות כאמור, אך הוכח להנחת דעתו של המנהל כי ההפרה נגרמה בשל ליקוי טכני </w:t>
      </w:r>
      <w:r>
        <w:rPr>
          <w:rStyle w:val="default"/>
          <w:rFonts w:cs="FrankRuehl"/>
          <w:sz w:val="20"/>
          <w:rtl/>
        </w:rPr>
        <w:t>–</w:t>
      </w:r>
      <w:r>
        <w:rPr>
          <w:rStyle w:val="default"/>
          <w:rFonts w:cs="FrankRuehl" w:hint="cs"/>
          <w:sz w:val="20"/>
          <w:rtl/>
        </w:rPr>
        <w:t xml:space="preserve"> 50%.</w:t>
      </w:r>
    </w:p>
    <w:p w14:paraId="3ACDDCE0" w14:textId="77777777" w:rsidR="00E97A38" w:rsidRDefault="00E97A38" w:rsidP="00A77068">
      <w:pPr>
        <w:pStyle w:val="P00"/>
        <w:spacing w:before="72"/>
        <w:ind w:left="0" w:right="1134"/>
        <w:rPr>
          <w:rStyle w:val="default"/>
          <w:rFonts w:cs="FrankRuehl"/>
          <w:sz w:val="20"/>
          <w:rtl/>
        </w:rPr>
      </w:pPr>
      <w:bookmarkStart w:id="1" w:name="Seif2"/>
      <w:bookmarkEnd w:id="1"/>
      <w:r w:rsidRPr="00A77068">
        <w:rPr>
          <w:rFonts w:cs="Miriam"/>
          <w:lang w:val="he-IL"/>
        </w:rPr>
        <w:pict w14:anchorId="0EDA2F2E">
          <v:rect id="_x0000_s1152" style="position:absolute;left:0;text-align:left;margin-left:468pt;margin-top:8.05pt;width:70.55pt;height:16.1pt;z-index:251657728" filled="f" stroked="f" strokecolor="lime" strokeweight=".25pt">
            <v:textbox style="mso-next-textbox:#_x0000_s1152" inset="1mm,0,1mm,0">
              <w:txbxContent>
                <w:p w14:paraId="7B144620" w14:textId="77777777" w:rsidR="003738AD" w:rsidRDefault="003738AD">
                  <w:pPr>
                    <w:spacing w:line="160" w:lineRule="exact"/>
                    <w:rPr>
                      <w:rFonts w:cs="Miriam" w:hint="cs"/>
                      <w:noProof/>
                      <w:sz w:val="18"/>
                      <w:szCs w:val="18"/>
                      <w:rtl/>
                    </w:rPr>
                  </w:pPr>
                  <w:r>
                    <w:rPr>
                      <w:rFonts w:cs="Miriam" w:hint="cs"/>
                      <w:sz w:val="18"/>
                      <w:szCs w:val="18"/>
                      <w:rtl/>
                    </w:rPr>
                    <w:t>הפחתה בשל כמה נסיבות</w:t>
                  </w:r>
                </w:p>
              </w:txbxContent>
            </v:textbox>
            <w10:anchorlock/>
          </v:rect>
        </w:pict>
      </w:r>
      <w:r w:rsidRPr="00A77068">
        <w:rPr>
          <w:rStyle w:val="big-number"/>
          <w:rFonts w:cs="Miriam" w:hint="cs"/>
          <w:sz w:val="20"/>
          <w:rtl/>
        </w:rPr>
        <w:t>2</w:t>
      </w:r>
      <w:r w:rsidRPr="00A77068">
        <w:rPr>
          <w:rStyle w:val="default"/>
          <w:rFonts w:cs="FrankRuehl" w:hint="cs"/>
          <w:sz w:val="20"/>
          <w:rtl/>
        </w:rPr>
        <w:t>.</w:t>
      </w:r>
      <w:r w:rsidRPr="00A77068">
        <w:rPr>
          <w:rStyle w:val="default"/>
          <w:rFonts w:cs="FrankRuehl"/>
          <w:sz w:val="20"/>
          <w:rtl/>
        </w:rPr>
        <w:tab/>
      </w:r>
      <w:r w:rsidR="003738AD">
        <w:rPr>
          <w:rStyle w:val="default"/>
          <w:rFonts w:cs="FrankRuehl" w:hint="cs"/>
          <w:sz w:val="20"/>
          <w:rtl/>
        </w:rPr>
        <w:t>התקיימו לגבי מפר כמה נסיבות כאמור בתקנה 1, רשאי המנהל להפחית למפר מסכום העיצום הכספי את השיעורים המנויים לצד אותן נסיבות במצטבר, ובלבד ששיעור ההפחתה לא יעלה על 85% מסכום העיצום הכספי הקבוע בשל אותה הפרה</w:t>
      </w:r>
      <w:r w:rsidRPr="00A77068">
        <w:rPr>
          <w:rStyle w:val="default"/>
          <w:rFonts w:cs="FrankRuehl" w:hint="cs"/>
          <w:sz w:val="20"/>
          <w:rtl/>
        </w:rPr>
        <w:t>.</w:t>
      </w:r>
    </w:p>
    <w:p w14:paraId="069F6168" w14:textId="77777777" w:rsidR="00E97A38" w:rsidRDefault="00E97A38" w:rsidP="00A77068">
      <w:pPr>
        <w:pStyle w:val="P00"/>
        <w:spacing w:before="72"/>
        <w:ind w:left="0" w:right="1134"/>
        <w:rPr>
          <w:rStyle w:val="default"/>
          <w:rFonts w:cs="FrankRuehl"/>
          <w:sz w:val="20"/>
          <w:rtl/>
        </w:rPr>
      </w:pPr>
      <w:bookmarkStart w:id="2" w:name="Seif3"/>
      <w:bookmarkEnd w:id="2"/>
      <w:r w:rsidRPr="00A77068">
        <w:rPr>
          <w:rFonts w:cs="Miriam"/>
          <w:lang w:val="he-IL"/>
        </w:rPr>
        <w:pict w14:anchorId="6350AE55">
          <v:rect id="_x0000_s1174" style="position:absolute;left:0;text-align:left;margin-left:462.6pt;margin-top:8.05pt;width:75.95pt;height:34.7pt;z-index:251658752" filled="f" stroked="f" strokecolor="lime" strokeweight=".25pt">
            <v:textbox style="mso-next-textbox:#_x0000_s1174" inset="1mm,0,1mm,0">
              <w:txbxContent>
                <w:p w14:paraId="65B815DE" w14:textId="77777777" w:rsidR="003738AD" w:rsidRDefault="003738AD">
                  <w:pPr>
                    <w:spacing w:line="160" w:lineRule="exact"/>
                    <w:rPr>
                      <w:rFonts w:cs="Miriam" w:hint="cs"/>
                      <w:noProof/>
                      <w:sz w:val="18"/>
                      <w:szCs w:val="18"/>
                      <w:rtl/>
                    </w:rPr>
                  </w:pPr>
                  <w:r>
                    <w:rPr>
                      <w:rFonts w:cs="Miriam" w:hint="cs"/>
                      <w:sz w:val="18"/>
                      <w:szCs w:val="18"/>
                      <w:rtl/>
                    </w:rPr>
                    <w:t>הפחתת העיצום הכספי למוסד פיננסי שאין לו חשבונות בני דיווח</w:t>
                  </w:r>
                </w:p>
              </w:txbxContent>
            </v:textbox>
            <w10:anchorlock/>
          </v:rect>
        </w:pict>
      </w:r>
      <w:r w:rsidRPr="00A77068">
        <w:rPr>
          <w:rStyle w:val="big-number"/>
          <w:rFonts w:cs="Miriam" w:hint="cs"/>
          <w:sz w:val="20"/>
          <w:rtl/>
        </w:rPr>
        <w:t>3</w:t>
      </w:r>
      <w:r w:rsidRPr="00074241">
        <w:rPr>
          <w:rStyle w:val="default"/>
          <w:rFonts w:cs="FrankRuehl"/>
          <w:sz w:val="20"/>
          <w:rtl/>
        </w:rPr>
        <w:t>.</w:t>
      </w:r>
      <w:r w:rsidRPr="00074241">
        <w:rPr>
          <w:rStyle w:val="default"/>
          <w:rFonts w:cs="FrankRuehl"/>
          <w:sz w:val="20"/>
          <w:rtl/>
        </w:rPr>
        <w:tab/>
      </w:r>
      <w:r w:rsidR="003738AD">
        <w:rPr>
          <w:rStyle w:val="default"/>
          <w:rFonts w:cs="FrankRuehl" w:hint="cs"/>
          <w:sz w:val="20"/>
          <w:rtl/>
        </w:rPr>
        <w:t xml:space="preserve">על אף הוראות תקנה 2, לעניין הפרת הוראת תקנה 6(ו) לתקנות מס הכנסה (יישום הסכם פטקא), התשע"ו-2016, יכול שיעור ההפחתה המצטבר לעלות על 85% מסכום העיצום הכספי הקבוע בשל הפרת דיווח על חשבונות שאינם </w:t>
      </w:r>
      <w:r w:rsidR="00F877D1">
        <w:rPr>
          <w:rStyle w:val="default"/>
          <w:rFonts w:cs="FrankRuehl" w:hint="cs"/>
          <w:sz w:val="20"/>
          <w:rtl/>
        </w:rPr>
        <w:t>בני דיווח ובלבד שסכום העיצום הכספי לאחר ההפחתה כאמור לא יפחת מ-500 שקלים חדשים.</w:t>
      </w:r>
    </w:p>
    <w:p w14:paraId="2B689911" w14:textId="77777777" w:rsidR="006E19C1" w:rsidRPr="005D4D3A" w:rsidRDefault="006E19C1">
      <w:pPr>
        <w:pStyle w:val="P00"/>
        <w:spacing w:before="72"/>
        <w:ind w:left="0" w:right="1134"/>
        <w:rPr>
          <w:rStyle w:val="default"/>
          <w:rFonts w:cs="FrankRuehl" w:hint="cs"/>
          <w:sz w:val="20"/>
          <w:rtl/>
        </w:rPr>
      </w:pPr>
    </w:p>
    <w:p w14:paraId="66C4E330" w14:textId="77777777" w:rsidR="00E97A38" w:rsidRPr="005D4D3A" w:rsidRDefault="00E97A38">
      <w:pPr>
        <w:pStyle w:val="P00"/>
        <w:spacing w:before="72"/>
        <w:ind w:left="0" w:right="1134"/>
        <w:rPr>
          <w:rStyle w:val="default"/>
          <w:rFonts w:cs="FrankRuehl" w:hint="cs"/>
          <w:sz w:val="20"/>
          <w:rtl/>
        </w:rPr>
      </w:pPr>
    </w:p>
    <w:p w14:paraId="2A4C8341" w14:textId="77777777" w:rsidR="00E97A38" w:rsidRDefault="00F877D1" w:rsidP="00313F2E">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כ"א בשבט התשע"ח (6 בפברואר 2018</w:t>
      </w:r>
      <w:r w:rsidR="00E97A38">
        <w:rPr>
          <w:rFonts w:cs="FrankRuehl" w:hint="cs"/>
          <w:sz w:val="26"/>
          <w:szCs w:val="26"/>
          <w:rtl/>
        </w:rPr>
        <w:t>)</w:t>
      </w:r>
      <w:r w:rsidR="00E97A38">
        <w:rPr>
          <w:rFonts w:cs="FrankRuehl" w:hint="cs"/>
          <w:sz w:val="26"/>
          <w:szCs w:val="26"/>
          <w:rtl/>
        </w:rPr>
        <w:tab/>
      </w:r>
      <w:r w:rsidR="00313F2E">
        <w:rPr>
          <w:rFonts w:cs="FrankRuehl" w:hint="cs"/>
          <w:sz w:val="26"/>
          <w:szCs w:val="26"/>
          <w:rtl/>
        </w:rPr>
        <w:t>משה כחלון</w:t>
      </w:r>
    </w:p>
    <w:p w14:paraId="54540DC8" w14:textId="77777777" w:rsidR="00E97A38" w:rsidRDefault="00E97A38" w:rsidP="006E19C1">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שר האוצר</w:t>
      </w:r>
    </w:p>
    <w:p w14:paraId="37A1A233" w14:textId="77777777" w:rsidR="00D17608" w:rsidRDefault="00D17608" w:rsidP="005D4D3A">
      <w:pPr>
        <w:pStyle w:val="P00"/>
        <w:spacing w:before="72"/>
        <w:ind w:left="0" w:right="1134"/>
        <w:rPr>
          <w:rStyle w:val="default"/>
          <w:rFonts w:cs="FrankRuehl" w:hint="cs"/>
          <w:sz w:val="20"/>
          <w:rtl/>
        </w:rPr>
      </w:pPr>
    </w:p>
    <w:p w14:paraId="4ED8519F" w14:textId="77777777" w:rsidR="00960DF1" w:rsidRDefault="00960DF1" w:rsidP="005D4D3A">
      <w:pPr>
        <w:pStyle w:val="P00"/>
        <w:spacing w:before="72"/>
        <w:ind w:left="0" w:right="1134"/>
        <w:rPr>
          <w:rStyle w:val="default"/>
          <w:rFonts w:cs="FrankRuehl"/>
          <w:sz w:val="20"/>
          <w:rtl/>
        </w:rPr>
      </w:pPr>
    </w:p>
    <w:p w14:paraId="5BC02B75" w14:textId="77777777" w:rsidR="00906304" w:rsidRDefault="00906304" w:rsidP="005D4D3A">
      <w:pPr>
        <w:pStyle w:val="P00"/>
        <w:spacing w:before="72"/>
        <w:ind w:left="0" w:right="1134"/>
        <w:rPr>
          <w:rStyle w:val="default"/>
          <w:rFonts w:cs="FrankRuehl"/>
          <w:sz w:val="20"/>
          <w:rtl/>
        </w:rPr>
      </w:pPr>
    </w:p>
    <w:p w14:paraId="76501A84" w14:textId="77777777" w:rsidR="00906304" w:rsidRDefault="00906304" w:rsidP="005D4D3A">
      <w:pPr>
        <w:pStyle w:val="P00"/>
        <w:spacing w:before="72"/>
        <w:ind w:left="0" w:right="1134"/>
        <w:rPr>
          <w:rStyle w:val="default"/>
          <w:rFonts w:cs="FrankRuehl"/>
          <w:sz w:val="20"/>
          <w:rtl/>
        </w:rPr>
      </w:pPr>
    </w:p>
    <w:p w14:paraId="7A16332F" w14:textId="77777777" w:rsidR="00906304" w:rsidRDefault="00906304" w:rsidP="00906304">
      <w:pPr>
        <w:pStyle w:val="P00"/>
        <w:spacing w:before="72"/>
        <w:ind w:left="0" w:right="1134"/>
        <w:jc w:val="center"/>
        <w:rPr>
          <w:rStyle w:val="default"/>
          <w:rFonts w:cs="David"/>
          <w:color w:val="0000FF"/>
          <w:sz w:val="20"/>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40B68E61" w14:textId="77777777" w:rsidR="00960DF1" w:rsidRPr="00906304" w:rsidRDefault="00960DF1" w:rsidP="00906304">
      <w:pPr>
        <w:pStyle w:val="P00"/>
        <w:spacing w:before="72"/>
        <w:ind w:left="0" w:right="1134"/>
        <w:jc w:val="center"/>
        <w:rPr>
          <w:rStyle w:val="default"/>
          <w:rFonts w:cs="David"/>
          <w:color w:val="0000FF"/>
          <w:sz w:val="20"/>
          <w:szCs w:val="24"/>
          <w:u w:val="single"/>
          <w:rtl/>
        </w:rPr>
      </w:pPr>
    </w:p>
    <w:sectPr w:rsidR="00960DF1" w:rsidRPr="00906304">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8AA82" w14:textId="77777777" w:rsidR="004B0576" w:rsidRDefault="004B0576">
      <w:r>
        <w:separator/>
      </w:r>
    </w:p>
  </w:endnote>
  <w:endnote w:type="continuationSeparator" w:id="0">
    <w:p w14:paraId="7CF4672F" w14:textId="77777777" w:rsidR="004B0576" w:rsidRDefault="004B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B40ED" w14:textId="77777777" w:rsidR="003738AD" w:rsidRDefault="003738A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9A683CA" w14:textId="77777777" w:rsidR="003738AD" w:rsidRDefault="003738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41A9EFE" w14:textId="77777777" w:rsidR="003738AD" w:rsidRDefault="003738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Z:\000-law\yael\2016\2016-08-08\hak160807\tav\501_443.doc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7A86" w14:textId="77777777" w:rsidR="003738AD" w:rsidRDefault="003738A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06304">
      <w:rPr>
        <w:rFonts w:hAnsi="FrankRuehl" w:cs="FrankRuehl"/>
        <w:noProof/>
        <w:sz w:val="24"/>
        <w:szCs w:val="24"/>
        <w:rtl/>
      </w:rPr>
      <w:t>2</w:t>
    </w:r>
    <w:r>
      <w:rPr>
        <w:rFonts w:hAnsi="FrankRuehl" w:cs="FrankRuehl"/>
        <w:sz w:val="24"/>
        <w:szCs w:val="24"/>
        <w:rtl/>
      </w:rPr>
      <w:fldChar w:fldCharType="end"/>
    </w:r>
  </w:p>
  <w:p w14:paraId="57A133DB" w14:textId="77777777" w:rsidR="003738AD" w:rsidRDefault="003738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4F35D8" w14:textId="77777777" w:rsidR="003738AD" w:rsidRDefault="003738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Z:\000-law\yael\2016\2016-08-08\hak160807\tav\501_443.doc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CDCAE" w14:textId="77777777" w:rsidR="004B0576" w:rsidRDefault="004B0576" w:rsidP="00392946">
      <w:pPr>
        <w:spacing w:before="60"/>
        <w:ind w:right="1134"/>
      </w:pPr>
      <w:r>
        <w:separator/>
      </w:r>
    </w:p>
  </w:footnote>
  <w:footnote w:type="continuationSeparator" w:id="0">
    <w:p w14:paraId="2F933C0E" w14:textId="77777777" w:rsidR="004B0576" w:rsidRDefault="004B0576">
      <w:r>
        <w:continuationSeparator/>
      </w:r>
    </w:p>
  </w:footnote>
  <w:footnote w:id="1">
    <w:p w14:paraId="76E150EB" w14:textId="77777777" w:rsidR="00B83430" w:rsidRDefault="003738AD" w:rsidP="00B834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B83430">
          <w:rPr>
            <w:rStyle w:val="Hyperlink"/>
            <w:rFonts w:cs="FrankRuehl" w:hint="cs"/>
            <w:rtl/>
          </w:rPr>
          <w:t>ק"ת תשע"ח מס' 7952</w:t>
        </w:r>
      </w:hyperlink>
      <w:r>
        <w:rPr>
          <w:rFonts w:cs="FrankRuehl" w:hint="cs"/>
          <w:rtl/>
        </w:rPr>
        <w:t xml:space="preserve"> מיום 14.2.2018 עמ' 1002.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C611F" w14:textId="77777777" w:rsidR="003738AD" w:rsidRDefault="003738A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176BBBB" w14:textId="77777777" w:rsidR="003738AD" w:rsidRDefault="003738A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30CA3C4" w14:textId="77777777" w:rsidR="003738AD" w:rsidRDefault="003738A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3A719" w14:textId="77777777" w:rsidR="003738AD" w:rsidRDefault="003738AD" w:rsidP="006E19C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 הכנסה (הפחתה של סכום העיצום הכספי בשל אי-זיהוי או דיווח לצורך יישום הסכם פטקא), תשע"ח-2018</w:t>
    </w:r>
  </w:p>
  <w:p w14:paraId="070E2115" w14:textId="77777777" w:rsidR="003738AD" w:rsidRDefault="003738A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17E28B" w14:textId="77777777" w:rsidR="003738AD" w:rsidRDefault="003738A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91620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77A4"/>
    <w:rsid w:val="000070FA"/>
    <w:rsid w:val="000120B5"/>
    <w:rsid w:val="00012C5F"/>
    <w:rsid w:val="000205C3"/>
    <w:rsid w:val="00021C4C"/>
    <w:rsid w:val="00052EDB"/>
    <w:rsid w:val="000536B1"/>
    <w:rsid w:val="000576A1"/>
    <w:rsid w:val="00074241"/>
    <w:rsid w:val="00074F8B"/>
    <w:rsid w:val="00084E73"/>
    <w:rsid w:val="0008513C"/>
    <w:rsid w:val="00085EDD"/>
    <w:rsid w:val="00095A55"/>
    <w:rsid w:val="000A4663"/>
    <w:rsid w:val="000B05DC"/>
    <w:rsid w:val="000C43F7"/>
    <w:rsid w:val="000E12AC"/>
    <w:rsid w:val="000F35D1"/>
    <w:rsid w:val="00126E03"/>
    <w:rsid w:val="00146455"/>
    <w:rsid w:val="001640E8"/>
    <w:rsid w:val="001715CD"/>
    <w:rsid w:val="00177B3F"/>
    <w:rsid w:val="00180599"/>
    <w:rsid w:val="00182116"/>
    <w:rsid w:val="00186979"/>
    <w:rsid w:val="001A0038"/>
    <w:rsid w:val="001A60F7"/>
    <w:rsid w:val="001B1071"/>
    <w:rsid w:val="001D5A91"/>
    <w:rsid w:val="001D79F5"/>
    <w:rsid w:val="001F5840"/>
    <w:rsid w:val="001F5FBF"/>
    <w:rsid w:val="001F7315"/>
    <w:rsid w:val="00203446"/>
    <w:rsid w:val="0020494F"/>
    <w:rsid w:val="00213CE5"/>
    <w:rsid w:val="00232F7B"/>
    <w:rsid w:val="00252B87"/>
    <w:rsid w:val="00257E10"/>
    <w:rsid w:val="00264925"/>
    <w:rsid w:val="00293289"/>
    <w:rsid w:val="00297C8F"/>
    <w:rsid w:val="002B18F7"/>
    <w:rsid w:val="002C17F9"/>
    <w:rsid w:val="00313F2E"/>
    <w:rsid w:val="00326FE7"/>
    <w:rsid w:val="003344B9"/>
    <w:rsid w:val="00335FC2"/>
    <w:rsid w:val="00337C6F"/>
    <w:rsid w:val="003401A8"/>
    <w:rsid w:val="00340C01"/>
    <w:rsid w:val="003503CD"/>
    <w:rsid w:val="00351952"/>
    <w:rsid w:val="00352149"/>
    <w:rsid w:val="00356B0B"/>
    <w:rsid w:val="00371967"/>
    <w:rsid w:val="00371F87"/>
    <w:rsid w:val="003738AD"/>
    <w:rsid w:val="00380033"/>
    <w:rsid w:val="00382B01"/>
    <w:rsid w:val="0039202B"/>
    <w:rsid w:val="00392946"/>
    <w:rsid w:val="003C5ED0"/>
    <w:rsid w:val="003D465E"/>
    <w:rsid w:val="003D5FBB"/>
    <w:rsid w:val="003D6928"/>
    <w:rsid w:val="003F0F64"/>
    <w:rsid w:val="003F4435"/>
    <w:rsid w:val="00431897"/>
    <w:rsid w:val="00433FEC"/>
    <w:rsid w:val="00441D7C"/>
    <w:rsid w:val="004553E9"/>
    <w:rsid w:val="00470A86"/>
    <w:rsid w:val="004A2E74"/>
    <w:rsid w:val="004B0576"/>
    <w:rsid w:val="004B70FD"/>
    <w:rsid w:val="004F50AE"/>
    <w:rsid w:val="00515E3B"/>
    <w:rsid w:val="00551381"/>
    <w:rsid w:val="0055298B"/>
    <w:rsid w:val="0055341A"/>
    <w:rsid w:val="00556201"/>
    <w:rsid w:val="00561F9E"/>
    <w:rsid w:val="005748E9"/>
    <w:rsid w:val="0058023D"/>
    <w:rsid w:val="00590D84"/>
    <w:rsid w:val="00593759"/>
    <w:rsid w:val="005B0756"/>
    <w:rsid w:val="005C50DC"/>
    <w:rsid w:val="005D4D3A"/>
    <w:rsid w:val="005D7855"/>
    <w:rsid w:val="005E7D07"/>
    <w:rsid w:val="00604E91"/>
    <w:rsid w:val="006336C4"/>
    <w:rsid w:val="00637F7B"/>
    <w:rsid w:val="00651C08"/>
    <w:rsid w:val="00663105"/>
    <w:rsid w:val="0066731B"/>
    <w:rsid w:val="006712B7"/>
    <w:rsid w:val="00674FB1"/>
    <w:rsid w:val="00687660"/>
    <w:rsid w:val="006A3DC5"/>
    <w:rsid w:val="006A5233"/>
    <w:rsid w:val="006A67A9"/>
    <w:rsid w:val="006A702B"/>
    <w:rsid w:val="006E1143"/>
    <w:rsid w:val="006E19C1"/>
    <w:rsid w:val="006E7362"/>
    <w:rsid w:val="006E77A4"/>
    <w:rsid w:val="00711BC4"/>
    <w:rsid w:val="00731C30"/>
    <w:rsid w:val="007706F9"/>
    <w:rsid w:val="00784FB4"/>
    <w:rsid w:val="00785A16"/>
    <w:rsid w:val="007B0E0C"/>
    <w:rsid w:val="007B46EB"/>
    <w:rsid w:val="007C2E5C"/>
    <w:rsid w:val="007D681A"/>
    <w:rsid w:val="007E5FC1"/>
    <w:rsid w:val="008160CF"/>
    <w:rsid w:val="00820C74"/>
    <w:rsid w:val="00825265"/>
    <w:rsid w:val="00826368"/>
    <w:rsid w:val="00836A85"/>
    <w:rsid w:val="00844C33"/>
    <w:rsid w:val="0085353D"/>
    <w:rsid w:val="00853A4C"/>
    <w:rsid w:val="00871671"/>
    <w:rsid w:val="008728A4"/>
    <w:rsid w:val="008771BD"/>
    <w:rsid w:val="0089629F"/>
    <w:rsid w:val="008A3EAF"/>
    <w:rsid w:val="008B1705"/>
    <w:rsid w:val="008D3753"/>
    <w:rsid w:val="008D3EC3"/>
    <w:rsid w:val="008E20BF"/>
    <w:rsid w:val="008F0385"/>
    <w:rsid w:val="00906304"/>
    <w:rsid w:val="00907A6F"/>
    <w:rsid w:val="0094124D"/>
    <w:rsid w:val="00960DF1"/>
    <w:rsid w:val="00962447"/>
    <w:rsid w:val="009652E8"/>
    <w:rsid w:val="00965A7E"/>
    <w:rsid w:val="00965D7F"/>
    <w:rsid w:val="00974C94"/>
    <w:rsid w:val="00984164"/>
    <w:rsid w:val="00984A26"/>
    <w:rsid w:val="009A6D7A"/>
    <w:rsid w:val="009A7BC6"/>
    <w:rsid w:val="009D5BD2"/>
    <w:rsid w:val="009F0091"/>
    <w:rsid w:val="009F5687"/>
    <w:rsid w:val="00A020A2"/>
    <w:rsid w:val="00A072AA"/>
    <w:rsid w:val="00A15D3D"/>
    <w:rsid w:val="00A211F9"/>
    <w:rsid w:val="00A3185C"/>
    <w:rsid w:val="00A32F85"/>
    <w:rsid w:val="00A702CE"/>
    <w:rsid w:val="00A77068"/>
    <w:rsid w:val="00A81DD0"/>
    <w:rsid w:val="00A917A4"/>
    <w:rsid w:val="00A93DCF"/>
    <w:rsid w:val="00A95B7E"/>
    <w:rsid w:val="00AA1C79"/>
    <w:rsid w:val="00AA6490"/>
    <w:rsid w:val="00AA67B5"/>
    <w:rsid w:val="00AD61C3"/>
    <w:rsid w:val="00AE60DE"/>
    <w:rsid w:val="00B06AF2"/>
    <w:rsid w:val="00B06DE8"/>
    <w:rsid w:val="00B12EC5"/>
    <w:rsid w:val="00B12F28"/>
    <w:rsid w:val="00B25AA3"/>
    <w:rsid w:val="00B34527"/>
    <w:rsid w:val="00B416AF"/>
    <w:rsid w:val="00B41E3F"/>
    <w:rsid w:val="00B43C3C"/>
    <w:rsid w:val="00B444AA"/>
    <w:rsid w:val="00B63BDA"/>
    <w:rsid w:val="00B83430"/>
    <w:rsid w:val="00B84235"/>
    <w:rsid w:val="00BA03C4"/>
    <w:rsid w:val="00BA2078"/>
    <w:rsid w:val="00BA4124"/>
    <w:rsid w:val="00BB3E08"/>
    <w:rsid w:val="00BB7646"/>
    <w:rsid w:val="00BB7914"/>
    <w:rsid w:val="00BE1DB9"/>
    <w:rsid w:val="00BF05E8"/>
    <w:rsid w:val="00C036CE"/>
    <w:rsid w:val="00C33035"/>
    <w:rsid w:val="00C36812"/>
    <w:rsid w:val="00C44984"/>
    <w:rsid w:val="00C45A89"/>
    <w:rsid w:val="00C60899"/>
    <w:rsid w:val="00C64C4B"/>
    <w:rsid w:val="00C6706B"/>
    <w:rsid w:val="00C74EBC"/>
    <w:rsid w:val="00C813F3"/>
    <w:rsid w:val="00C83527"/>
    <w:rsid w:val="00CB4CF7"/>
    <w:rsid w:val="00CD135B"/>
    <w:rsid w:val="00CE0EF5"/>
    <w:rsid w:val="00D0176C"/>
    <w:rsid w:val="00D1277C"/>
    <w:rsid w:val="00D16484"/>
    <w:rsid w:val="00D17608"/>
    <w:rsid w:val="00D245D0"/>
    <w:rsid w:val="00D433B1"/>
    <w:rsid w:val="00D55CD2"/>
    <w:rsid w:val="00D612A2"/>
    <w:rsid w:val="00D75848"/>
    <w:rsid w:val="00D77147"/>
    <w:rsid w:val="00D8157F"/>
    <w:rsid w:val="00D878F5"/>
    <w:rsid w:val="00D92BD2"/>
    <w:rsid w:val="00DA1BDA"/>
    <w:rsid w:val="00DB3841"/>
    <w:rsid w:val="00DC73EA"/>
    <w:rsid w:val="00DF6D5B"/>
    <w:rsid w:val="00E0672F"/>
    <w:rsid w:val="00E129EF"/>
    <w:rsid w:val="00E167E8"/>
    <w:rsid w:val="00E37F14"/>
    <w:rsid w:val="00E45701"/>
    <w:rsid w:val="00E60E97"/>
    <w:rsid w:val="00E74871"/>
    <w:rsid w:val="00E937AC"/>
    <w:rsid w:val="00E966FD"/>
    <w:rsid w:val="00E97281"/>
    <w:rsid w:val="00E97A38"/>
    <w:rsid w:val="00EA0A60"/>
    <w:rsid w:val="00EB3884"/>
    <w:rsid w:val="00EB5D57"/>
    <w:rsid w:val="00EC2BA2"/>
    <w:rsid w:val="00EF3CA9"/>
    <w:rsid w:val="00EF6326"/>
    <w:rsid w:val="00F12C3A"/>
    <w:rsid w:val="00F22554"/>
    <w:rsid w:val="00F5022E"/>
    <w:rsid w:val="00F61032"/>
    <w:rsid w:val="00F622F5"/>
    <w:rsid w:val="00F65756"/>
    <w:rsid w:val="00F65F82"/>
    <w:rsid w:val="00F877D1"/>
    <w:rsid w:val="00F93CFD"/>
    <w:rsid w:val="00F9446E"/>
    <w:rsid w:val="00FB772B"/>
    <w:rsid w:val="00FC4953"/>
    <w:rsid w:val="00FD5C0A"/>
    <w:rsid w:val="00FD66BA"/>
    <w:rsid w:val="00FE7850"/>
    <w:rsid w:val="00FE794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5BE6EC6A"/>
  <w15:chartTrackingRefBased/>
  <w15:docId w15:val="{CE9464D4-4E30-4F47-9109-1C4F3A72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rsid w:val="006E77A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2303</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8060931</vt:i4>
      </vt:variant>
      <vt:variant>
        <vt:i4>0</vt:i4>
      </vt:variant>
      <vt:variant>
        <vt:i4>0</vt:i4>
      </vt:variant>
      <vt:variant>
        <vt:i4>5</vt:i4>
      </vt:variant>
      <vt:variant>
        <vt:lpwstr>http://www.nevo.co.il/Law_word/law06/tak-7952.pdf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מס הכנסה (הפחתה של סכום העיצום הכספי בשל אי-זיהוי או דיווח לצורך יישום הסכם פטקא), תשע"ח-2018</vt:lpwstr>
  </property>
  <property fmtid="{D5CDD505-2E9C-101B-9397-08002B2CF9AE}" pid="4" name="LAWNUMBER">
    <vt:lpwstr>0776</vt:lpwstr>
  </property>
  <property fmtid="{D5CDD505-2E9C-101B-9397-08002B2CF9AE}" pid="5" name="TYPE">
    <vt:lpwstr>01</vt:lpwstr>
  </property>
  <property fmtid="{D5CDD505-2E9C-101B-9397-08002B2CF9AE}" pid="6" name="CHNAME">
    <vt:lpwstr>מס הכנסה</vt:lpwstr>
  </property>
  <property fmtid="{D5CDD505-2E9C-101B-9397-08002B2CF9AE}" pid="7" name="NOSE11">
    <vt:lpwstr>מסים</vt:lpwstr>
  </property>
  <property fmtid="{D5CDD505-2E9C-101B-9397-08002B2CF9AE}" pid="8" name="NOSE21">
    <vt:lpwstr>מס הכנסה</vt:lpwstr>
  </property>
  <property fmtid="{D5CDD505-2E9C-101B-9397-08002B2CF9AE}" pid="9" name="NOSE31">
    <vt:lpwstr/>
  </property>
  <property fmtid="{D5CDD505-2E9C-101B-9397-08002B2CF9AE}" pid="10" name="NOSE41">
    <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_NAME1">
    <vt:lpwstr>פקודת מס הכנסה</vt:lpwstr>
  </property>
  <property fmtid="{D5CDD505-2E9C-101B-9397-08002B2CF9AE}" pid="63" name="MEKOR_SAIF1">
    <vt:lpwstr>195טוX</vt:lpwstr>
  </property>
  <property fmtid="{D5CDD505-2E9C-101B-9397-08002B2CF9AE}" pid="64" name="LINKK1">
    <vt:lpwstr>http://www.nevo.co.il/Law_word/law06/tak-7952.pdf;‎רשומות - תקנות כלליות#פורסמו ק"ת ‏תשע"ח מס' 7952 #מיום 14.2.2018 עמ' 1002‏</vt:lpwstr>
  </property>
</Properties>
</file>