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6BEF" w14:textId="77777777" w:rsidR="00D26A47" w:rsidRDefault="00D26A47" w:rsidP="00E44C45">
      <w:pPr>
        <w:pStyle w:val="big-header"/>
        <w:ind w:left="0" w:right="1134"/>
        <w:rPr>
          <w:rFonts w:cs="FrankRuehl"/>
          <w:sz w:val="32"/>
        </w:rPr>
      </w:pPr>
      <w:r>
        <w:rPr>
          <w:rFonts w:cs="FrankRuehl" w:hint="cs"/>
          <w:sz w:val="32"/>
          <w:rtl/>
        </w:rPr>
        <w:t>תקנות מס הכנסה (הקלה ביחסי גודל בסוגי מיזוגים מסוימים), תשס"ג-2003</w:t>
      </w:r>
    </w:p>
    <w:p w14:paraId="1ECD9940" w14:textId="77777777" w:rsidR="0081215F" w:rsidRPr="0081215F" w:rsidRDefault="0081215F" w:rsidP="0081215F">
      <w:pPr>
        <w:spacing w:line="320" w:lineRule="auto"/>
        <w:rPr>
          <w:rStyle w:val="default"/>
          <w:rFonts w:cs="FrankRuehl"/>
          <w:sz w:val="22"/>
          <w:rtl/>
        </w:rPr>
      </w:pPr>
    </w:p>
    <w:p w14:paraId="507CF587" w14:textId="77777777" w:rsidR="00DA5625" w:rsidRDefault="00DA5625" w:rsidP="00DA5625">
      <w:pPr>
        <w:spacing w:line="320" w:lineRule="auto"/>
        <w:rPr>
          <w:rStyle w:val="default"/>
          <w:sz w:val="22"/>
          <w:szCs w:val="22"/>
          <w:rtl/>
        </w:rPr>
      </w:pPr>
    </w:p>
    <w:p w14:paraId="64E42E9B" w14:textId="77777777" w:rsidR="00DA5625" w:rsidRDefault="00DA5625" w:rsidP="00DA5625">
      <w:pPr>
        <w:spacing w:line="320" w:lineRule="auto"/>
        <w:rPr>
          <w:rStyle w:val="default"/>
          <w:rFonts w:cs="FrankRuehl"/>
          <w:sz w:val="22"/>
          <w:rtl/>
        </w:rPr>
      </w:pPr>
      <w:r w:rsidRPr="00DA5625">
        <w:rPr>
          <w:rStyle w:val="default"/>
          <w:rFonts w:cs="Miriam"/>
          <w:sz w:val="22"/>
          <w:szCs w:val="22"/>
          <w:rtl/>
        </w:rPr>
        <w:t>מסים</w:t>
      </w:r>
      <w:r w:rsidRPr="00DA5625">
        <w:rPr>
          <w:rStyle w:val="default"/>
          <w:rFonts w:cs="FrankRuehl"/>
          <w:sz w:val="22"/>
          <w:rtl/>
        </w:rPr>
        <w:t xml:space="preserve"> – מס הכנסה – הנחות והקלות</w:t>
      </w:r>
    </w:p>
    <w:p w14:paraId="20DCE619" w14:textId="77777777" w:rsidR="00F31BE2" w:rsidRPr="00DA5625" w:rsidRDefault="00DA5625" w:rsidP="00DA5625">
      <w:pPr>
        <w:spacing w:line="320" w:lineRule="auto"/>
        <w:rPr>
          <w:rStyle w:val="default"/>
          <w:rFonts w:cs="Miriam"/>
          <w:sz w:val="22"/>
          <w:szCs w:val="22"/>
          <w:rtl/>
        </w:rPr>
      </w:pPr>
      <w:r w:rsidRPr="00DA5625">
        <w:rPr>
          <w:rStyle w:val="default"/>
          <w:rFonts w:cs="Miriam"/>
          <w:sz w:val="22"/>
          <w:szCs w:val="22"/>
          <w:rtl/>
        </w:rPr>
        <w:t>מסים</w:t>
      </w:r>
      <w:r w:rsidRPr="00DA5625">
        <w:rPr>
          <w:rStyle w:val="default"/>
          <w:rFonts w:cs="FrankRuehl"/>
          <w:sz w:val="22"/>
          <w:rtl/>
        </w:rPr>
        <w:t xml:space="preserve"> – מס הכנסה – חברות – מיזוג</w:t>
      </w:r>
    </w:p>
    <w:p w14:paraId="5574153D" w14:textId="77777777" w:rsidR="00E44C45" w:rsidRDefault="00E44C45">
      <w:pPr>
        <w:pStyle w:val="big-header"/>
        <w:ind w:left="0" w:right="1134"/>
        <w:rPr>
          <w:rFonts w:cs="FrankRuehl" w:hint="cs"/>
          <w:sz w:val="32"/>
          <w:rtl/>
        </w:rPr>
      </w:pPr>
      <w:r w:rsidRPr="00E44C45">
        <w:rPr>
          <w:rFonts w:cs="FrankRuehl" w:hint="cs"/>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26A47" w14:paraId="689B9F91" w14:textId="77777777">
        <w:tblPrEx>
          <w:tblCellMar>
            <w:top w:w="0" w:type="dxa"/>
            <w:bottom w:w="0" w:type="dxa"/>
          </w:tblCellMar>
        </w:tblPrEx>
        <w:tc>
          <w:tcPr>
            <w:tcW w:w="850" w:type="dxa"/>
          </w:tcPr>
          <w:p w14:paraId="615F9BED" w14:textId="77777777" w:rsidR="00D26A47" w:rsidRDefault="00D26A47">
            <w:r>
              <w:rPr>
                <w:rtl/>
              </w:rPr>
              <w:fldChar w:fldCharType="begin"/>
            </w:r>
            <w:r>
              <w:rPr>
                <w:rtl/>
              </w:rPr>
              <w:instrText xml:space="preserve"> </w:instrText>
            </w:r>
            <w:r>
              <w:instrText>PAGEREF Seif0</w:instrText>
            </w:r>
            <w:r>
              <w:rPr>
                <w:rtl/>
              </w:rPr>
              <w:instrText xml:space="preserve"> </w:instrText>
            </w:r>
            <w:r>
              <w:rPr>
                <w:rtl/>
              </w:rPr>
              <w:fldChar w:fldCharType="separate"/>
            </w:r>
            <w:r w:rsidR="00E44C45">
              <w:rPr>
                <w:noProof/>
                <w:rtl/>
              </w:rPr>
              <w:t>2</w:t>
            </w:r>
            <w:r>
              <w:rPr>
                <w:rtl/>
              </w:rPr>
              <w:fldChar w:fldCharType="end"/>
            </w:r>
          </w:p>
        </w:tc>
        <w:tc>
          <w:tcPr>
            <w:tcW w:w="567" w:type="dxa"/>
          </w:tcPr>
          <w:p w14:paraId="2BEDB9FA" w14:textId="77777777" w:rsidR="00D26A47" w:rsidRDefault="00D26A47">
            <w:hyperlink w:anchor="Seif0" w:tooltip="הגדרות" w:history="1">
              <w:r>
                <w:rPr>
                  <w:rStyle w:val="Hyperlink"/>
                </w:rPr>
                <w:t>Go</w:t>
              </w:r>
            </w:hyperlink>
          </w:p>
        </w:tc>
        <w:tc>
          <w:tcPr>
            <w:tcW w:w="5669" w:type="dxa"/>
          </w:tcPr>
          <w:p w14:paraId="5A046E5B" w14:textId="77777777" w:rsidR="00D26A47" w:rsidRDefault="00D26A47">
            <w:pPr>
              <w:rPr>
                <w:rtl/>
              </w:rPr>
            </w:pPr>
            <w:r>
              <w:rPr>
                <w:rtl/>
              </w:rPr>
              <w:t>הגדרות</w:t>
            </w:r>
          </w:p>
        </w:tc>
        <w:tc>
          <w:tcPr>
            <w:tcW w:w="1247" w:type="dxa"/>
          </w:tcPr>
          <w:p w14:paraId="770A7E49" w14:textId="77777777" w:rsidR="00D26A47" w:rsidRDefault="00D26A47">
            <w:r>
              <w:rPr>
                <w:rtl/>
              </w:rPr>
              <w:t xml:space="preserve">סעיף 1 </w:t>
            </w:r>
          </w:p>
        </w:tc>
      </w:tr>
      <w:tr w:rsidR="00D26A47" w14:paraId="6444E6EC" w14:textId="77777777">
        <w:tblPrEx>
          <w:tblCellMar>
            <w:top w:w="0" w:type="dxa"/>
            <w:bottom w:w="0" w:type="dxa"/>
          </w:tblCellMar>
        </w:tblPrEx>
        <w:tc>
          <w:tcPr>
            <w:tcW w:w="850" w:type="dxa"/>
          </w:tcPr>
          <w:p w14:paraId="354570FE" w14:textId="77777777" w:rsidR="00D26A47" w:rsidRDefault="00D26A47">
            <w:r>
              <w:rPr>
                <w:rtl/>
              </w:rPr>
              <w:fldChar w:fldCharType="begin"/>
            </w:r>
            <w:r>
              <w:rPr>
                <w:rtl/>
              </w:rPr>
              <w:instrText xml:space="preserve"> </w:instrText>
            </w:r>
            <w:r>
              <w:instrText>PAGEREF Seif1</w:instrText>
            </w:r>
            <w:r>
              <w:rPr>
                <w:rtl/>
              </w:rPr>
              <w:instrText xml:space="preserve"> </w:instrText>
            </w:r>
            <w:r>
              <w:rPr>
                <w:rtl/>
              </w:rPr>
              <w:fldChar w:fldCharType="separate"/>
            </w:r>
            <w:r w:rsidR="00E44C45">
              <w:rPr>
                <w:noProof/>
                <w:rtl/>
              </w:rPr>
              <w:t>2</w:t>
            </w:r>
            <w:r>
              <w:rPr>
                <w:rtl/>
              </w:rPr>
              <w:fldChar w:fldCharType="end"/>
            </w:r>
          </w:p>
        </w:tc>
        <w:tc>
          <w:tcPr>
            <w:tcW w:w="567" w:type="dxa"/>
          </w:tcPr>
          <w:p w14:paraId="440C88A7" w14:textId="77777777" w:rsidR="00D26A47" w:rsidRDefault="00D26A47">
            <w:hyperlink w:anchor="Seif1" w:tooltip="שווי שוק במועד המיזוג" w:history="1">
              <w:r>
                <w:rPr>
                  <w:rStyle w:val="Hyperlink"/>
                </w:rPr>
                <w:t>Go</w:t>
              </w:r>
            </w:hyperlink>
          </w:p>
        </w:tc>
        <w:tc>
          <w:tcPr>
            <w:tcW w:w="5669" w:type="dxa"/>
          </w:tcPr>
          <w:p w14:paraId="2FE35A57" w14:textId="77777777" w:rsidR="00D26A47" w:rsidRDefault="00D26A47">
            <w:pPr>
              <w:rPr>
                <w:rtl/>
              </w:rPr>
            </w:pPr>
            <w:r>
              <w:rPr>
                <w:rtl/>
              </w:rPr>
              <w:t>שווי שוק במועד המיזוג</w:t>
            </w:r>
          </w:p>
        </w:tc>
        <w:tc>
          <w:tcPr>
            <w:tcW w:w="1247" w:type="dxa"/>
          </w:tcPr>
          <w:p w14:paraId="400D961F" w14:textId="77777777" w:rsidR="00D26A47" w:rsidRDefault="00D26A47">
            <w:r>
              <w:rPr>
                <w:rtl/>
              </w:rPr>
              <w:t xml:space="preserve">סעיף 2 </w:t>
            </w:r>
          </w:p>
        </w:tc>
      </w:tr>
      <w:tr w:rsidR="00D26A47" w14:paraId="468801C5" w14:textId="77777777">
        <w:tblPrEx>
          <w:tblCellMar>
            <w:top w:w="0" w:type="dxa"/>
            <w:bottom w:w="0" w:type="dxa"/>
          </w:tblCellMar>
        </w:tblPrEx>
        <w:tc>
          <w:tcPr>
            <w:tcW w:w="850" w:type="dxa"/>
          </w:tcPr>
          <w:p w14:paraId="425BC666" w14:textId="77777777" w:rsidR="00D26A47" w:rsidRDefault="00D26A47">
            <w:r>
              <w:rPr>
                <w:rtl/>
              </w:rPr>
              <w:fldChar w:fldCharType="begin"/>
            </w:r>
            <w:r>
              <w:rPr>
                <w:rtl/>
              </w:rPr>
              <w:instrText xml:space="preserve"> </w:instrText>
            </w:r>
            <w:r>
              <w:instrText>PAGEREF Seif2</w:instrText>
            </w:r>
            <w:r>
              <w:rPr>
                <w:rtl/>
              </w:rPr>
              <w:instrText xml:space="preserve"> </w:instrText>
            </w:r>
            <w:r>
              <w:rPr>
                <w:rtl/>
              </w:rPr>
              <w:fldChar w:fldCharType="separate"/>
            </w:r>
            <w:r w:rsidR="00E44C45">
              <w:rPr>
                <w:noProof/>
                <w:rtl/>
              </w:rPr>
              <w:t>2</w:t>
            </w:r>
            <w:r>
              <w:rPr>
                <w:rtl/>
              </w:rPr>
              <w:fldChar w:fldCharType="end"/>
            </w:r>
          </w:p>
        </w:tc>
        <w:tc>
          <w:tcPr>
            <w:tcW w:w="567" w:type="dxa"/>
          </w:tcPr>
          <w:p w14:paraId="55D708A7" w14:textId="77777777" w:rsidR="00D26A47" w:rsidRDefault="00D26A47">
            <w:hyperlink w:anchor="Seif2" w:tooltip="תחולה" w:history="1">
              <w:r>
                <w:rPr>
                  <w:rStyle w:val="Hyperlink"/>
                </w:rPr>
                <w:t>Go</w:t>
              </w:r>
            </w:hyperlink>
          </w:p>
        </w:tc>
        <w:tc>
          <w:tcPr>
            <w:tcW w:w="5669" w:type="dxa"/>
          </w:tcPr>
          <w:p w14:paraId="3573C117" w14:textId="77777777" w:rsidR="00D26A47" w:rsidRDefault="00D26A47">
            <w:pPr>
              <w:rPr>
                <w:rtl/>
              </w:rPr>
            </w:pPr>
            <w:r>
              <w:rPr>
                <w:rtl/>
              </w:rPr>
              <w:t>תחולה</w:t>
            </w:r>
          </w:p>
        </w:tc>
        <w:tc>
          <w:tcPr>
            <w:tcW w:w="1247" w:type="dxa"/>
          </w:tcPr>
          <w:p w14:paraId="34C361B4" w14:textId="77777777" w:rsidR="00D26A47" w:rsidRDefault="00D26A47">
            <w:r>
              <w:rPr>
                <w:rtl/>
              </w:rPr>
              <w:t xml:space="preserve">סעיף 3 </w:t>
            </w:r>
          </w:p>
        </w:tc>
      </w:tr>
    </w:tbl>
    <w:p w14:paraId="6AB8B210" w14:textId="77777777" w:rsidR="00E44C45" w:rsidRDefault="00E44C45" w:rsidP="00E44C45">
      <w:pPr>
        <w:pStyle w:val="big-header"/>
        <w:ind w:left="0" w:right="1134"/>
        <w:rPr>
          <w:rFonts w:cs="FrankRuehl" w:hint="cs"/>
          <w:sz w:val="32"/>
          <w:rtl/>
        </w:rPr>
      </w:pPr>
    </w:p>
    <w:p w14:paraId="4A94054D" w14:textId="77777777" w:rsidR="00E44C45" w:rsidRDefault="00E44C45" w:rsidP="0081215F">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תקנות מס הכנסה (הקלה ביחסי גודל בסוגי מיזוגים מסוימים), תשס"ג-2003</w:t>
      </w:r>
      <w:r>
        <w:rPr>
          <w:rStyle w:val="default"/>
          <w:sz w:val="22"/>
          <w:szCs w:val="22"/>
          <w:rtl/>
        </w:rPr>
        <w:footnoteReference w:customMarkFollows="1" w:id="1"/>
        <w:t>*</w:t>
      </w:r>
    </w:p>
    <w:p w14:paraId="2B9C2D9F" w14:textId="77777777" w:rsidR="00D26A47" w:rsidRDefault="00D26A47">
      <w:pPr>
        <w:pStyle w:val="P00"/>
        <w:spacing w:before="72"/>
        <w:ind w:left="0" w:right="1134"/>
        <w:rPr>
          <w:rStyle w:val="default"/>
          <w:rFonts w:cs="FrankRuehl"/>
          <w:rtl/>
        </w:rPr>
      </w:pPr>
      <w:r>
        <w:rPr>
          <w:rFonts w:cs="FrankRuehl"/>
          <w:sz w:val="26"/>
          <w:rtl/>
        </w:rPr>
        <w:tab/>
      </w:r>
      <w:r>
        <w:rPr>
          <w:rStyle w:val="default"/>
          <w:rFonts w:cs="FrankRuehl"/>
          <w:rtl/>
        </w:rPr>
        <w:t xml:space="preserve">בתוקף סמכותי לפי </w:t>
      </w:r>
      <w:r>
        <w:rPr>
          <w:rStyle w:val="default"/>
          <w:rFonts w:cs="FrankRuehl" w:hint="cs"/>
          <w:rtl/>
        </w:rPr>
        <w:t xml:space="preserve">סעיפים 103א1(א), 103ג(6)(ג) ו-103ז לפקודת מס הכנסה (להלן </w:t>
      </w:r>
      <w:r>
        <w:rPr>
          <w:rStyle w:val="default"/>
          <w:rFonts w:cs="FrankRuehl"/>
          <w:rtl/>
        </w:rPr>
        <w:t>–</w:t>
      </w:r>
      <w:r>
        <w:rPr>
          <w:rStyle w:val="default"/>
          <w:rFonts w:cs="FrankRuehl" w:hint="cs"/>
          <w:rtl/>
        </w:rPr>
        <w:t xml:space="preserve"> הפקודה)</w:t>
      </w:r>
      <w:r>
        <w:rPr>
          <w:rStyle w:val="default"/>
          <w:rFonts w:cs="FrankRuehl"/>
          <w:rtl/>
        </w:rPr>
        <w:t xml:space="preserve">, ובאישור ועדת הכספים של הכנסת, אני </w:t>
      </w:r>
      <w:r>
        <w:rPr>
          <w:rStyle w:val="default"/>
          <w:rFonts w:cs="FrankRuehl" w:hint="cs"/>
          <w:rtl/>
        </w:rPr>
        <w:t>מתקין תקנות אלה</w:t>
      </w:r>
      <w:r>
        <w:rPr>
          <w:rStyle w:val="default"/>
          <w:rFonts w:cs="FrankRuehl"/>
          <w:rtl/>
        </w:rPr>
        <w:t>:</w:t>
      </w:r>
    </w:p>
    <w:p w14:paraId="218EEDA7" w14:textId="77777777" w:rsidR="00D26A47" w:rsidRDefault="00D26A47">
      <w:pPr>
        <w:pStyle w:val="P00"/>
        <w:spacing w:before="72"/>
        <w:ind w:left="0" w:right="1134"/>
        <w:rPr>
          <w:rStyle w:val="default"/>
          <w:rFonts w:cs="FrankRuehl" w:hint="cs"/>
          <w:rtl/>
        </w:rPr>
      </w:pPr>
      <w:bookmarkStart w:id="0" w:name="Seif0"/>
      <w:bookmarkEnd w:id="0"/>
      <w:r>
        <w:rPr>
          <w:rFonts w:cs="Miriam"/>
          <w:lang w:val="he-IL"/>
        </w:rPr>
        <w:pict w14:anchorId="12EE8CA1">
          <v:rect id="_x0000_s1026" style="position:absolute;left:0;text-align:left;margin-left:464.5pt;margin-top:8.05pt;width:75.05pt;height:10pt;z-index:251656704" o:allowincell="f" filled="f" stroked="f" strokecolor="lime" strokeweight=".25pt">
            <v:textbox inset="0,0,0,0">
              <w:txbxContent>
                <w:p w14:paraId="15779B28" w14:textId="77777777" w:rsidR="00D26A47" w:rsidRDefault="00D26A4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033FDEB0" w14:textId="77777777" w:rsidR="00D26A47" w:rsidRDefault="00D26A47">
      <w:pPr>
        <w:pStyle w:val="P00"/>
        <w:spacing w:before="72"/>
        <w:ind w:left="0" w:right="1134"/>
        <w:rPr>
          <w:rStyle w:val="default"/>
          <w:rFonts w:cs="FrankRuehl" w:hint="cs"/>
          <w:rtl/>
        </w:rPr>
      </w:pPr>
      <w:r>
        <w:rPr>
          <w:rStyle w:val="default"/>
          <w:rFonts w:cs="FrankRuehl" w:hint="cs"/>
          <w:rtl/>
        </w:rPr>
        <w:tab/>
        <w:t xml:space="preserve">"אמצעי שליטה" בחברה </w:t>
      </w:r>
      <w:r>
        <w:rPr>
          <w:rStyle w:val="default"/>
          <w:rFonts w:cs="FrankRuehl"/>
          <w:rtl/>
        </w:rPr>
        <w:t>–</w:t>
      </w:r>
      <w:r>
        <w:rPr>
          <w:rStyle w:val="default"/>
          <w:rFonts w:cs="FrankRuehl" w:hint="cs"/>
          <w:rtl/>
        </w:rPr>
        <w:t xml:space="preserve"> כל אחד מאלה:</w:t>
      </w:r>
    </w:p>
    <w:p w14:paraId="444EB032" w14:textId="77777777" w:rsidR="00D26A47" w:rsidRDefault="00D26A4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הזכות להשתתף ברווחי החברה;</w:t>
      </w:r>
    </w:p>
    <w:p w14:paraId="19CA5917" w14:textId="77777777" w:rsidR="00D26A47" w:rsidRDefault="00D26A4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הזכות לחלק ביתרת נכסי החברה לאחר סילוק חובותיה בעת פירוקה;</w:t>
      </w:r>
    </w:p>
    <w:p w14:paraId="02C8998E" w14:textId="77777777" w:rsidR="00D26A47" w:rsidRDefault="00D26A4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הזכות להשתתף בהצבעה באסיפה הכללית של החברה;</w:t>
      </w:r>
    </w:p>
    <w:p w14:paraId="64B79A06" w14:textId="77777777" w:rsidR="00D26A47" w:rsidRDefault="00D26A4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הזכות למנות דירקטור, מנהל כללי או ממלא תפקיד כאמור אף אם תוארו שונה;</w:t>
      </w:r>
    </w:p>
    <w:p w14:paraId="729CD649" w14:textId="77777777" w:rsidR="00D26A47" w:rsidRDefault="00D26A47">
      <w:pPr>
        <w:pStyle w:val="P00"/>
        <w:spacing w:before="72"/>
        <w:ind w:left="0" w:right="1134"/>
        <w:rPr>
          <w:rStyle w:val="default"/>
          <w:rFonts w:cs="FrankRuehl" w:hint="cs"/>
          <w:rtl/>
        </w:rPr>
      </w:pPr>
      <w:r>
        <w:rPr>
          <w:rStyle w:val="default"/>
          <w:rFonts w:cs="FrankRuehl" w:hint="cs"/>
          <w:rtl/>
        </w:rPr>
        <w:tab/>
        <w:t xml:space="preserve">"חברה עתירת מחקר ופיתוח" </w:t>
      </w:r>
      <w:r>
        <w:rPr>
          <w:rStyle w:val="default"/>
          <w:rFonts w:cs="FrankRuehl"/>
          <w:rtl/>
        </w:rPr>
        <w:t>–</w:t>
      </w:r>
      <w:r>
        <w:rPr>
          <w:rStyle w:val="default"/>
          <w:rFonts w:cs="FrankRuehl" w:hint="cs"/>
          <w:rtl/>
        </w:rPr>
        <w:t xml:space="preserve"> חברה תושבת ישראל העוסקת במחקר או פיתוח, כהגדרתם בסעיף 4 בחוק לעידוד מחקר ופיתוח בתעשיה, התשמ"ד-1984;</w:t>
      </w:r>
    </w:p>
    <w:p w14:paraId="05D593E7" w14:textId="77777777" w:rsidR="00D26A47" w:rsidRDefault="00D26A47">
      <w:pPr>
        <w:pStyle w:val="P00"/>
        <w:spacing w:before="72"/>
        <w:ind w:left="0" w:right="1134"/>
        <w:rPr>
          <w:rStyle w:val="default"/>
          <w:rFonts w:cs="FrankRuehl" w:hint="cs"/>
          <w:rtl/>
        </w:rPr>
      </w:pPr>
      <w:r>
        <w:rPr>
          <w:rStyle w:val="default"/>
          <w:rFonts w:cs="FrankRuehl" w:hint="cs"/>
          <w:rtl/>
        </w:rPr>
        <w:tab/>
        <w:t xml:space="preserve">"חברות אחיות" </w:t>
      </w:r>
      <w:r>
        <w:rPr>
          <w:rStyle w:val="default"/>
          <w:rFonts w:cs="FrankRuehl"/>
          <w:rtl/>
        </w:rPr>
        <w:t>–</w:t>
      </w:r>
      <w:r>
        <w:rPr>
          <w:rStyle w:val="default"/>
          <w:rFonts w:cs="FrankRuehl" w:hint="cs"/>
          <w:rtl/>
        </w:rPr>
        <w:t xml:space="preserve"> שתי חברות או יותר שנתקיימו לגביהן שני אלה:</w:t>
      </w:r>
    </w:p>
    <w:p w14:paraId="6D97AF40" w14:textId="77777777" w:rsidR="00D26A47" w:rsidRDefault="00D26A4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בעלי הזכויות בכל אחת מהן זהים לבעלי הזכויות בכל אחת מהאחרות;</w:t>
      </w:r>
    </w:p>
    <w:p w14:paraId="6F2B1C23" w14:textId="77777777" w:rsidR="00D26A47" w:rsidRDefault="00D26A4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חלקו של כל בעל זכויות בכל אחת מהן זהה לחלקו בכל אחת מהאחרות;</w:t>
      </w:r>
    </w:p>
    <w:p w14:paraId="63E36E83" w14:textId="77777777" w:rsidR="00D26A47" w:rsidRDefault="00D26A47">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כמשמעותו בסעיף 76(ד) לפקודה;</w:t>
      </w:r>
    </w:p>
    <w:p w14:paraId="271384E9" w14:textId="77777777" w:rsidR="00D26A47" w:rsidRDefault="00D26A47">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החזקה באמצעי שליטה בחברה, בשיעור של מחצית או יותר, אלא אם כן שוכנע הנציב כי מתקיימת יכולת לכוון את פעילותה של חברה גם אם שיעור ההחזקה באמצעי שליטה נמוך ממחצית, ובלבד שלא יפחת מ-25%.</w:t>
      </w:r>
    </w:p>
    <w:p w14:paraId="32DEB902" w14:textId="77777777" w:rsidR="00D26A47" w:rsidRDefault="00D26A47">
      <w:pPr>
        <w:pStyle w:val="P00"/>
        <w:spacing w:before="72"/>
        <w:ind w:left="0" w:right="1134"/>
        <w:rPr>
          <w:rStyle w:val="default"/>
          <w:rFonts w:cs="FrankRuehl" w:hint="cs"/>
          <w:rtl/>
        </w:rPr>
      </w:pPr>
      <w:bookmarkStart w:id="1" w:name="Seif1"/>
      <w:bookmarkEnd w:id="1"/>
      <w:r>
        <w:rPr>
          <w:rFonts w:cs="Miriam"/>
          <w:lang w:val="he-IL"/>
        </w:rPr>
        <w:pict w14:anchorId="6495C265">
          <v:rect id="_x0000_s1032" style="position:absolute;left:0;text-align:left;margin-left:464.5pt;margin-top:8.05pt;width:75.05pt;height:27.3pt;z-index:251657728" o:allowincell="f" filled="f" stroked="f" strokecolor="lime" strokeweight=".25pt">
            <v:textbox style="mso-next-textbox:#_x0000_s1032" inset="0,0,0,0">
              <w:txbxContent>
                <w:p w14:paraId="54645CEF" w14:textId="77777777" w:rsidR="00D26A47" w:rsidRDefault="00D26A47">
                  <w:pPr>
                    <w:spacing w:line="160" w:lineRule="exact"/>
                    <w:rPr>
                      <w:rFonts w:cs="Miriam" w:hint="cs"/>
                      <w:noProof/>
                      <w:sz w:val="18"/>
                      <w:szCs w:val="18"/>
                      <w:rtl/>
                    </w:rPr>
                  </w:pPr>
                  <w:r>
                    <w:rPr>
                      <w:rFonts w:cs="Miriam" w:hint="cs"/>
                      <w:sz w:val="18"/>
                      <w:szCs w:val="18"/>
                      <w:rtl/>
                    </w:rPr>
                    <w:t>שווי שוק במועד המיזוג</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על אף האמור בסעיף 103ג(6)(ב), יכול ששווי השוק במועד המיזוג של כל חברה המשתתפת במיזוג, לא יעלה על פי תשעה משווי השוק של חברה אחרת המשתתפת במיזוג (להלן </w:t>
      </w:r>
      <w:r>
        <w:rPr>
          <w:rStyle w:val="default"/>
          <w:rFonts w:cs="FrankRuehl"/>
          <w:rtl/>
        </w:rPr>
        <w:t>–</w:t>
      </w:r>
      <w:r>
        <w:rPr>
          <w:rStyle w:val="default"/>
          <w:rFonts w:cs="FrankRuehl" w:hint="cs"/>
          <w:rtl/>
        </w:rPr>
        <w:t xml:space="preserve"> החברה האחרת), אם ניתן לכך אישור הנציב, ובלבד שהתקיים אחד מאלה:</w:t>
      </w:r>
    </w:p>
    <w:p w14:paraId="256C5DD1" w14:textId="77777777" w:rsidR="00D26A47" w:rsidRDefault="00D26A4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האחרת היא חברה עתירת מחקר ופיתוח;</w:t>
      </w:r>
    </w:p>
    <w:p w14:paraId="4957D778" w14:textId="77777777" w:rsidR="00D26A47" w:rsidRDefault="00D26A4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השליטה בחברות המשתתפות במיזוג מצויה בידי אותו בעל שליטה או שאחת מהן שולטת באחרת;</w:t>
      </w:r>
    </w:p>
    <w:p w14:paraId="49F1E771" w14:textId="77777777" w:rsidR="00D26A47" w:rsidRDefault="00D26A4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החברות המשתתפות במיזוג הן חברות אחיות;</w:t>
      </w:r>
    </w:p>
    <w:p w14:paraId="6048B383" w14:textId="77777777" w:rsidR="00D26A47" w:rsidRDefault="00D26A4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מניותיה של החבר הקולטת המשתתפת במיזוג רשומות למסחר בבורסה, ובלבד שלאחר המיזוג יוחזקו המניות המוקצות בידי נאמן, הכל כפי שיורה הנציב.</w:t>
      </w:r>
    </w:p>
    <w:p w14:paraId="601BA425" w14:textId="77777777" w:rsidR="00D26A47" w:rsidRDefault="00D26A47">
      <w:pPr>
        <w:pStyle w:val="P00"/>
        <w:spacing w:before="72"/>
        <w:ind w:left="0" w:right="1134"/>
        <w:rPr>
          <w:rStyle w:val="default"/>
          <w:rFonts w:cs="FrankRuehl" w:hint="cs"/>
          <w:rtl/>
        </w:rPr>
      </w:pPr>
      <w:bookmarkStart w:id="2" w:name="Seif2"/>
      <w:bookmarkEnd w:id="2"/>
      <w:r>
        <w:rPr>
          <w:rFonts w:cs="Miriam"/>
          <w:lang w:val="he-IL"/>
        </w:rPr>
        <w:pict w14:anchorId="604F8896">
          <v:rect id="_x0000_s1036" style="position:absolute;left:0;text-align:left;margin-left:464.5pt;margin-top:8.05pt;width:75.05pt;height:17.15pt;z-index:251658752" o:allowincell="f" filled="f" stroked="f" strokecolor="lime" strokeweight=".25pt">
            <v:textbox style="mso-next-textbox:#_x0000_s1036" inset="0,0,0,0">
              <w:txbxContent>
                <w:p w14:paraId="0499091E" w14:textId="77777777" w:rsidR="00D26A47" w:rsidRDefault="00D26A47">
                  <w:pPr>
                    <w:spacing w:line="160" w:lineRule="exact"/>
                    <w:rPr>
                      <w:rFonts w:cs="Miriam" w:hint="cs"/>
                      <w:noProof/>
                      <w:sz w:val="18"/>
                      <w:szCs w:val="18"/>
                      <w:rtl/>
                    </w:rPr>
                  </w:pPr>
                  <w:r>
                    <w:rPr>
                      <w:rFonts w:cs="Miriam" w:hint="cs"/>
                      <w:sz w:val="18"/>
                      <w:szCs w:val="18"/>
                      <w:rtl/>
                    </w:rPr>
                    <w:t>תחולה</w:t>
                  </w:r>
                </w:p>
              </w:txbxContent>
            </v:textbox>
            <w10:anchorlock/>
          </v:rect>
        </w:pict>
      </w:r>
      <w:r>
        <w:rPr>
          <w:rStyle w:val="big-number"/>
          <w:rFonts w:cs="Miriam"/>
          <w:rtl/>
        </w:rPr>
        <w:t>3</w:t>
      </w:r>
      <w:r>
        <w:rPr>
          <w:rStyle w:val="big-number"/>
          <w:rFonts w:cs="FrankRuehl"/>
          <w:sz w:val="26"/>
          <w:szCs w:val="26"/>
          <w:rtl/>
        </w:rPr>
        <w:t>.</w:t>
      </w:r>
      <w:r>
        <w:rPr>
          <w:rStyle w:val="big-number"/>
          <w:rFonts w:cs="FrankRuehl"/>
          <w:sz w:val="26"/>
          <w:szCs w:val="26"/>
          <w:rtl/>
        </w:rPr>
        <w:tab/>
      </w:r>
      <w:r>
        <w:rPr>
          <w:rStyle w:val="default"/>
          <w:rFonts w:cs="FrankRuehl" w:hint="cs"/>
          <w:rtl/>
        </w:rPr>
        <w:t>תקנות אלה יחולו לגבי מיזוג שבוצע ביום ו' בטבת התשס"א (1 בינואר 2001) ואילך.</w:t>
      </w:r>
    </w:p>
    <w:p w14:paraId="1F750D70" w14:textId="77777777" w:rsidR="00D26A47" w:rsidRDefault="00D26A47">
      <w:pPr>
        <w:pStyle w:val="page"/>
        <w:widowControl/>
        <w:tabs>
          <w:tab w:val="left" w:pos="4536"/>
        </w:tabs>
        <w:ind w:right="1134"/>
        <w:rPr>
          <w:rStyle w:val="default"/>
          <w:rFonts w:cs="FrankRuehl" w:hint="cs"/>
          <w:position w:val="0"/>
          <w:rtl/>
        </w:rPr>
      </w:pPr>
    </w:p>
    <w:p w14:paraId="68914E0A" w14:textId="77777777" w:rsidR="00D26A47" w:rsidRDefault="00D26A47">
      <w:pPr>
        <w:pStyle w:val="page"/>
        <w:widowControl/>
        <w:ind w:right="1134"/>
        <w:rPr>
          <w:rStyle w:val="default"/>
          <w:rFonts w:cs="FrankRuehl"/>
          <w:position w:val="0"/>
          <w:rtl/>
        </w:rPr>
      </w:pPr>
    </w:p>
    <w:p w14:paraId="296BB2FF" w14:textId="77777777" w:rsidR="00D26A47" w:rsidRDefault="00D26A47">
      <w:pPr>
        <w:pStyle w:val="page"/>
        <w:widowControl/>
        <w:ind w:right="1134"/>
        <w:rPr>
          <w:rStyle w:val="default"/>
          <w:rFonts w:cs="FrankRuehl"/>
          <w:position w:val="0"/>
          <w:rtl/>
        </w:rPr>
      </w:pPr>
    </w:p>
    <w:p w14:paraId="23BEA08D" w14:textId="77777777" w:rsidR="00D26A47" w:rsidRDefault="00D26A47">
      <w:pPr>
        <w:pStyle w:val="sig-0"/>
        <w:ind w:left="0" w:right="1134"/>
        <w:rPr>
          <w:rFonts w:cs="FrankRuehl" w:hint="cs"/>
          <w:sz w:val="26"/>
          <w:rtl/>
        </w:rPr>
      </w:pPr>
      <w:r>
        <w:rPr>
          <w:rFonts w:cs="FrankRuehl" w:hint="cs"/>
          <w:sz w:val="26"/>
          <w:rtl/>
        </w:rPr>
        <w:t>ט' באדר א' התשס"ג (11 בפברואר 2003)</w:t>
      </w:r>
      <w:r>
        <w:rPr>
          <w:rFonts w:cs="FrankRuehl"/>
          <w:sz w:val="26"/>
          <w:rtl/>
        </w:rPr>
        <w:tab/>
      </w:r>
      <w:r>
        <w:rPr>
          <w:rFonts w:cs="FrankRuehl" w:hint="cs"/>
          <w:sz w:val="26"/>
          <w:rtl/>
        </w:rPr>
        <w:t>סילבן שלום</w:t>
      </w:r>
    </w:p>
    <w:p w14:paraId="632218BD" w14:textId="77777777" w:rsidR="00D26A47" w:rsidRDefault="00D26A47">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14:paraId="2E1BEA7F" w14:textId="77777777" w:rsidR="00D26A47" w:rsidRDefault="00D26A47">
      <w:pPr>
        <w:pStyle w:val="sig-1"/>
        <w:widowControl/>
        <w:ind w:left="0" w:right="1134"/>
        <w:rPr>
          <w:rFonts w:cs="FrankRuehl"/>
          <w:sz w:val="22"/>
          <w:rtl/>
        </w:rPr>
      </w:pPr>
    </w:p>
    <w:p w14:paraId="7FFFC9D2" w14:textId="77777777" w:rsidR="00D26A47" w:rsidRDefault="00D26A47">
      <w:pPr>
        <w:pStyle w:val="sig-1"/>
        <w:widowControl/>
        <w:ind w:left="0" w:right="1134"/>
        <w:rPr>
          <w:rFonts w:cs="FrankRuehl"/>
          <w:sz w:val="22"/>
          <w:rtl/>
        </w:rPr>
      </w:pPr>
    </w:p>
    <w:sectPr w:rsidR="00D26A4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8D5D" w14:textId="77777777" w:rsidR="006175C2" w:rsidRDefault="006175C2">
      <w:r>
        <w:separator/>
      </w:r>
    </w:p>
  </w:endnote>
  <w:endnote w:type="continuationSeparator" w:id="0">
    <w:p w14:paraId="7BCAA907" w14:textId="77777777" w:rsidR="006175C2" w:rsidRDefault="0061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195D2" w14:textId="77777777" w:rsidR="00D26A47" w:rsidRDefault="00D26A4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BD54A1" w14:textId="77777777" w:rsidR="00D26A47" w:rsidRDefault="00D26A4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E649F4C" w14:textId="77777777" w:rsidR="00D26A47" w:rsidRDefault="00D26A4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4C45">
      <w:rPr>
        <w:rFonts w:cs="TopType Jerushalmi"/>
        <w:noProof/>
        <w:color w:val="000000"/>
        <w:sz w:val="14"/>
        <w:szCs w:val="14"/>
      </w:rPr>
      <w:t>C:\Yael\hakika\Revadim\999_017.doc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C0B9" w14:textId="77777777" w:rsidR="00D26A47" w:rsidRDefault="00D26A4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A5625">
      <w:rPr>
        <w:rFonts w:hAnsi="FrankRuehl" w:cs="FrankRuehl"/>
        <w:noProof/>
        <w:sz w:val="24"/>
        <w:szCs w:val="24"/>
        <w:rtl/>
      </w:rPr>
      <w:t>2</w:t>
    </w:r>
    <w:r>
      <w:rPr>
        <w:rFonts w:hAnsi="FrankRuehl" w:cs="FrankRuehl"/>
        <w:sz w:val="24"/>
        <w:szCs w:val="24"/>
        <w:rtl/>
      </w:rPr>
      <w:fldChar w:fldCharType="end"/>
    </w:r>
  </w:p>
  <w:p w14:paraId="1B3B2C76" w14:textId="77777777" w:rsidR="00D26A47" w:rsidRDefault="00D26A4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2567A3" w14:textId="77777777" w:rsidR="00D26A47" w:rsidRDefault="00D26A4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44C45">
      <w:rPr>
        <w:rFonts w:cs="TopType Jerushalmi"/>
        <w:noProof/>
        <w:color w:val="000000"/>
        <w:sz w:val="14"/>
        <w:szCs w:val="14"/>
      </w:rPr>
      <w:t>C:\Yael\hakika\Revadim\999_017.doc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7D1E9" w14:textId="77777777" w:rsidR="006175C2" w:rsidRDefault="006175C2" w:rsidP="00E44C45">
      <w:pPr>
        <w:spacing w:before="60"/>
        <w:ind w:right="1134"/>
      </w:pPr>
      <w:r>
        <w:separator/>
      </w:r>
    </w:p>
  </w:footnote>
  <w:footnote w:type="continuationSeparator" w:id="0">
    <w:p w14:paraId="79444D1F" w14:textId="77777777" w:rsidR="006175C2" w:rsidRDefault="006175C2">
      <w:r>
        <w:continuationSeparator/>
      </w:r>
    </w:p>
  </w:footnote>
  <w:footnote w:id="1">
    <w:p w14:paraId="2A8CA8E6" w14:textId="77777777" w:rsidR="00E44C45" w:rsidRDefault="00E44C45" w:rsidP="00E44C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01083A">
          <w:rPr>
            <w:rStyle w:val="Hyperlink"/>
            <w:rFonts w:cs="FrankRuehl" w:hint="cs"/>
            <w:rtl/>
          </w:rPr>
          <w:t>ק"ת תשס"ג מס' 6231</w:t>
        </w:r>
      </w:hyperlink>
      <w:r>
        <w:rPr>
          <w:rFonts w:cs="FrankRuehl" w:hint="cs"/>
          <w:rtl/>
        </w:rPr>
        <w:t xml:space="preserve"> מיום 12.3.2003 עמ' 601.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25399" w14:textId="77777777" w:rsidR="00D26A47" w:rsidRDefault="00D26A4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91E14DC" w14:textId="77777777" w:rsidR="00D26A47" w:rsidRDefault="00D26A4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131490" w14:textId="77777777" w:rsidR="00D26A47" w:rsidRDefault="00D26A4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FBBC" w14:textId="77777777" w:rsidR="00D26A47" w:rsidRDefault="00D26A4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(הקלה ביחסי גודל בסוגי מיזוגים מסוימים), תשס"ג-2003</w:t>
    </w:r>
  </w:p>
  <w:p w14:paraId="3880FD2A" w14:textId="77777777" w:rsidR="00D26A47" w:rsidRDefault="00D26A4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77D11FE" w14:textId="77777777" w:rsidR="00D26A47" w:rsidRDefault="00D26A4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0129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083A"/>
    <w:rsid w:val="0001083A"/>
    <w:rsid w:val="00203AE9"/>
    <w:rsid w:val="00311FBA"/>
    <w:rsid w:val="006175C2"/>
    <w:rsid w:val="00655DE2"/>
    <w:rsid w:val="0081215F"/>
    <w:rsid w:val="00912D34"/>
    <w:rsid w:val="009D37BE"/>
    <w:rsid w:val="00B42FED"/>
    <w:rsid w:val="00D26A47"/>
    <w:rsid w:val="00DA5625"/>
    <w:rsid w:val="00E44C45"/>
    <w:rsid w:val="00E845C5"/>
    <w:rsid w:val="00F31BE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4:docId w14:val="40CF38A5"/>
  <w15:chartTrackingRefBased/>
  <w15:docId w15:val="{8A75AAD3-8351-405A-94B0-CF3E0321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2099</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8126475</vt:i4>
      </vt:variant>
      <vt:variant>
        <vt:i4>0</vt:i4>
      </vt:variant>
      <vt:variant>
        <vt:i4>0</vt:i4>
      </vt:variant>
      <vt:variant>
        <vt:i4>5</vt:i4>
      </vt:variant>
      <vt:variant>
        <vt:lpwstr>http://www.nevo.co.il/Law_word/law06/TAK-6231.pdf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(הקלה ביחסי גודל בסוגי מיזוגים מסוימים), תשס"ג-2003</vt:lpwstr>
  </property>
  <property fmtid="{D5CDD505-2E9C-101B-9397-08002B2CF9AE}" pid="4" name="LAWNUMBER">
    <vt:lpwstr>0017</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103א1XאX;103גX6XגX;103זX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הנחות והקלות</vt:lpwstr>
  </property>
  <property fmtid="{D5CDD505-2E9C-101B-9397-08002B2CF9AE}" pid="11" name="NOSE41">
    <vt:lpwstr/>
  </property>
  <property fmtid="{D5CDD505-2E9C-101B-9397-08002B2CF9AE}" pid="12" name="NOSE12">
    <vt:lpwstr>מסים</vt:lpwstr>
  </property>
  <property fmtid="{D5CDD505-2E9C-101B-9397-08002B2CF9AE}" pid="13" name="NOSE22">
    <vt:lpwstr>מס הכנסה</vt:lpwstr>
  </property>
  <property fmtid="{D5CDD505-2E9C-101B-9397-08002B2CF9AE}" pid="14" name="NOSE32">
    <vt:lpwstr>חברות</vt:lpwstr>
  </property>
  <property fmtid="{D5CDD505-2E9C-101B-9397-08002B2CF9AE}" pid="15" name="NOSE42">
    <vt:lpwstr>מיזוג</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