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D7C4" w14:textId="77777777" w:rsidR="009F40AE" w:rsidRDefault="009F40AE" w:rsidP="000D6362">
      <w:pPr>
        <w:pStyle w:val="big-header"/>
        <w:ind w:left="0" w:right="1134"/>
        <w:rPr>
          <w:rFonts w:cs="FrankRuehl"/>
          <w:sz w:val="32"/>
        </w:rPr>
      </w:pPr>
      <w:r>
        <w:rPr>
          <w:rFonts w:cs="FrankRuehl"/>
          <w:sz w:val="32"/>
          <w:rtl/>
        </w:rPr>
        <w:t>תקנות מס הכנסה (חישוב רווח הון במכירת רכב), תשנ"ז</w:t>
      </w:r>
      <w:r w:rsidR="000D6362">
        <w:rPr>
          <w:rFonts w:cs="FrankRuehl" w:hint="cs"/>
          <w:sz w:val="32"/>
          <w:rtl/>
        </w:rPr>
        <w:t>-</w:t>
      </w:r>
      <w:r>
        <w:rPr>
          <w:rFonts w:cs="FrankRuehl"/>
          <w:sz w:val="32"/>
          <w:rtl/>
        </w:rPr>
        <w:t>1997</w:t>
      </w:r>
    </w:p>
    <w:p w14:paraId="76D621E9" w14:textId="77777777" w:rsidR="008E1DB4" w:rsidRPr="008E1DB4" w:rsidRDefault="008E1DB4" w:rsidP="008E1DB4">
      <w:pPr>
        <w:spacing w:line="320" w:lineRule="auto"/>
        <w:rPr>
          <w:rFonts w:cs="FrankRuehl"/>
          <w:szCs w:val="26"/>
          <w:rtl/>
        </w:rPr>
      </w:pPr>
    </w:p>
    <w:p w14:paraId="0FDFF231" w14:textId="77777777" w:rsidR="008E1DB4" w:rsidRDefault="008E1DB4" w:rsidP="008E1DB4">
      <w:pPr>
        <w:spacing w:line="320" w:lineRule="auto"/>
        <w:rPr>
          <w:rtl/>
        </w:rPr>
      </w:pPr>
    </w:p>
    <w:p w14:paraId="1D5AEFBC" w14:textId="77777777" w:rsidR="008E1DB4" w:rsidRDefault="008E1DB4" w:rsidP="008E1DB4">
      <w:pPr>
        <w:spacing w:line="320" w:lineRule="auto"/>
        <w:rPr>
          <w:rFonts w:cs="FrankRuehl"/>
          <w:szCs w:val="26"/>
          <w:rtl/>
        </w:rPr>
      </w:pPr>
      <w:r w:rsidRPr="008E1DB4">
        <w:rPr>
          <w:rFonts w:cs="Miriam"/>
          <w:szCs w:val="22"/>
          <w:rtl/>
        </w:rPr>
        <w:t>מסים</w:t>
      </w:r>
      <w:r w:rsidRPr="008E1DB4">
        <w:rPr>
          <w:rFonts w:cs="FrankRuehl"/>
          <w:szCs w:val="26"/>
          <w:rtl/>
        </w:rPr>
        <w:t xml:space="preserve"> – מס הכנסה – מיסוי הון – חישוב רווח הון</w:t>
      </w:r>
    </w:p>
    <w:p w14:paraId="44ABC009" w14:textId="77777777" w:rsidR="003B0F21" w:rsidRPr="008E1DB4" w:rsidRDefault="008E1DB4" w:rsidP="008E1DB4">
      <w:pPr>
        <w:spacing w:line="320" w:lineRule="auto"/>
        <w:rPr>
          <w:rFonts w:cs="Miriam"/>
          <w:szCs w:val="22"/>
          <w:rtl/>
        </w:rPr>
      </w:pPr>
      <w:r w:rsidRPr="008E1DB4">
        <w:rPr>
          <w:rFonts w:cs="Miriam"/>
          <w:szCs w:val="22"/>
          <w:rtl/>
        </w:rPr>
        <w:t>רשויות ומשפט מנהלי</w:t>
      </w:r>
      <w:r w:rsidRPr="008E1DB4">
        <w:rPr>
          <w:rFonts w:cs="FrankRuehl"/>
          <w:szCs w:val="26"/>
          <w:rtl/>
        </w:rPr>
        <w:t xml:space="preserve"> – תעבורה – רכב – מס</w:t>
      </w:r>
    </w:p>
    <w:p w14:paraId="0BF2F0B7" w14:textId="77777777" w:rsidR="009F40AE" w:rsidRDefault="009F40A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F40AE" w14:paraId="2781B138" w14:textId="77777777">
        <w:tblPrEx>
          <w:tblCellMar>
            <w:top w:w="0" w:type="dxa"/>
            <w:bottom w:w="0" w:type="dxa"/>
          </w:tblCellMar>
        </w:tblPrEx>
        <w:tc>
          <w:tcPr>
            <w:tcW w:w="850" w:type="dxa"/>
          </w:tcPr>
          <w:p w14:paraId="02094EFC" w14:textId="77777777" w:rsidR="009F40AE" w:rsidRDefault="009F40AE">
            <w:r>
              <w:rPr>
                <w:rtl/>
              </w:rPr>
              <w:fldChar w:fldCharType="begin"/>
            </w:r>
            <w:r>
              <w:rPr>
                <w:rtl/>
              </w:rPr>
              <w:instrText xml:space="preserve"> </w:instrText>
            </w:r>
            <w:r>
              <w:instrText>PAGEREF Seif0</w:instrText>
            </w:r>
            <w:r>
              <w:rPr>
                <w:rtl/>
              </w:rPr>
              <w:instrText xml:space="preserve"> </w:instrText>
            </w:r>
            <w:r>
              <w:rPr>
                <w:rtl/>
              </w:rPr>
              <w:fldChar w:fldCharType="separate"/>
            </w:r>
            <w:r w:rsidR="000D6362">
              <w:rPr>
                <w:noProof/>
                <w:rtl/>
              </w:rPr>
              <w:t>2</w:t>
            </w:r>
            <w:r>
              <w:rPr>
                <w:rtl/>
              </w:rPr>
              <w:fldChar w:fldCharType="end"/>
            </w:r>
          </w:p>
        </w:tc>
        <w:tc>
          <w:tcPr>
            <w:tcW w:w="567" w:type="dxa"/>
          </w:tcPr>
          <w:p w14:paraId="3A27DD5C" w14:textId="77777777" w:rsidR="009F40AE" w:rsidRDefault="009F40AE">
            <w:hyperlink w:anchor="Seif0" w:tooltip="הגדרות" w:history="1">
              <w:r>
                <w:rPr>
                  <w:rStyle w:val="Hyperlink"/>
                </w:rPr>
                <w:t>Go</w:t>
              </w:r>
            </w:hyperlink>
          </w:p>
        </w:tc>
        <w:tc>
          <w:tcPr>
            <w:tcW w:w="5669" w:type="dxa"/>
          </w:tcPr>
          <w:p w14:paraId="2663D4AA" w14:textId="77777777" w:rsidR="009F40AE" w:rsidRDefault="009F40AE">
            <w:pPr>
              <w:rPr>
                <w:rtl/>
              </w:rPr>
            </w:pPr>
            <w:r>
              <w:rPr>
                <w:rtl/>
              </w:rPr>
              <w:t>הגדרות</w:t>
            </w:r>
          </w:p>
        </w:tc>
        <w:tc>
          <w:tcPr>
            <w:tcW w:w="1247" w:type="dxa"/>
          </w:tcPr>
          <w:p w14:paraId="5EE237C0" w14:textId="77777777" w:rsidR="009F40AE" w:rsidRDefault="009F40AE">
            <w:r>
              <w:rPr>
                <w:rtl/>
              </w:rPr>
              <w:t xml:space="preserve">סעיף 1 </w:t>
            </w:r>
          </w:p>
        </w:tc>
      </w:tr>
      <w:tr w:rsidR="009F40AE" w14:paraId="7023E48A" w14:textId="77777777">
        <w:tblPrEx>
          <w:tblCellMar>
            <w:top w:w="0" w:type="dxa"/>
            <w:bottom w:w="0" w:type="dxa"/>
          </w:tblCellMar>
        </w:tblPrEx>
        <w:tc>
          <w:tcPr>
            <w:tcW w:w="850" w:type="dxa"/>
          </w:tcPr>
          <w:p w14:paraId="35787D79" w14:textId="77777777" w:rsidR="009F40AE" w:rsidRDefault="009F40AE">
            <w:r>
              <w:rPr>
                <w:rtl/>
              </w:rPr>
              <w:fldChar w:fldCharType="begin"/>
            </w:r>
            <w:r>
              <w:rPr>
                <w:rtl/>
              </w:rPr>
              <w:instrText xml:space="preserve"> </w:instrText>
            </w:r>
            <w:r>
              <w:instrText>PAGEREF Seif1</w:instrText>
            </w:r>
            <w:r>
              <w:rPr>
                <w:rtl/>
              </w:rPr>
              <w:instrText xml:space="preserve"> </w:instrText>
            </w:r>
            <w:r>
              <w:rPr>
                <w:rtl/>
              </w:rPr>
              <w:fldChar w:fldCharType="separate"/>
            </w:r>
            <w:r w:rsidR="000D6362">
              <w:rPr>
                <w:noProof/>
                <w:rtl/>
              </w:rPr>
              <w:t>2</w:t>
            </w:r>
            <w:r>
              <w:rPr>
                <w:rtl/>
              </w:rPr>
              <w:fldChar w:fldCharType="end"/>
            </w:r>
          </w:p>
        </w:tc>
        <w:tc>
          <w:tcPr>
            <w:tcW w:w="567" w:type="dxa"/>
          </w:tcPr>
          <w:p w14:paraId="6A725369" w14:textId="77777777" w:rsidR="009F40AE" w:rsidRDefault="009F40AE">
            <w:hyperlink w:anchor="Seif1" w:tooltip="חישוב רווח הון במכירת רכב" w:history="1">
              <w:r>
                <w:rPr>
                  <w:rStyle w:val="Hyperlink"/>
                </w:rPr>
                <w:t>Go</w:t>
              </w:r>
            </w:hyperlink>
          </w:p>
        </w:tc>
        <w:tc>
          <w:tcPr>
            <w:tcW w:w="5669" w:type="dxa"/>
          </w:tcPr>
          <w:p w14:paraId="3EF6D5C9" w14:textId="77777777" w:rsidR="009F40AE" w:rsidRDefault="009F40AE">
            <w:pPr>
              <w:rPr>
                <w:rtl/>
              </w:rPr>
            </w:pPr>
            <w:r>
              <w:rPr>
                <w:rtl/>
              </w:rPr>
              <w:t>חישוב רווח הון במכירת רכב</w:t>
            </w:r>
          </w:p>
        </w:tc>
        <w:tc>
          <w:tcPr>
            <w:tcW w:w="1247" w:type="dxa"/>
          </w:tcPr>
          <w:p w14:paraId="1E74566A" w14:textId="77777777" w:rsidR="009F40AE" w:rsidRDefault="009F40AE">
            <w:r>
              <w:rPr>
                <w:rtl/>
              </w:rPr>
              <w:t xml:space="preserve">סעיף 2 </w:t>
            </w:r>
          </w:p>
        </w:tc>
      </w:tr>
      <w:tr w:rsidR="009F40AE" w14:paraId="131057D5" w14:textId="77777777">
        <w:tblPrEx>
          <w:tblCellMar>
            <w:top w:w="0" w:type="dxa"/>
            <w:bottom w:w="0" w:type="dxa"/>
          </w:tblCellMar>
        </w:tblPrEx>
        <w:tc>
          <w:tcPr>
            <w:tcW w:w="850" w:type="dxa"/>
          </w:tcPr>
          <w:p w14:paraId="2C037FA4" w14:textId="77777777" w:rsidR="009F40AE" w:rsidRDefault="009F40AE">
            <w:r>
              <w:rPr>
                <w:rtl/>
              </w:rPr>
              <w:fldChar w:fldCharType="begin"/>
            </w:r>
            <w:r>
              <w:rPr>
                <w:rtl/>
              </w:rPr>
              <w:instrText xml:space="preserve"> </w:instrText>
            </w:r>
            <w:r>
              <w:instrText>PAGEREF Seif2</w:instrText>
            </w:r>
            <w:r>
              <w:rPr>
                <w:rtl/>
              </w:rPr>
              <w:instrText xml:space="preserve"> </w:instrText>
            </w:r>
            <w:r>
              <w:rPr>
                <w:rtl/>
              </w:rPr>
              <w:fldChar w:fldCharType="separate"/>
            </w:r>
            <w:r w:rsidR="000D6362">
              <w:rPr>
                <w:noProof/>
                <w:rtl/>
              </w:rPr>
              <w:t>2</w:t>
            </w:r>
            <w:r>
              <w:rPr>
                <w:rtl/>
              </w:rPr>
              <w:fldChar w:fldCharType="end"/>
            </w:r>
          </w:p>
        </w:tc>
        <w:tc>
          <w:tcPr>
            <w:tcW w:w="567" w:type="dxa"/>
          </w:tcPr>
          <w:p w14:paraId="1D4473A6" w14:textId="77777777" w:rsidR="009F40AE" w:rsidRDefault="009F40AE">
            <w:hyperlink w:anchor="Seif2" w:tooltip="יתרת המחיר המקורי" w:history="1">
              <w:r>
                <w:rPr>
                  <w:rStyle w:val="Hyperlink"/>
                </w:rPr>
                <w:t>Go</w:t>
              </w:r>
            </w:hyperlink>
          </w:p>
        </w:tc>
        <w:tc>
          <w:tcPr>
            <w:tcW w:w="5669" w:type="dxa"/>
          </w:tcPr>
          <w:p w14:paraId="66155C34" w14:textId="77777777" w:rsidR="009F40AE" w:rsidRDefault="009F40AE">
            <w:pPr>
              <w:rPr>
                <w:rtl/>
              </w:rPr>
            </w:pPr>
            <w:r>
              <w:rPr>
                <w:rtl/>
              </w:rPr>
              <w:t>יתרת המחיר המקורי</w:t>
            </w:r>
          </w:p>
        </w:tc>
        <w:tc>
          <w:tcPr>
            <w:tcW w:w="1247" w:type="dxa"/>
          </w:tcPr>
          <w:p w14:paraId="5C7F19DF" w14:textId="77777777" w:rsidR="009F40AE" w:rsidRDefault="009F40AE">
            <w:r>
              <w:rPr>
                <w:rtl/>
              </w:rPr>
              <w:t xml:space="preserve">סעיף 3 </w:t>
            </w:r>
          </w:p>
        </w:tc>
      </w:tr>
      <w:tr w:rsidR="009F40AE" w14:paraId="2B6B0122" w14:textId="77777777">
        <w:tblPrEx>
          <w:tblCellMar>
            <w:top w:w="0" w:type="dxa"/>
            <w:bottom w:w="0" w:type="dxa"/>
          </w:tblCellMar>
        </w:tblPrEx>
        <w:tc>
          <w:tcPr>
            <w:tcW w:w="850" w:type="dxa"/>
          </w:tcPr>
          <w:p w14:paraId="7506355B" w14:textId="77777777" w:rsidR="009F40AE" w:rsidRDefault="009F40AE">
            <w:r>
              <w:rPr>
                <w:rtl/>
              </w:rPr>
              <w:fldChar w:fldCharType="begin"/>
            </w:r>
            <w:r>
              <w:rPr>
                <w:rtl/>
              </w:rPr>
              <w:instrText xml:space="preserve"> </w:instrText>
            </w:r>
            <w:r>
              <w:instrText>PAGEREF Seif3</w:instrText>
            </w:r>
            <w:r>
              <w:rPr>
                <w:rtl/>
              </w:rPr>
              <w:instrText xml:space="preserve"> </w:instrText>
            </w:r>
            <w:r>
              <w:rPr>
                <w:rtl/>
              </w:rPr>
              <w:fldChar w:fldCharType="separate"/>
            </w:r>
            <w:r w:rsidR="000D6362">
              <w:rPr>
                <w:noProof/>
                <w:rtl/>
              </w:rPr>
              <w:t>2</w:t>
            </w:r>
            <w:r>
              <w:rPr>
                <w:rtl/>
              </w:rPr>
              <w:fldChar w:fldCharType="end"/>
            </w:r>
          </w:p>
        </w:tc>
        <w:tc>
          <w:tcPr>
            <w:tcW w:w="567" w:type="dxa"/>
          </w:tcPr>
          <w:p w14:paraId="0A39DFFE" w14:textId="77777777" w:rsidR="009F40AE" w:rsidRDefault="009F40AE">
            <w:hyperlink w:anchor="Seif3" w:tooltip="תחולה" w:history="1">
              <w:r>
                <w:rPr>
                  <w:rStyle w:val="Hyperlink"/>
                </w:rPr>
                <w:t>Go</w:t>
              </w:r>
            </w:hyperlink>
          </w:p>
        </w:tc>
        <w:tc>
          <w:tcPr>
            <w:tcW w:w="5669" w:type="dxa"/>
          </w:tcPr>
          <w:p w14:paraId="6952D788" w14:textId="77777777" w:rsidR="009F40AE" w:rsidRDefault="009F40AE">
            <w:pPr>
              <w:rPr>
                <w:rtl/>
              </w:rPr>
            </w:pPr>
            <w:r>
              <w:rPr>
                <w:rtl/>
              </w:rPr>
              <w:t>תחולה</w:t>
            </w:r>
          </w:p>
        </w:tc>
        <w:tc>
          <w:tcPr>
            <w:tcW w:w="1247" w:type="dxa"/>
          </w:tcPr>
          <w:p w14:paraId="2A236874" w14:textId="77777777" w:rsidR="009F40AE" w:rsidRDefault="009F40AE">
            <w:r>
              <w:rPr>
                <w:rtl/>
              </w:rPr>
              <w:t xml:space="preserve">סעיף 4 </w:t>
            </w:r>
          </w:p>
        </w:tc>
      </w:tr>
      <w:tr w:rsidR="009F40AE" w14:paraId="56CCC9AC" w14:textId="77777777">
        <w:tblPrEx>
          <w:tblCellMar>
            <w:top w:w="0" w:type="dxa"/>
            <w:bottom w:w="0" w:type="dxa"/>
          </w:tblCellMar>
        </w:tblPrEx>
        <w:tc>
          <w:tcPr>
            <w:tcW w:w="850" w:type="dxa"/>
          </w:tcPr>
          <w:p w14:paraId="43174AC5" w14:textId="77777777" w:rsidR="009F40AE" w:rsidRDefault="009F40AE">
            <w:r>
              <w:rPr>
                <w:rtl/>
              </w:rPr>
              <w:fldChar w:fldCharType="begin"/>
            </w:r>
            <w:r>
              <w:rPr>
                <w:rtl/>
              </w:rPr>
              <w:instrText xml:space="preserve"> </w:instrText>
            </w:r>
            <w:r>
              <w:instrText>PAGEREF Seif4</w:instrText>
            </w:r>
            <w:r>
              <w:rPr>
                <w:rtl/>
              </w:rPr>
              <w:instrText xml:space="preserve"> </w:instrText>
            </w:r>
            <w:r>
              <w:rPr>
                <w:rtl/>
              </w:rPr>
              <w:fldChar w:fldCharType="separate"/>
            </w:r>
            <w:r w:rsidR="000D6362">
              <w:rPr>
                <w:noProof/>
                <w:rtl/>
              </w:rPr>
              <w:t>2</w:t>
            </w:r>
            <w:r>
              <w:rPr>
                <w:rtl/>
              </w:rPr>
              <w:fldChar w:fldCharType="end"/>
            </w:r>
          </w:p>
        </w:tc>
        <w:tc>
          <w:tcPr>
            <w:tcW w:w="567" w:type="dxa"/>
          </w:tcPr>
          <w:p w14:paraId="6F9C441A" w14:textId="77777777" w:rsidR="009F40AE" w:rsidRDefault="009F40AE">
            <w:hyperlink w:anchor="Seif4" w:tooltip="הוראות מעבר" w:history="1">
              <w:r>
                <w:rPr>
                  <w:rStyle w:val="Hyperlink"/>
                </w:rPr>
                <w:t>Go</w:t>
              </w:r>
            </w:hyperlink>
          </w:p>
        </w:tc>
        <w:tc>
          <w:tcPr>
            <w:tcW w:w="5669" w:type="dxa"/>
          </w:tcPr>
          <w:p w14:paraId="58ED7FCC" w14:textId="77777777" w:rsidR="009F40AE" w:rsidRDefault="009F40AE">
            <w:pPr>
              <w:rPr>
                <w:rtl/>
              </w:rPr>
            </w:pPr>
            <w:r>
              <w:rPr>
                <w:rtl/>
              </w:rPr>
              <w:t>הוראות מעבר</w:t>
            </w:r>
          </w:p>
        </w:tc>
        <w:tc>
          <w:tcPr>
            <w:tcW w:w="1247" w:type="dxa"/>
          </w:tcPr>
          <w:p w14:paraId="2A4C93BF" w14:textId="77777777" w:rsidR="009F40AE" w:rsidRDefault="009F40AE">
            <w:r>
              <w:rPr>
                <w:rtl/>
              </w:rPr>
              <w:t xml:space="preserve">סעיף 5 </w:t>
            </w:r>
          </w:p>
        </w:tc>
      </w:tr>
    </w:tbl>
    <w:p w14:paraId="0961A9AC" w14:textId="77777777" w:rsidR="009F40AE" w:rsidRDefault="009F40AE">
      <w:pPr>
        <w:pStyle w:val="big-header"/>
        <w:ind w:left="0" w:right="1134"/>
        <w:rPr>
          <w:rFonts w:cs="FrankRuehl"/>
          <w:sz w:val="32"/>
          <w:rtl/>
        </w:rPr>
      </w:pPr>
    </w:p>
    <w:p w14:paraId="02B6EB54" w14:textId="77777777" w:rsidR="009F40AE" w:rsidRDefault="009F40AE" w:rsidP="003B0F21">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(חישוב רווח הון במכירת רכב), תשנ"ז</w:t>
      </w:r>
      <w:r w:rsidR="000D6362">
        <w:rPr>
          <w:rFonts w:cs="FrankRuehl" w:hint="cs"/>
          <w:sz w:val="32"/>
          <w:rtl/>
        </w:rPr>
        <w:t>-</w:t>
      </w:r>
      <w:r>
        <w:rPr>
          <w:rFonts w:cs="FrankRuehl"/>
          <w:sz w:val="32"/>
          <w:rtl/>
        </w:rPr>
        <w:t>1997</w:t>
      </w:r>
      <w:r w:rsidR="000D6362">
        <w:rPr>
          <w:rStyle w:val="a6"/>
          <w:rFonts w:cs="FrankRuehl"/>
          <w:sz w:val="32"/>
          <w:rtl/>
        </w:rPr>
        <w:footnoteReference w:customMarkFollows="1" w:id="1"/>
        <w:t>*</w:t>
      </w:r>
    </w:p>
    <w:p w14:paraId="3E6E9FB3" w14:textId="77777777" w:rsidR="009F40AE" w:rsidRPr="00C2055B" w:rsidRDefault="009F40AE" w:rsidP="000D6362">
      <w:pPr>
        <w:pStyle w:val="P00"/>
        <w:spacing w:before="72"/>
        <w:ind w:left="0" w:right="1134"/>
        <w:rPr>
          <w:rStyle w:val="default"/>
          <w:rFonts w:cs="FrankRuehl"/>
          <w:rtl/>
        </w:rPr>
      </w:pPr>
      <w:r w:rsidRPr="00C2055B">
        <w:rPr>
          <w:rFonts w:cs="FrankRuehl"/>
          <w:sz w:val="26"/>
          <w:rtl/>
        </w:rPr>
        <w:tab/>
      </w:r>
      <w:r w:rsidRPr="00C2055B">
        <w:rPr>
          <w:rStyle w:val="default"/>
          <w:rFonts w:cs="FrankRuehl"/>
          <w:rtl/>
        </w:rPr>
        <w:t>בתוקף סמכותי לפי סעיף 98 לפקודת מס הכנסה, סעיף 3 לחוק מס הכנסה (תיאומים בשל אינפלציה), תשמ"ה</w:t>
      </w:r>
      <w:r w:rsidR="000D6362">
        <w:rPr>
          <w:rStyle w:val="default"/>
          <w:rFonts w:cs="FrankRuehl" w:hint="cs"/>
          <w:rtl/>
        </w:rPr>
        <w:t>-</w:t>
      </w:r>
      <w:r w:rsidRPr="00C2055B">
        <w:rPr>
          <w:rStyle w:val="default"/>
          <w:rFonts w:cs="FrankRuehl"/>
          <w:rtl/>
        </w:rPr>
        <w:t>1985, ובאישור ועדת הכספים של הכנסת, אני מתקין תקנות אלה:</w:t>
      </w:r>
    </w:p>
    <w:p w14:paraId="34F179FC" w14:textId="77777777" w:rsidR="009F40AE" w:rsidRDefault="009F40AE">
      <w:pPr>
        <w:pStyle w:val="P00"/>
        <w:spacing w:before="72"/>
        <w:ind w:left="0" w:right="1134"/>
        <w:rPr>
          <w:rStyle w:val="default"/>
          <w:rFonts w:cs="FrankRuehl" w:hint="cs"/>
          <w:rtl/>
        </w:rPr>
      </w:pPr>
      <w:bookmarkStart w:id="0" w:name="Seif0"/>
      <w:bookmarkEnd w:id="0"/>
      <w:r w:rsidRPr="000D6362">
        <w:rPr>
          <w:rFonts w:cs="Miriam"/>
          <w:lang w:val="he-IL"/>
        </w:rPr>
        <w:pict w14:anchorId="39B71E9E">
          <v:rect id="_x0000_s1026" style="position:absolute;left:0;text-align:left;margin-left:464.5pt;margin-top:8.05pt;width:75.05pt;height:14.2pt;z-index:251655680" o:allowincell="f" filled="f" stroked="f" strokecolor="lime" strokeweight=".25pt">
            <v:textbox inset="0,0,0,0">
              <w:txbxContent>
                <w:p w14:paraId="2C5E1617" w14:textId="77777777" w:rsidR="009F40AE" w:rsidRDefault="009F40AE">
                  <w:pPr>
                    <w:spacing w:line="160" w:lineRule="exact"/>
                    <w:rPr>
                      <w:rFonts w:cs="Miriam"/>
                      <w:noProof/>
                      <w:sz w:val="18"/>
                      <w:szCs w:val="18"/>
                      <w:rtl/>
                    </w:rPr>
                  </w:pPr>
                  <w:r>
                    <w:rPr>
                      <w:rFonts w:cs="Miriam"/>
                      <w:sz w:val="18"/>
                      <w:szCs w:val="18"/>
                      <w:rtl/>
                    </w:rPr>
                    <w:t>הג</w:t>
                  </w:r>
                  <w:r>
                    <w:rPr>
                      <w:rFonts w:cs="Miriam" w:hint="cs"/>
                      <w:sz w:val="18"/>
                      <w:szCs w:val="18"/>
                      <w:rtl/>
                    </w:rPr>
                    <w:t>דרו</w:t>
                  </w:r>
                  <w:r>
                    <w:rPr>
                      <w:rFonts w:cs="Miriam"/>
                      <w:sz w:val="18"/>
                      <w:szCs w:val="18"/>
                      <w:rtl/>
                    </w:rPr>
                    <w:t>ת</w:t>
                  </w:r>
                </w:p>
              </w:txbxContent>
            </v:textbox>
            <w10:anchorlock/>
          </v:rect>
        </w:pict>
      </w:r>
      <w:r w:rsidRPr="000D6362">
        <w:rPr>
          <w:rStyle w:val="big-number"/>
          <w:rFonts w:cs="Miriam"/>
          <w:rtl/>
        </w:rPr>
        <w:t>1</w:t>
      </w:r>
      <w:r w:rsidRPr="000D6362">
        <w:rPr>
          <w:rStyle w:val="big-number"/>
          <w:rFonts w:cs="FrankRuehl"/>
          <w:sz w:val="26"/>
          <w:szCs w:val="26"/>
          <w:rtl/>
        </w:rPr>
        <w:t>.</w:t>
      </w:r>
      <w:r w:rsidRPr="000D6362">
        <w:rPr>
          <w:rStyle w:val="big-number"/>
          <w:rFonts w:cs="FrankRuehl"/>
          <w:sz w:val="26"/>
          <w:szCs w:val="26"/>
          <w:rtl/>
        </w:rPr>
        <w:tab/>
      </w:r>
      <w:r w:rsidR="000D6362">
        <w:rPr>
          <w:rStyle w:val="default"/>
          <w:rFonts w:cs="FrankRuehl"/>
          <w:rtl/>
        </w:rPr>
        <w:t>בתקנות אלה –</w:t>
      </w:r>
    </w:p>
    <w:p w14:paraId="2EE18EDE" w14:textId="77777777" w:rsidR="009F40AE" w:rsidRPr="00C2055B" w:rsidRDefault="009F40AE" w:rsidP="000D6362">
      <w:pPr>
        <w:pStyle w:val="P00"/>
        <w:spacing w:before="72"/>
        <w:ind w:left="0" w:right="1134"/>
        <w:rPr>
          <w:rStyle w:val="default"/>
          <w:rFonts w:cs="FrankRuehl"/>
          <w:rtl/>
        </w:rPr>
      </w:pPr>
      <w:r w:rsidRPr="00C2055B">
        <w:rPr>
          <w:rFonts w:cs="FrankRuehl"/>
          <w:sz w:val="26"/>
          <w:rtl/>
        </w:rPr>
        <w:tab/>
      </w:r>
      <w:r w:rsidRPr="00C2055B">
        <w:rPr>
          <w:rStyle w:val="default"/>
          <w:rFonts w:cs="FrankRuehl"/>
          <w:rtl/>
        </w:rPr>
        <w:t xml:space="preserve">"יחס הקילומטרים" </w:t>
      </w:r>
      <w:r w:rsidR="000D6362">
        <w:rPr>
          <w:rStyle w:val="default"/>
          <w:rFonts w:cs="FrankRuehl" w:hint="cs"/>
          <w:rtl/>
        </w:rPr>
        <w:t>-</w:t>
      </w:r>
      <w:r w:rsidRPr="00C2055B">
        <w:rPr>
          <w:rStyle w:val="default"/>
          <w:rFonts w:cs="FrankRuehl"/>
          <w:rtl/>
        </w:rPr>
        <w:t xml:space="preserve"> מספר הקילומטרים השנתי המוכר בכל אחת משנות המס שבהן תבע המוכר הוצאות החזקת רכב, מחולק במספר הקילומטרים השנתי של אותו רכב בכל שנות המס שבהן הוציא המוכר הוצאות להחזקתו;</w:t>
      </w:r>
    </w:p>
    <w:p w14:paraId="1E3297B8" w14:textId="77777777" w:rsidR="009F40AE" w:rsidRPr="00C2055B" w:rsidRDefault="009F40AE" w:rsidP="000D6362">
      <w:pPr>
        <w:pStyle w:val="P00"/>
        <w:spacing w:before="72"/>
        <w:ind w:left="0" w:right="1134"/>
        <w:rPr>
          <w:rStyle w:val="default"/>
          <w:rFonts w:cs="FrankRuehl"/>
          <w:rtl/>
        </w:rPr>
      </w:pPr>
      <w:r w:rsidRPr="00C2055B">
        <w:rPr>
          <w:rFonts w:cs="FrankRuehl"/>
          <w:sz w:val="26"/>
          <w:rtl/>
        </w:rPr>
        <w:tab/>
      </w:r>
      <w:r w:rsidRPr="00C2055B">
        <w:rPr>
          <w:rStyle w:val="default"/>
          <w:rFonts w:cs="FrankRuehl"/>
          <w:rtl/>
        </w:rPr>
        <w:t xml:space="preserve">"מספר הקילומטרים השנתי המוכר" </w:t>
      </w:r>
      <w:r w:rsidR="000D6362">
        <w:rPr>
          <w:rStyle w:val="default"/>
          <w:rFonts w:cs="FrankRuehl" w:hint="cs"/>
          <w:rtl/>
        </w:rPr>
        <w:t>-</w:t>
      </w:r>
      <w:r w:rsidRPr="00C2055B">
        <w:rPr>
          <w:rStyle w:val="default"/>
          <w:rFonts w:cs="FrankRuehl"/>
          <w:rtl/>
        </w:rPr>
        <w:t xml:space="preserve"> מספר הקילומטרים השנתי העודף על 9,900 או 25% ממספר הקילומטרים השנתי, לפי הגבוה;</w:t>
      </w:r>
    </w:p>
    <w:p w14:paraId="15F322BF" w14:textId="77777777" w:rsidR="009F40AE" w:rsidRPr="00C2055B" w:rsidRDefault="009F40AE" w:rsidP="000D6362">
      <w:pPr>
        <w:pStyle w:val="P00"/>
        <w:spacing w:before="72"/>
        <w:ind w:left="0" w:right="1134"/>
        <w:rPr>
          <w:rStyle w:val="default"/>
          <w:rFonts w:cs="FrankRuehl"/>
          <w:rtl/>
        </w:rPr>
      </w:pPr>
      <w:r w:rsidRPr="00C2055B">
        <w:rPr>
          <w:rFonts w:cs="FrankRuehl"/>
          <w:sz w:val="26"/>
          <w:rtl/>
        </w:rPr>
        <w:tab/>
      </w:r>
      <w:r w:rsidRPr="00C2055B">
        <w:rPr>
          <w:rStyle w:val="default"/>
          <w:rFonts w:cs="FrankRuehl"/>
          <w:rtl/>
        </w:rPr>
        <w:t xml:space="preserve">"הוצאות החזקת רכב", "מספר קילומטרים שנתי" ו"רכב" </w:t>
      </w:r>
      <w:r w:rsidR="000D6362">
        <w:rPr>
          <w:rStyle w:val="default"/>
          <w:rFonts w:cs="FrankRuehl" w:hint="cs"/>
          <w:rtl/>
        </w:rPr>
        <w:t>-</w:t>
      </w:r>
      <w:r w:rsidRPr="00C2055B">
        <w:rPr>
          <w:rStyle w:val="default"/>
          <w:rFonts w:cs="FrankRuehl"/>
          <w:rtl/>
        </w:rPr>
        <w:t xml:space="preserve"> כהגדרתם בתקנות מס הכנסה (ניכוי הוצאות רכב), תשנ"ה</w:t>
      </w:r>
      <w:r w:rsidR="000D6362">
        <w:rPr>
          <w:rStyle w:val="default"/>
          <w:rFonts w:cs="FrankRuehl" w:hint="cs"/>
          <w:rtl/>
        </w:rPr>
        <w:t>-</w:t>
      </w:r>
      <w:r w:rsidRPr="00C2055B">
        <w:rPr>
          <w:rStyle w:val="default"/>
          <w:rFonts w:cs="FrankRuehl"/>
          <w:rtl/>
        </w:rPr>
        <w:t xml:space="preserve">1995 (להלן </w:t>
      </w:r>
      <w:r w:rsidR="000D6362">
        <w:rPr>
          <w:rStyle w:val="default"/>
          <w:rFonts w:cs="FrankRuehl" w:hint="cs"/>
          <w:rtl/>
        </w:rPr>
        <w:t>-</w:t>
      </w:r>
      <w:r w:rsidRPr="00C2055B">
        <w:rPr>
          <w:rStyle w:val="default"/>
          <w:rFonts w:cs="FrankRuehl"/>
          <w:rtl/>
        </w:rPr>
        <w:t xml:space="preserve"> תקנות הרכב);</w:t>
      </w:r>
    </w:p>
    <w:p w14:paraId="2B88B601" w14:textId="77777777" w:rsidR="009F40AE" w:rsidRPr="00C2055B" w:rsidRDefault="009F40AE" w:rsidP="000D6362">
      <w:pPr>
        <w:pStyle w:val="P00"/>
        <w:spacing w:before="72"/>
        <w:ind w:left="0" w:right="1134"/>
        <w:rPr>
          <w:rStyle w:val="default"/>
          <w:rFonts w:cs="FrankRuehl"/>
          <w:rtl/>
        </w:rPr>
      </w:pPr>
      <w:r w:rsidRPr="00C2055B">
        <w:rPr>
          <w:rFonts w:cs="FrankRuehl"/>
          <w:sz w:val="26"/>
          <w:rtl/>
        </w:rPr>
        <w:tab/>
      </w:r>
      <w:r w:rsidRPr="00C2055B">
        <w:rPr>
          <w:rStyle w:val="default"/>
          <w:rFonts w:cs="FrankRuehl"/>
          <w:rtl/>
        </w:rPr>
        <w:t xml:space="preserve">"תקנות הרכב הקודמות" </w:t>
      </w:r>
      <w:r w:rsidR="000D6362">
        <w:rPr>
          <w:rStyle w:val="default"/>
          <w:rFonts w:cs="FrankRuehl" w:hint="cs"/>
          <w:rtl/>
        </w:rPr>
        <w:t>-</w:t>
      </w:r>
      <w:r w:rsidRPr="00C2055B">
        <w:rPr>
          <w:rStyle w:val="default"/>
          <w:rFonts w:cs="FrankRuehl"/>
          <w:rtl/>
        </w:rPr>
        <w:t xml:space="preserve"> תקנות מס הכנסה (ניכוי הוצאות רכב), תשמ"ז</w:t>
      </w:r>
      <w:r w:rsidR="000D6362">
        <w:rPr>
          <w:rStyle w:val="default"/>
          <w:rFonts w:cs="FrankRuehl" w:hint="cs"/>
          <w:rtl/>
        </w:rPr>
        <w:t>-</w:t>
      </w:r>
      <w:r w:rsidRPr="00C2055B">
        <w:rPr>
          <w:rStyle w:val="default"/>
          <w:rFonts w:cs="FrankRuehl"/>
          <w:rtl/>
        </w:rPr>
        <w:t xml:space="preserve">1987. </w:t>
      </w:r>
    </w:p>
    <w:p w14:paraId="36BB1C2E" w14:textId="77777777" w:rsidR="009F40AE" w:rsidRPr="00C2055B" w:rsidRDefault="009F40AE">
      <w:pPr>
        <w:pStyle w:val="P00"/>
        <w:spacing w:before="72"/>
        <w:ind w:left="0" w:right="1134"/>
        <w:rPr>
          <w:rStyle w:val="default"/>
          <w:rFonts w:cs="FrankRuehl"/>
          <w:rtl/>
        </w:rPr>
      </w:pPr>
      <w:bookmarkStart w:id="1" w:name="Seif1"/>
      <w:bookmarkEnd w:id="1"/>
      <w:r w:rsidRPr="000D6362">
        <w:rPr>
          <w:rFonts w:cs="Miriam"/>
          <w:lang w:val="he-IL"/>
        </w:rPr>
        <w:pict w14:anchorId="411E745B">
          <v:rect id="_x0000_s1027" style="position:absolute;left:0;text-align:left;margin-left:464.5pt;margin-top:8.05pt;width:75.05pt;height:19.45pt;z-index:251656704" o:allowincell="f" filled="f" stroked="f" strokecolor="lime" strokeweight=".25pt">
            <v:textbox inset="0,0,0,0">
              <w:txbxContent>
                <w:p w14:paraId="10B019FD" w14:textId="77777777" w:rsidR="009F40AE" w:rsidRDefault="009F40AE">
                  <w:pPr>
                    <w:spacing w:line="160" w:lineRule="exact"/>
                    <w:rPr>
                      <w:rFonts w:cs="Miriam"/>
                      <w:noProof/>
                      <w:sz w:val="18"/>
                      <w:szCs w:val="18"/>
                      <w:rtl/>
                    </w:rPr>
                  </w:pPr>
                  <w:r>
                    <w:rPr>
                      <w:rFonts w:cs="Miriam"/>
                      <w:sz w:val="18"/>
                      <w:szCs w:val="18"/>
                      <w:rtl/>
                    </w:rPr>
                    <w:t>חי</w:t>
                  </w:r>
                  <w:r>
                    <w:rPr>
                      <w:rFonts w:cs="Miriam" w:hint="cs"/>
                      <w:sz w:val="18"/>
                      <w:szCs w:val="18"/>
                      <w:rtl/>
                    </w:rPr>
                    <w:t xml:space="preserve">שוב רווח הון </w:t>
                  </w:r>
                  <w:r>
                    <w:rPr>
                      <w:rFonts w:cs="Miriam"/>
                      <w:sz w:val="18"/>
                      <w:szCs w:val="18"/>
                      <w:rtl/>
                    </w:rPr>
                    <w:t>במ</w:t>
                  </w:r>
                  <w:r>
                    <w:rPr>
                      <w:rFonts w:cs="Miriam" w:hint="cs"/>
                      <w:sz w:val="18"/>
                      <w:szCs w:val="18"/>
                      <w:rtl/>
                    </w:rPr>
                    <w:t>כירת רכב</w:t>
                  </w:r>
                </w:p>
              </w:txbxContent>
            </v:textbox>
            <w10:anchorlock/>
          </v:rect>
        </w:pict>
      </w:r>
      <w:r w:rsidRPr="000D6362">
        <w:rPr>
          <w:rStyle w:val="big-number"/>
          <w:rFonts w:cs="Miriam"/>
          <w:rtl/>
        </w:rPr>
        <w:t>2</w:t>
      </w:r>
      <w:r w:rsidRPr="000D6362">
        <w:rPr>
          <w:rStyle w:val="big-number"/>
          <w:rFonts w:cs="FrankRuehl"/>
          <w:sz w:val="26"/>
          <w:szCs w:val="26"/>
          <w:rtl/>
        </w:rPr>
        <w:t>.</w:t>
      </w:r>
      <w:r w:rsidRPr="000D6362">
        <w:rPr>
          <w:rStyle w:val="big-number"/>
          <w:rFonts w:cs="FrankRuehl"/>
          <w:sz w:val="26"/>
          <w:szCs w:val="26"/>
          <w:rtl/>
        </w:rPr>
        <w:tab/>
      </w:r>
      <w:r w:rsidRPr="00C2055B">
        <w:rPr>
          <w:rStyle w:val="default"/>
          <w:rFonts w:cs="FrankRuehl"/>
          <w:rtl/>
        </w:rPr>
        <w:t>במכירת רכב של יחיד שבגינו היה זכאי לתבוע הוצאות החזקת רכב יחולו ההוראות האלה:</w:t>
      </w:r>
    </w:p>
    <w:p w14:paraId="4334E60E" w14:textId="77777777" w:rsidR="009F40AE" w:rsidRPr="00C2055B" w:rsidRDefault="009F40AE" w:rsidP="000D6362">
      <w:pPr>
        <w:pStyle w:val="P11"/>
        <w:spacing w:before="72"/>
        <w:ind w:left="624" w:right="1134"/>
        <w:rPr>
          <w:rStyle w:val="default"/>
          <w:rFonts w:cs="FrankRuehl"/>
          <w:rtl/>
        </w:rPr>
      </w:pPr>
      <w:r w:rsidRPr="00C2055B">
        <w:rPr>
          <w:rStyle w:val="default"/>
          <w:rFonts w:cs="FrankRuehl"/>
          <w:rtl/>
        </w:rPr>
        <w:t>(1)</w:t>
      </w:r>
      <w:r w:rsidRPr="00C2055B">
        <w:rPr>
          <w:rStyle w:val="default"/>
          <w:rFonts w:cs="FrankRuehl"/>
          <w:rtl/>
        </w:rPr>
        <w:tab/>
        <w:t>יוכפלו המחיר המקורי והתמורה, כל אחד מהם, ביחס הקילומטרים ויראו את המכפלות כמחיר המקורי וכתמורה לצורך חישוב רווח ההון;</w:t>
      </w:r>
    </w:p>
    <w:p w14:paraId="5F6A7CA7" w14:textId="77777777" w:rsidR="009F40AE" w:rsidRPr="00C2055B" w:rsidRDefault="009F40AE">
      <w:pPr>
        <w:pStyle w:val="P11"/>
        <w:spacing w:before="72"/>
        <w:ind w:left="624" w:right="1134"/>
        <w:rPr>
          <w:rStyle w:val="default"/>
          <w:rFonts w:cs="FrankRuehl"/>
          <w:rtl/>
        </w:rPr>
      </w:pPr>
      <w:r w:rsidRPr="00C2055B">
        <w:rPr>
          <w:rStyle w:val="default"/>
          <w:rFonts w:cs="FrankRuehl"/>
          <w:rtl/>
        </w:rPr>
        <w:t>(2)</w:t>
      </w:r>
      <w:r w:rsidRPr="00C2055B">
        <w:rPr>
          <w:rStyle w:val="default"/>
          <w:rFonts w:cs="FrankRuehl"/>
          <w:rtl/>
        </w:rPr>
        <w:tab/>
        <w:t>ינוכה מהמחיר המקורי רק סכום הפחת שהותר על פי תקנות הרכב;</w:t>
      </w:r>
    </w:p>
    <w:p w14:paraId="133CFD25" w14:textId="77777777" w:rsidR="009F40AE" w:rsidRPr="00C2055B" w:rsidRDefault="009F40AE" w:rsidP="000D6362">
      <w:pPr>
        <w:pStyle w:val="P11"/>
        <w:spacing w:before="72"/>
        <w:ind w:left="624" w:right="1134"/>
        <w:rPr>
          <w:rStyle w:val="default"/>
          <w:rFonts w:cs="FrankRuehl"/>
          <w:rtl/>
        </w:rPr>
      </w:pPr>
      <w:r w:rsidRPr="00C2055B">
        <w:rPr>
          <w:rStyle w:val="default"/>
          <w:rFonts w:cs="FrankRuehl"/>
          <w:rtl/>
        </w:rPr>
        <w:t>(3)</w:t>
      </w:r>
      <w:r w:rsidRPr="00C2055B">
        <w:rPr>
          <w:rStyle w:val="default"/>
          <w:rFonts w:cs="FrankRuehl"/>
          <w:rtl/>
        </w:rPr>
        <w:tab/>
        <w:t xml:space="preserve">יראו כמחיר מקורי של רכב ששימש את היחיד קודם ליום כ"ח בטבת תשנ"ה (31 בדצמבר 1994) (להלן </w:t>
      </w:r>
      <w:r w:rsidR="000D6362">
        <w:rPr>
          <w:rStyle w:val="default"/>
          <w:rFonts w:cs="FrankRuehl" w:hint="cs"/>
          <w:rtl/>
        </w:rPr>
        <w:t>-</w:t>
      </w:r>
      <w:r w:rsidRPr="00C2055B">
        <w:rPr>
          <w:rStyle w:val="default"/>
          <w:rFonts w:cs="FrankRuehl"/>
          <w:rtl/>
        </w:rPr>
        <w:t xml:space="preserve"> היום הקובע) אשר בשלו לא היה זכאי לתבוע הוצאות קבועות על פי תקנות הרכב הקודמות את סכום שוויו של הרכב כיום הקובע ומועד זה יחושב כיום רכישה של רכב כאמור.</w:t>
      </w:r>
    </w:p>
    <w:p w14:paraId="25C82C31" w14:textId="77777777" w:rsidR="009F40AE" w:rsidRPr="00C2055B" w:rsidRDefault="009F40AE">
      <w:pPr>
        <w:pStyle w:val="P00"/>
        <w:spacing w:before="72"/>
        <w:ind w:left="0" w:right="1134"/>
        <w:rPr>
          <w:rStyle w:val="default"/>
          <w:rFonts w:cs="FrankRuehl"/>
          <w:rtl/>
        </w:rPr>
      </w:pPr>
      <w:bookmarkStart w:id="2" w:name="Seif2"/>
      <w:bookmarkEnd w:id="2"/>
      <w:r w:rsidRPr="000D6362">
        <w:rPr>
          <w:rFonts w:cs="Miriam"/>
          <w:lang w:val="he-IL"/>
        </w:rPr>
        <w:pict w14:anchorId="4862A28C">
          <v:rect id="_x0000_s1028" style="position:absolute;left:0;text-align:left;margin-left:464.5pt;margin-top:8.05pt;width:75.05pt;height:13.1pt;z-index:251657728" o:allowincell="f" filled="f" stroked="f" strokecolor="lime" strokeweight=".25pt">
            <v:textbox inset="0,0,0,0">
              <w:txbxContent>
                <w:p w14:paraId="421E01CD" w14:textId="77777777" w:rsidR="009F40AE" w:rsidRDefault="009F40AE">
                  <w:pPr>
                    <w:spacing w:line="160" w:lineRule="exact"/>
                    <w:rPr>
                      <w:rFonts w:cs="Miriam"/>
                      <w:noProof/>
                      <w:sz w:val="18"/>
                      <w:szCs w:val="18"/>
                      <w:rtl/>
                    </w:rPr>
                  </w:pPr>
                  <w:r>
                    <w:rPr>
                      <w:rFonts w:cs="Miriam"/>
                      <w:sz w:val="18"/>
                      <w:szCs w:val="18"/>
                      <w:rtl/>
                    </w:rPr>
                    <w:t>ית</w:t>
                  </w:r>
                  <w:r>
                    <w:rPr>
                      <w:rFonts w:cs="Miriam" w:hint="cs"/>
                      <w:sz w:val="18"/>
                      <w:szCs w:val="18"/>
                      <w:rtl/>
                    </w:rPr>
                    <w:t>רת המחיר המקורי</w:t>
                  </w:r>
                </w:p>
              </w:txbxContent>
            </v:textbox>
            <w10:anchorlock/>
          </v:rect>
        </w:pict>
      </w:r>
      <w:r w:rsidRPr="000D6362">
        <w:rPr>
          <w:rStyle w:val="big-number"/>
          <w:rFonts w:cs="Miriam"/>
          <w:rtl/>
        </w:rPr>
        <w:t>3</w:t>
      </w:r>
      <w:r w:rsidRPr="000D6362">
        <w:rPr>
          <w:rStyle w:val="big-number"/>
          <w:rFonts w:cs="FrankRuehl"/>
          <w:sz w:val="26"/>
          <w:szCs w:val="26"/>
          <w:rtl/>
        </w:rPr>
        <w:t>.</w:t>
      </w:r>
      <w:r w:rsidRPr="000D6362">
        <w:rPr>
          <w:rStyle w:val="big-number"/>
          <w:rFonts w:cs="FrankRuehl"/>
          <w:sz w:val="26"/>
          <w:szCs w:val="26"/>
          <w:rtl/>
        </w:rPr>
        <w:tab/>
      </w:r>
      <w:r w:rsidRPr="00C2055B">
        <w:rPr>
          <w:rStyle w:val="default"/>
          <w:rFonts w:cs="FrankRuehl"/>
          <w:rtl/>
        </w:rPr>
        <w:t>לצורך חישוב רווח ההון במכירת רכב שתקנה 2 אינה חלה עליו, ינוכה מהמחיר המקורי כל סכום פחת לרבות כזה שלא הותר בניכוי על פי תקנות הרכב.</w:t>
      </w:r>
    </w:p>
    <w:p w14:paraId="0B540CAD" w14:textId="77777777" w:rsidR="009F40AE" w:rsidRPr="00C2055B" w:rsidRDefault="009F40AE">
      <w:pPr>
        <w:pStyle w:val="P00"/>
        <w:spacing w:before="72"/>
        <w:ind w:left="0" w:right="1134"/>
        <w:rPr>
          <w:rStyle w:val="default"/>
          <w:rFonts w:cs="FrankRuehl"/>
          <w:rtl/>
        </w:rPr>
      </w:pPr>
      <w:bookmarkStart w:id="3" w:name="Seif3"/>
      <w:bookmarkEnd w:id="3"/>
      <w:r w:rsidRPr="000D6362">
        <w:rPr>
          <w:rFonts w:cs="Miriam"/>
          <w:lang w:val="he-IL"/>
        </w:rPr>
        <w:pict w14:anchorId="0B02A663">
          <v:rect id="_x0000_s1029" style="position:absolute;left:0;text-align:left;margin-left:464.5pt;margin-top:8.05pt;width:75.05pt;height:16.5pt;z-index:251658752" o:allowincell="f" filled="f" stroked="f" strokecolor="lime" strokeweight=".25pt">
            <v:textbox inset="0,0,0,0">
              <w:txbxContent>
                <w:p w14:paraId="4348E630" w14:textId="77777777" w:rsidR="009F40AE" w:rsidRDefault="009F40AE">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0D6362">
        <w:rPr>
          <w:rStyle w:val="big-number"/>
          <w:rFonts w:cs="Miriam"/>
          <w:rtl/>
        </w:rPr>
        <w:t>4</w:t>
      </w:r>
      <w:r w:rsidRPr="000D6362">
        <w:rPr>
          <w:rStyle w:val="big-number"/>
          <w:rFonts w:cs="FrankRuehl"/>
          <w:sz w:val="26"/>
          <w:szCs w:val="26"/>
          <w:rtl/>
        </w:rPr>
        <w:t>.</w:t>
      </w:r>
      <w:r w:rsidRPr="000D6362">
        <w:rPr>
          <w:rStyle w:val="big-number"/>
          <w:rFonts w:cs="FrankRuehl"/>
          <w:sz w:val="26"/>
          <w:szCs w:val="26"/>
          <w:rtl/>
        </w:rPr>
        <w:tab/>
      </w:r>
      <w:r w:rsidRPr="00C2055B">
        <w:rPr>
          <w:rStyle w:val="default"/>
          <w:rFonts w:cs="FrankRuehl"/>
          <w:rtl/>
        </w:rPr>
        <w:t>תקנות אלה יחולו לגבי רכב שנמכר בשנת המס 1996 ואילך.</w:t>
      </w:r>
    </w:p>
    <w:p w14:paraId="3276F728" w14:textId="77777777" w:rsidR="009F40AE" w:rsidRDefault="009F40AE">
      <w:pPr>
        <w:pStyle w:val="P00"/>
        <w:spacing w:before="72"/>
        <w:ind w:left="0" w:right="1134"/>
        <w:rPr>
          <w:rStyle w:val="default"/>
          <w:rFonts w:cs="FrankRuehl" w:hint="cs"/>
          <w:rtl/>
        </w:rPr>
      </w:pPr>
      <w:bookmarkStart w:id="4" w:name="Seif4"/>
      <w:bookmarkEnd w:id="4"/>
      <w:r w:rsidRPr="000D6362">
        <w:rPr>
          <w:rFonts w:cs="Miriam"/>
          <w:lang w:val="he-IL"/>
        </w:rPr>
        <w:pict w14:anchorId="7FB5C90D">
          <v:rect id="_x0000_s1030" style="position:absolute;left:0;text-align:left;margin-left:464.5pt;margin-top:8.05pt;width:75.05pt;height:14.9pt;z-index:251659776" o:allowincell="f" filled="f" stroked="f" strokecolor="lime" strokeweight=".25pt">
            <v:textbox inset="0,0,0,0">
              <w:txbxContent>
                <w:p w14:paraId="2BAA235A" w14:textId="77777777" w:rsidR="009F40AE" w:rsidRDefault="009F40AE">
                  <w:pPr>
                    <w:spacing w:line="160" w:lineRule="exact"/>
                    <w:rPr>
                      <w:rFonts w:cs="Miriam"/>
                      <w:noProof/>
                      <w:sz w:val="18"/>
                      <w:szCs w:val="18"/>
                      <w:rtl/>
                    </w:rPr>
                  </w:pPr>
                  <w:r>
                    <w:rPr>
                      <w:rFonts w:cs="Miriam"/>
                      <w:sz w:val="18"/>
                      <w:szCs w:val="18"/>
                      <w:rtl/>
                    </w:rPr>
                    <w:t>הו</w:t>
                  </w:r>
                  <w:r>
                    <w:rPr>
                      <w:rFonts w:cs="Miriam" w:hint="cs"/>
                      <w:sz w:val="18"/>
                      <w:szCs w:val="18"/>
                      <w:rtl/>
                    </w:rPr>
                    <w:t>ראות מ</w:t>
                  </w:r>
                  <w:r>
                    <w:rPr>
                      <w:rFonts w:cs="Miriam"/>
                      <w:sz w:val="18"/>
                      <w:szCs w:val="18"/>
                      <w:rtl/>
                    </w:rPr>
                    <w:t>עב</w:t>
                  </w:r>
                  <w:r>
                    <w:rPr>
                      <w:rFonts w:cs="Miriam" w:hint="cs"/>
                      <w:sz w:val="18"/>
                      <w:szCs w:val="18"/>
                      <w:rtl/>
                    </w:rPr>
                    <w:t>ר</w:t>
                  </w:r>
                </w:p>
              </w:txbxContent>
            </v:textbox>
            <w10:anchorlock/>
          </v:rect>
        </w:pict>
      </w:r>
      <w:r w:rsidRPr="000D6362">
        <w:rPr>
          <w:rStyle w:val="big-number"/>
          <w:rFonts w:cs="Miriam"/>
          <w:rtl/>
        </w:rPr>
        <w:t>5</w:t>
      </w:r>
      <w:r w:rsidRPr="000D6362">
        <w:rPr>
          <w:rStyle w:val="big-number"/>
          <w:rFonts w:cs="FrankRuehl"/>
          <w:sz w:val="26"/>
          <w:szCs w:val="26"/>
          <w:rtl/>
        </w:rPr>
        <w:t>.</w:t>
      </w:r>
      <w:r w:rsidRPr="000D6362">
        <w:rPr>
          <w:rStyle w:val="big-number"/>
          <w:rFonts w:cs="FrankRuehl"/>
          <w:sz w:val="26"/>
          <w:szCs w:val="26"/>
          <w:rtl/>
        </w:rPr>
        <w:tab/>
      </w:r>
      <w:r w:rsidR="000D6362">
        <w:rPr>
          <w:rStyle w:val="default"/>
          <w:rFonts w:cs="FrankRuehl"/>
          <w:rtl/>
        </w:rPr>
        <w:t>(א)</w:t>
      </w:r>
      <w:r w:rsidR="000D6362">
        <w:rPr>
          <w:rStyle w:val="default"/>
          <w:rFonts w:cs="FrankRuehl"/>
          <w:rtl/>
        </w:rPr>
        <w:tab/>
        <w:t>בתקנה זו –</w:t>
      </w:r>
    </w:p>
    <w:p w14:paraId="18F476C0" w14:textId="77777777" w:rsidR="009F40AE" w:rsidRPr="00C2055B" w:rsidRDefault="009F40AE" w:rsidP="000D6362">
      <w:pPr>
        <w:pStyle w:val="P00"/>
        <w:spacing w:before="72"/>
        <w:ind w:left="0" w:right="1134"/>
        <w:rPr>
          <w:rStyle w:val="default"/>
          <w:rFonts w:cs="FrankRuehl"/>
          <w:rtl/>
        </w:rPr>
      </w:pPr>
      <w:r w:rsidRPr="00C2055B">
        <w:rPr>
          <w:rFonts w:cs="FrankRuehl"/>
          <w:sz w:val="26"/>
          <w:rtl/>
        </w:rPr>
        <w:tab/>
      </w:r>
      <w:r w:rsidRPr="00C2055B">
        <w:rPr>
          <w:rStyle w:val="default"/>
          <w:rFonts w:cs="FrankRuehl"/>
          <w:rtl/>
        </w:rPr>
        <w:t xml:space="preserve">"רכב", "רכב פרטי", "רכב מסחרי", "הוצאות החזקת רכב" ו"מספר ק"מ שנתי" </w:t>
      </w:r>
      <w:r w:rsidR="000D6362">
        <w:rPr>
          <w:rStyle w:val="default"/>
          <w:rFonts w:cs="FrankRuehl" w:hint="cs"/>
          <w:rtl/>
        </w:rPr>
        <w:t>-</w:t>
      </w:r>
      <w:r w:rsidRPr="00C2055B">
        <w:rPr>
          <w:rStyle w:val="default"/>
          <w:rFonts w:cs="FrankRuehl"/>
          <w:rtl/>
        </w:rPr>
        <w:t xml:space="preserve"> כהגדרתם בתקנות הרכב הקודמות;</w:t>
      </w:r>
    </w:p>
    <w:p w14:paraId="757C6695" w14:textId="77777777" w:rsidR="009F40AE" w:rsidRPr="00C2055B" w:rsidRDefault="009F40AE" w:rsidP="000D6362">
      <w:pPr>
        <w:pStyle w:val="P00"/>
        <w:spacing w:before="72"/>
        <w:ind w:left="0" w:right="1134"/>
        <w:rPr>
          <w:rStyle w:val="default"/>
          <w:rFonts w:cs="FrankRuehl"/>
          <w:rtl/>
        </w:rPr>
      </w:pPr>
      <w:r w:rsidRPr="00C2055B">
        <w:rPr>
          <w:rFonts w:cs="FrankRuehl"/>
          <w:sz w:val="26"/>
          <w:rtl/>
        </w:rPr>
        <w:tab/>
      </w:r>
      <w:r w:rsidRPr="00C2055B">
        <w:rPr>
          <w:rStyle w:val="default"/>
          <w:rFonts w:cs="FrankRuehl"/>
          <w:rtl/>
        </w:rPr>
        <w:t xml:space="preserve">"יום התחילה" </w:t>
      </w:r>
      <w:r w:rsidR="000D6362">
        <w:rPr>
          <w:rStyle w:val="default"/>
          <w:rFonts w:cs="FrankRuehl" w:hint="cs"/>
          <w:rtl/>
        </w:rPr>
        <w:t>-</w:t>
      </w:r>
      <w:r w:rsidRPr="00C2055B">
        <w:rPr>
          <w:rStyle w:val="default"/>
          <w:rFonts w:cs="FrankRuehl"/>
          <w:rtl/>
        </w:rPr>
        <w:t xml:space="preserve"> ט' בטבת תשנ"ה (1 בינואר 1996) וברכב מסחרי שחלה עליו תקנה 9(ב) לתקנות הרכב </w:t>
      </w:r>
      <w:r w:rsidR="000D6362">
        <w:rPr>
          <w:rStyle w:val="default"/>
          <w:rFonts w:cs="FrankRuehl" w:hint="cs"/>
          <w:rtl/>
        </w:rPr>
        <w:t>-</w:t>
      </w:r>
      <w:r w:rsidRPr="00C2055B">
        <w:rPr>
          <w:rStyle w:val="default"/>
          <w:rFonts w:cs="FrankRuehl"/>
          <w:rtl/>
        </w:rPr>
        <w:t xml:space="preserve"> יום ג' בטבת תשנ"ח (1 בינואר 1998). </w:t>
      </w:r>
    </w:p>
    <w:p w14:paraId="4078633B" w14:textId="77777777" w:rsidR="009F40AE" w:rsidRPr="00C2055B" w:rsidRDefault="009F40AE" w:rsidP="000D6362">
      <w:pPr>
        <w:pStyle w:val="P00"/>
        <w:spacing w:before="72"/>
        <w:ind w:left="0" w:right="1134"/>
        <w:rPr>
          <w:rStyle w:val="default"/>
          <w:rFonts w:cs="FrankRuehl"/>
          <w:rtl/>
        </w:rPr>
      </w:pPr>
      <w:r w:rsidRPr="00C2055B">
        <w:rPr>
          <w:rFonts w:cs="FrankRuehl"/>
          <w:sz w:val="26"/>
          <w:rtl/>
        </w:rPr>
        <w:tab/>
      </w:r>
      <w:r w:rsidRPr="00C2055B">
        <w:rPr>
          <w:rStyle w:val="default"/>
          <w:rFonts w:cs="FrankRuehl"/>
          <w:rtl/>
        </w:rPr>
        <w:t>(ב)</w:t>
      </w:r>
      <w:r w:rsidRPr="00C2055B">
        <w:rPr>
          <w:rStyle w:val="default"/>
          <w:rFonts w:cs="FrankRuehl"/>
          <w:rtl/>
        </w:rPr>
        <w:tab/>
        <w:t xml:space="preserve">לענין מכירת רכב של יחיד שבגינו תבע הוצאות החזקת רכב לפני יום התחילה, יראו לענין התקופה שלפני יום התחילה, על אף האמור בתקנה 1, כאילו היתה הגדרת "מספר הקילומטרים השנתי המוכר" </w:t>
      </w:r>
      <w:r w:rsidR="000D6362">
        <w:rPr>
          <w:rStyle w:val="default"/>
          <w:rFonts w:cs="FrankRuehl" w:hint="cs"/>
          <w:rtl/>
        </w:rPr>
        <w:t>-</w:t>
      </w:r>
      <w:r w:rsidRPr="00C2055B">
        <w:rPr>
          <w:rStyle w:val="default"/>
          <w:rFonts w:cs="FrankRuehl"/>
          <w:rtl/>
        </w:rPr>
        <w:t xml:space="preserve"> מספר הקילומטרים העודף על 36,000 וברכב מסחרי או של בית ספר לנהיגה </w:t>
      </w:r>
      <w:r w:rsidR="000D6362">
        <w:rPr>
          <w:rStyle w:val="default"/>
          <w:rFonts w:cs="FrankRuehl" w:hint="cs"/>
          <w:rtl/>
        </w:rPr>
        <w:t>-</w:t>
      </w:r>
      <w:r w:rsidRPr="00C2055B">
        <w:rPr>
          <w:rStyle w:val="default"/>
          <w:rFonts w:cs="FrankRuehl"/>
          <w:rtl/>
        </w:rPr>
        <w:t xml:space="preserve"> מספר הקילומטרים השנתי.</w:t>
      </w:r>
    </w:p>
    <w:p w14:paraId="6583A712" w14:textId="77777777" w:rsidR="009F40AE" w:rsidRPr="00C2055B" w:rsidRDefault="009F40AE">
      <w:pPr>
        <w:pStyle w:val="P00"/>
        <w:spacing w:before="72"/>
        <w:ind w:left="0" w:right="1134"/>
        <w:rPr>
          <w:rStyle w:val="default"/>
          <w:rFonts w:cs="FrankRuehl"/>
          <w:rtl/>
        </w:rPr>
      </w:pPr>
      <w:r w:rsidRPr="00C2055B">
        <w:rPr>
          <w:rFonts w:cs="FrankRuehl"/>
          <w:sz w:val="26"/>
          <w:rtl/>
        </w:rPr>
        <w:tab/>
      </w:r>
      <w:r w:rsidRPr="00C2055B">
        <w:rPr>
          <w:rStyle w:val="default"/>
          <w:rFonts w:cs="FrankRuehl"/>
          <w:rtl/>
        </w:rPr>
        <w:t>(ג)</w:t>
      </w:r>
      <w:r w:rsidRPr="00C2055B">
        <w:rPr>
          <w:rStyle w:val="default"/>
          <w:rFonts w:cs="FrankRuehl"/>
          <w:rtl/>
        </w:rPr>
        <w:tab/>
        <w:t>לענין מכירת רכב שנרכש לפני יום התחילה יחולו לגבי התקופה שלפני יום התחילה תקנות 2(2) ו-3 כאילו בכל מקום, במקום "תקנות הרכב" נאמר "התקנות הקודמות כאילו לא בוטלו בתקנות הרכב".</w:t>
      </w:r>
    </w:p>
    <w:p w14:paraId="06AD592D" w14:textId="77777777" w:rsidR="009F40AE" w:rsidRPr="000D6362" w:rsidRDefault="009F40AE">
      <w:pPr>
        <w:pStyle w:val="P00"/>
        <w:spacing w:before="72"/>
        <w:ind w:left="0" w:right="1134"/>
        <w:rPr>
          <w:rStyle w:val="default"/>
          <w:rFonts w:cs="FrankRuehl" w:hint="cs"/>
          <w:rtl/>
        </w:rPr>
      </w:pPr>
    </w:p>
    <w:p w14:paraId="4342BB96" w14:textId="77777777" w:rsidR="000D6362" w:rsidRPr="000D6362" w:rsidRDefault="000D6362">
      <w:pPr>
        <w:pStyle w:val="P00"/>
        <w:spacing w:before="72"/>
        <w:ind w:left="0" w:right="1134"/>
        <w:rPr>
          <w:rStyle w:val="default"/>
          <w:rFonts w:cs="FrankRuehl" w:hint="cs"/>
          <w:rtl/>
        </w:rPr>
      </w:pPr>
    </w:p>
    <w:p w14:paraId="722331B8" w14:textId="77777777" w:rsidR="009F40AE" w:rsidRDefault="009F40AE">
      <w:pPr>
        <w:pStyle w:val="sig-0"/>
        <w:ind w:left="0" w:right="1134"/>
        <w:rPr>
          <w:rFonts w:cs="FrankRuehl"/>
          <w:sz w:val="26"/>
          <w:rtl/>
        </w:rPr>
      </w:pPr>
      <w:r>
        <w:rPr>
          <w:rFonts w:cs="FrankRuehl"/>
          <w:sz w:val="26"/>
          <w:rtl/>
        </w:rPr>
        <w:t>י"</w:t>
      </w:r>
      <w:r>
        <w:rPr>
          <w:rFonts w:cs="FrankRuehl" w:hint="cs"/>
          <w:sz w:val="26"/>
          <w:rtl/>
        </w:rPr>
        <w:t>ח בשבט תשנ"ז (26 בינואר 1997)</w:t>
      </w:r>
      <w:r>
        <w:rPr>
          <w:rFonts w:cs="FrankRuehl"/>
          <w:sz w:val="26"/>
          <w:rtl/>
        </w:rPr>
        <w:tab/>
        <w:t>ד</w:t>
      </w:r>
      <w:r>
        <w:rPr>
          <w:rFonts w:cs="FrankRuehl" w:hint="cs"/>
          <w:sz w:val="26"/>
          <w:rtl/>
        </w:rPr>
        <w:t>ן מרידור</w:t>
      </w:r>
    </w:p>
    <w:p w14:paraId="4B3763F1" w14:textId="77777777" w:rsidR="009F40AE" w:rsidRDefault="009F40A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2701F762" w14:textId="77777777" w:rsidR="009F40AE" w:rsidRPr="000D6362" w:rsidRDefault="009F40AE" w:rsidP="000D6362">
      <w:pPr>
        <w:pStyle w:val="P00"/>
        <w:spacing w:before="72"/>
        <w:ind w:left="0" w:right="1134"/>
        <w:rPr>
          <w:rStyle w:val="default"/>
          <w:rFonts w:cs="FrankRuehl"/>
          <w:rtl/>
        </w:rPr>
      </w:pPr>
    </w:p>
    <w:p w14:paraId="117C347C" w14:textId="77777777" w:rsidR="009F40AE" w:rsidRPr="000D6362" w:rsidRDefault="009F40AE" w:rsidP="000D6362">
      <w:pPr>
        <w:pStyle w:val="P00"/>
        <w:spacing w:before="72"/>
        <w:ind w:left="0" w:right="1134"/>
        <w:rPr>
          <w:rStyle w:val="default"/>
          <w:rFonts w:cs="FrankRuehl"/>
          <w:rtl/>
        </w:rPr>
      </w:pPr>
    </w:p>
    <w:p w14:paraId="64F63044" w14:textId="77777777" w:rsidR="009F40AE" w:rsidRPr="000D6362" w:rsidRDefault="009F40AE" w:rsidP="000D6362">
      <w:pPr>
        <w:pStyle w:val="P00"/>
        <w:spacing w:before="72"/>
        <w:ind w:left="0" w:right="1134"/>
        <w:rPr>
          <w:rStyle w:val="default"/>
          <w:rFonts w:cs="FrankRuehl"/>
          <w:rtl/>
        </w:rPr>
      </w:pPr>
      <w:bookmarkStart w:id="5" w:name="LawPartEnd"/>
    </w:p>
    <w:bookmarkEnd w:id="5"/>
    <w:p w14:paraId="53A69BE2" w14:textId="77777777" w:rsidR="009F40AE" w:rsidRPr="000D6362" w:rsidRDefault="009F40AE" w:rsidP="000D6362">
      <w:pPr>
        <w:pStyle w:val="P00"/>
        <w:spacing w:before="72"/>
        <w:ind w:left="0" w:right="1134"/>
        <w:rPr>
          <w:rStyle w:val="default"/>
          <w:rFonts w:cs="FrankRuehl"/>
          <w:rtl/>
        </w:rPr>
      </w:pPr>
    </w:p>
    <w:sectPr w:rsidR="009F40AE" w:rsidRPr="000D636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40E0" w14:textId="77777777" w:rsidR="00235ADC" w:rsidRDefault="00235ADC">
      <w:r>
        <w:separator/>
      </w:r>
    </w:p>
  </w:endnote>
  <w:endnote w:type="continuationSeparator" w:id="0">
    <w:p w14:paraId="0E8264A0" w14:textId="77777777" w:rsidR="00235ADC" w:rsidRDefault="00235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BB36A" w14:textId="77777777" w:rsidR="009F40AE" w:rsidRDefault="009F40AE">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19BEB051" w14:textId="77777777" w:rsidR="009F40AE" w:rsidRDefault="009F40AE">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7EDFDA" w14:textId="77777777" w:rsidR="009F40AE" w:rsidRDefault="009F40AE">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6362">
      <w:rPr>
        <w:rFonts w:cs="TopType Jerushalmi"/>
        <w:noProof/>
        <w:color w:val="000000"/>
        <w:sz w:val="14"/>
        <w:szCs w:val="14"/>
      </w:rPr>
      <w:t>C:\Yael\hakika\Revadim\255_458.doc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00D6" w14:textId="77777777" w:rsidR="009F40AE" w:rsidRDefault="009F40AE">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8E1DB4">
      <w:rPr>
        <w:rFonts w:hAnsi="FrankRuehl" w:cs="FrankRuehl"/>
        <w:noProof/>
        <w:rtl/>
      </w:rPr>
      <w:t>2</w:t>
    </w:r>
    <w:r>
      <w:rPr>
        <w:rFonts w:hAnsi="FrankRuehl" w:cs="FrankRuehl"/>
        <w:rtl/>
      </w:rPr>
      <w:fldChar w:fldCharType="end"/>
    </w:r>
  </w:p>
  <w:p w14:paraId="41B4E9C8" w14:textId="77777777" w:rsidR="009F40AE" w:rsidRDefault="009F40AE">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7987E7" w14:textId="77777777" w:rsidR="009F40AE" w:rsidRDefault="009F40AE">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6362">
      <w:rPr>
        <w:rFonts w:cs="TopType Jerushalmi"/>
        <w:noProof/>
        <w:color w:val="000000"/>
        <w:sz w:val="14"/>
        <w:szCs w:val="14"/>
      </w:rPr>
      <w:t>C:\Yael\hakika\Revadim\255_458.doc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F48D" w14:textId="77777777" w:rsidR="00235ADC" w:rsidRDefault="00235ADC" w:rsidP="000D6362">
      <w:pPr>
        <w:spacing w:before="60"/>
        <w:ind w:right="1134"/>
      </w:pPr>
      <w:r>
        <w:separator/>
      </w:r>
    </w:p>
  </w:footnote>
  <w:footnote w:type="continuationSeparator" w:id="0">
    <w:p w14:paraId="49F751B1" w14:textId="77777777" w:rsidR="00235ADC" w:rsidRDefault="00235ADC">
      <w:r>
        <w:continuationSeparator/>
      </w:r>
    </w:p>
  </w:footnote>
  <w:footnote w:id="1">
    <w:p w14:paraId="25DD657D" w14:textId="77777777" w:rsidR="000D6362" w:rsidRPr="000D6362" w:rsidRDefault="000D6362" w:rsidP="000D63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0D6362">
        <w:rPr>
          <w:rFonts w:cs="FrankRuehl"/>
          <w:rtl/>
        </w:rPr>
        <w:t xml:space="preserve">* </w:t>
      </w:r>
      <w:r w:rsidRPr="00C2055B">
        <w:rPr>
          <w:rFonts w:cs="FrankRuehl"/>
          <w:rtl/>
        </w:rPr>
        <w:t>פו</w:t>
      </w:r>
      <w:r w:rsidRPr="00C2055B">
        <w:rPr>
          <w:rFonts w:cs="FrankRuehl" w:hint="cs"/>
          <w:rtl/>
        </w:rPr>
        <w:t>רסמו</w:t>
      </w:r>
      <w:r w:rsidRPr="00C2055B">
        <w:rPr>
          <w:rFonts w:cs="FrankRuehl"/>
          <w:rtl/>
        </w:rPr>
        <w:t xml:space="preserve"> </w:t>
      </w:r>
      <w:hyperlink r:id="rId1" w:history="1">
        <w:r w:rsidRPr="00C2055B">
          <w:rPr>
            <w:rStyle w:val="Hyperlink"/>
            <w:rFonts w:cs="FrankRuehl" w:hint="cs"/>
            <w:rtl/>
          </w:rPr>
          <w:t>ק"ת תשנ"ז מס' 5812</w:t>
        </w:r>
      </w:hyperlink>
      <w:r w:rsidRPr="00C2055B">
        <w:rPr>
          <w:rFonts w:cs="FrankRuehl" w:hint="cs"/>
          <w:rtl/>
        </w:rPr>
        <w:t xml:space="preserve"> מיום 11.2.1997 </w:t>
      </w:r>
      <w:r w:rsidRPr="00C2055B">
        <w:rPr>
          <w:rFonts w:cs="FrankRuehl"/>
          <w:rtl/>
        </w:rPr>
        <w:t>עמ</w:t>
      </w:r>
      <w:r w:rsidRPr="00C2055B">
        <w:rPr>
          <w:rFonts w:cs="FrankRuehl" w:hint="cs"/>
          <w:rtl/>
        </w:rPr>
        <w:t>' 409.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5D93" w14:textId="77777777" w:rsidR="009F40AE" w:rsidRDefault="009F40A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(חישוב רווח הון במכירת רכב), תשנ"ז–1997</w:t>
    </w:r>
  </w:p>
  <w:p w14:paraId="2117A287" w14:textId="77777777" w:rsidR="009F40AE" w:rsidRDefault="009F40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C2CB85" w14:textId="77777777" w:rsidR="009F40AE" w:rsidRDefault="009F40A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B9ED" w14:textId="77777777" w:rsidR="009F40AE" w:rsidRDefault="009F40AE" w:rsidP="000D636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(חישוב רווח הון במכירת רכב), תשנ"ז</w:t>
    </w:r>
    <w:r w:rsidR="000D6362">
      <w:rPr>
        <w:rFonts w:hAnsi="FrankRuehl" w:cs="FrankRuehl" w:hint="cs"/>
        <w:color w:val="000000"/>
        <w:sz w:val="28"/>
        <w:szCs w:val="28"/>
        <w:rtl/>
      </w:rPr>
      <w:t>-</w:t>
    </w:r>
    <w:r>
      <w:rPr>
        <w:rFonts w:hAnsi="FrankRuehl" w:cs="FrankRuehl"/>
        <w:color w:val="000000"/>
        <w:sz w:val="28"/>
        <w:szCs w:val="28"/>
        <w:rtl/>
      </w:rPr>
      <w:t>1997</w:t>
    </w:r>
  </w:p>
  <w:p w14:paraId="362E964F" w14:textId="77777777" w:rsidR="009F40AE" w:rsidRDefault="009F40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492D0A" w14:textId="77777777" w:rsidR="009F40AE" w:rsidRDefault="009F40A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055B"/>
    <w:rsid w:val="000D6362"/>
    <w:rsid w:val="0018614F"/>
    <w:rsid w:val="00235ADC"/>
    <w:rsid w:val="003B0F21"/>
    <w:rsid w:val="004F0E47"/>
    <w:rsid w:val="0054608B"/>
    <w:rsid w:val="005C55CE"/>
    <w:rsid w:val="006C25BB"/>
    <w:rsid w:val="008E1DB4"/>
    <w:rsid w:val="009F40AE"/>
    <w:rsid w:val="00C2055B"/>
    <w:rsid w:val="00F862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6B5F97"/>
  <w15:chartTrackingRefBased/>
  <w15:docId w15:val="{E93136C7-7B67-49EE-9AC9-A0CB36C5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0D6362"/>
    <w:rPr>
      <w:sz w:val="20"/>
      <w:szCs w:val="20"/>
    </w:rPr>
  </w:style>
  <w:style w:type="character" w:styleId="a6">
    <w:name w:val="footnote reference"/>
    <w:basedOn w:val="a0"/>
    <w:semiHidden/>
    <w:rsid w:val="000D63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2786</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8192002</vt:i4>
      </vt:variant>
      <vt:variant>
        <vt:i4>0</vt:i4>
      </vt:variant>
      <vt:variant>
        <vt:i4>0</vt:i4>
      </vt:variant>
      <vt:variant>
        <vt:i4>5</vt:i4>
      </vt:variant>
      <vt:variant>
        <vt:lpwstr>http://www.nevo.co.il/Law_word/law06/TAK-5812.pdf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(חישוב רווח הון במכירת רכב), תשנ"ז-1997</vt:lpwstr>
  </property>
  <property fmtid="{D5CDD505-2E9C-101B-9397-08002B2CF9AE}" pid="5" name="LAWNUMBER">
    <vt:lpwstr>0458</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98X</vt:lpwstr>
  </property>
  <property fmtid="{D5CDD505-2E9C-101B-9397-08002B2CF9AE}" pid="9" name="MEKOR_NAME2">
    <vt:lpwstr>חוק מס הכנסה (תיאומים בשל אינפלציה)</vt:lpwstr>
  </property>
  <property fmtid="{D5CDD505-2E9C-101B-9397-08002B2CF9AE}" pid="10" name="MEKOR_SAIF2">
    <vt:lpwstr>3X</vt:lpwstr>
  </property>
  <property fmtid="{D5CDD505-2E9C-101B-9397-08002B2CF9AE}" pid="11" name="NOSE11">
    <vt:lpwstr>מסים</vt:lpwstr>
  </property>
  <property fmtid="{D5CDD505-2E9C-101B-9397-08002B2CF9AE}" pid="12" name="NOSE21">
    <vt:lpwstr>מס הכנסה</vt:lpwstr>
  </property>
  <property fmtid="{D5CDD505-2E9C-101B-9397-08002B2CF9AE}" pid="13" name="NOSE31">
    <vt:lpwstr>מיסוי הון</vt:lpwstr>
  </property>
  <property fmtid="{D5CDD505-2E9C-101B-9397-08002B2CF9AE}" pid="14" name="NOSE41">
    <vt:lpwstr>חישוב רווח הון</vt:lpwstr>
  </property>
  <property fmtid="{D5CDD505-2E9C-101B-9397-08002B2CF9AE}" pid="15" name="NOSE12">
    <vt:lpwstr>רשויות ומשפט מנהלי</vt:lpwstr>
  </property>
  <property fmtid="{D5CDD505-2E9C-101B-9397-08002B2CF9AE}" pid="16" name="NOSE22">
    <vt:lpwstr>תעבורה</vt:lpwstr>
  </property>
  <property fmtid="{D5CDD505-2E9C-101B-9397-08002B2CF9AE}" pid="17" name="NOSE32">
    <vt:lpwstr>רכב</vt:lpwstr>
  </property>
  <property fmtid="{D5CDD505-2E9C-101B-9397-08002B2CF9AE}" pid="18" name="NOSE42">
    <vt:lpwstr>מס</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