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21730" w14:textId="77777777" w:rsidR="00FF1781" w:rsidRDefault="00FF1781" w:rsidP="00747885">
      <w:pPr>
        <w:pStyle w:val="big-header"/>
        <w:ind w:left="0" w:right="1134"/>
        <w:rPr>
          <w:rStyle w:val="default"/>
          <w:rFonts w:hint="cs"/>
          <w:sz w:val="22"/>
          <w:szCs w:val="22"/>
          <w:rtl/>
        </w:rPr>
      </w:pPr>
      <w:r>
        <w:rPr>
          <w:rFonts w:hint="cs"/>
          <w:rtl/>
        </w:rPr>
        <w:t>תקנות מס הכנסה (חישוב רווח הון בעסקה עתידית), תשס"ג-2002</w:t>
      </w:r>
    </w:p>
    <w:p w14:paraId="1E805844" w14:textId="77777777" w:rsidR="00872182" w:rsidRDefault="00872182" w:rsidP="00872182">
      <w:pPr>
        <w:spacing w:line="320" w:lineRule="auto"/>
        <w:jc w:val="left"/>
        <w:rPr>
          <w:rFonts w:cs="FrankRuehl" w:hint="cs"/>
          <w:szCs w:val="26"/>
          <w:rtl/>
        </w:rPr>
      </w:pPr>
    </w:p>
    <w:p w14:paraId="3CC6FBA6" w14:textId="77777777" w:rsidR="00353C66" w:rsidRPr="00872182" w:rsidRDefault="00353C66" w:rsidP="00872182">
      <w:pPr>
        <w:spacing w:line="320" w:lineRule="auto"/>
        <w:jc w:val="left"/>
        <w:rPr>
          <w:rFonts w:cs="FrankRuehl" w:hint="cs"/>
          <w:szCs w:val="26"/>
          <w:rtl/>
        </w:rPr>
      </w:pPr>
    </w:p>
    <w:p w14:paraId="38B0EC11" w14:textId="77777777" w:rsidR="00872182" w:rsidRDefault="00872182" w:rsidP="00872182">
      <w:pPr>
        <w:spacing w:line="320" w:lineRule="auto"/>
        <w:jc w:val="left"/>
        <w:rPr>
          <w:rFonts w:cs="FrankRuehl"/>
          <w:szCs w:val="26"/>
          <w:rtl/>
        </w:rPr>
      </w:pPr>
      <w:r w:rsidRPr="00872182">
        <w:rPr>
          <w:rFonts w:cs="Miriam"/>
          <w:szCs w:val="22"/>
          <w:rtl/>
        </w:rPr>
        <w:t>מסים</w:t>
      </w:r>
      <w:r w:rsidRPr="00872182">
        <w:rPr>
          <w:rFonts w:cs="FrankRuehl"/>
          <w:szCs w:val="26"/>
          <w:rtl/>
        </w:rPr>
        <w:t xml:space="preserve"> – מס הכנסה – מיסוי הון – חישוב רווח הון</w:t>
      </w:r>
    </w:p>
    <w:p w14:paraId="765D1D11" w14:textId="77777777" w:rsidR="00872182" w:rsidRPr="00872182" w:rsidRDefault="00872182" w:rsidP="00872182">
      <w:pPr>
        <w:spacing w:line="320" w:lineRule="auto"/>
        <w:jc w:val="left"/>
        <w:rPr>
          <w:rFonts w:cs="Miriam"/>
          <w:szCs w:val="22"/>
        </w:rPr>
      </w:pPr>
      <w:r w:rsidRPr="00872182">
        <w:rPr>
          <w:rFonts w:cs="Miriam"/>
          <w:szCs w:val="22"/>
          <w:rtl/>
        </w:rPr>
        <w:t>מסים</w:t>
      </w:r>
      <w:r w:rsidRPr="00872182">
        <w:rPr>
          <w:rFonts w:cs="FrankRuehl"/>
          <w:szCs w:val="26"/>
          <w:rtl/>
        </w:rPr>
        <w:t xml:space="preserve"> – מס הכנסה – מיסוי הון – עסקה עתידית</w:t>
      </w:r>
    </w:p>
    <w:p w14:paraId="6D310DA8" w14:textId="77777777" w:rsidR="000E7BAA" w:rsidRDefault="000E7BAA" w:rsidP="000E7BAA">
      <w:pPr>
        <w:spacing w:line="320" w:lineRule="auto"/>
        <w:jc w:val="left"/>
        <w:rPr>
          <w:rtl/>
        </w:rPr>
      </w:pPr>
    </w:p>
    <w:p w14:paraId="0DE5E93C" w14:textId="77777777" w:rsidR="00747885" w:rsidRDefault="00747885" w:rsidP="00747885">
      <w:pPr>
        <w:pStyle w:val="big-header"/>
        <w:ind w:left="0" w:right="1134"/>
        <w:rPr>
          <w:sz w:val="32"/>
          <w:rtl/>
        </w:rPr>
      </w:pPr>
      <w:r>
        <w:rPr>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75372" w:rsidRPr="00D75372" w14:paraId="1FA9762E" w14:textId="77777777" w:rsidTr="00D75372">
        <w:tblPrEx>
          <w:tblCellMar>
            <w:top w:w="0" w:type="dxa"/>
            <w:bottom w:w="0" w:type="dxa"/>
          </w:tblCellMar>
        </w:tblPrEx>
        <w:tc>
          <w:tcPr>
            <w:tcW w:w="1247" w:type="dxa"/>
          </w:tcPr>
          <w:p w14:paraId="4831585F" w14:textId="77777777" w:rsidR="00D75372" w:rsidRPr="00D75372" w:rsidRDefault="00D75372" w:rsidP="00D75372">
            <w:pPr>
              <w:spacing w:line="240" w:lineRule="auto"/>
              <w:jc w:val="left"/>
              <w:rPr>
                <w:rFonts w:cs="Frankruhel" w:hint="cs"/>
                <w:sz w:val="24"/>
                <w:rtl/>
              </w:rPr>
            </w:pPr>
            <w:r>
              <w:rPr>
                <w:rFonts w:cs="Times New Roman"/>
                <w:sz w:val="24"/>
                <w:rtl/>
              </w:rPr>
              <w:t xml:space="preserve">סעיף 1 </w:t>
            </w:r>
          </w:p>
        </w:tc>
        <w:tc>
          <w:tcPr>
            <w:tcW w:w="5669" w:type="dxa"/>
          </w:tcPr>
          <w:p w14:paraId="2818097B" w14:textId="77777777" w:rsidR="00D75372" w:rsidRPr="00D75372" w:rsidRDefault="00D75372" w:rsidP="00D75372">
            <w:pPr>
              <w:spacing w:line="240" w:lineRule="auto"/>
              <w:jc w:val="left"/>
              <w:rPr>
                <w:rFonts w:cs="Frankruhel" w:hint="cs"/>
                <w:sz w:val="24"/>
                <w:rtl/>
              </w:rPr>
            </w:pPr>
            <w:r>
              <w:rPr>
                <w:rFonts w:cs="Times New Roman"/>
                <w:sz w:val="24"/>
                <w:rtl/>
              </w:rPr>
              <w:t>הגדרות</w:t>
            </w:r>
          </w:p>
        </w:tc>
        <w:tc>
          <w:tcPr>
            <w:tcW w:w="567" w:type="dxa"/>
          </w:tcPr>
          <w:p w14:paraId="3D308CC6" w14:textId="77777777" w:rsidR="00D75372" w:rsidRPr="00D75372" w:rsidRDefault="00D75372" w:rsidP="00D75372">
            <w:pPr>
              <w:spacing w:line="240" w:lineRule="auto"/>
              <w:jc w:val="left"/>
              <w:rPr>
                <w:rStyle w:val="Hyperlink"/>
                <w:rFonts w:hint="cs"/>
                <w:rtl/>
              </w:rPr>
            </w:pPr>
            <w:hyperlink w:anchor="Seif1" w:tooltip="הגדרות" w:history="1">
              <w:r w:rsidRPr="00D75372">
                <w:rPr>
                  <w:rStyle w:val="Hyperlink"/>
                </w:rPr>
                <w:t>Go</w:t>
              </w:r>
            </w:hyperlink>
          </w:p>
        </w:tc>
        <w:tc>
          <w:tcPr>
            <w:tcW w:w="850" w:type="dxa"/>
          </w:tcPr>
          <w:p w14:paraId="0A9560A6" w14:textId="77777777" w:rsidR="00D75372" w:rsidRPr="00D75372" w:rsidRDefault="00D75372" w:rsidP="00D7537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75372" w:rsidRPr="00D75372" w14:paraId="24FB622B" w14:textId="77777777" w:rsidTr="00D75372">
        <w:tblPrEx>
          <w:tblCellMar>
            <w:top w:w="0" w:type="dxa"/>
            <w:bottom w:w="0" w:type="dxa"/>
          </w:tblCellMar>
        </w:tblPrEx>
        <w:tc>
          <w:tcPr>
            <w:tcW w:w="1247" w:type="dxa"/>
          </w:tcPr>
          <w:p w14:paraId="43278D31" w14:textId="77777777" w:rsidR="00D75372" w:rsidRPr="00D75372" w:rsidRDefault="00D75372" w:rsidP="00D75372">
            <w:pPr>
              <w:spacing w:line="240" w:lineRule="auto"/>
              <w:jc w:val="left"/>
              <w:rPr>
                <w:rFonts w:cs="Frankruhel" w:hint="cs"/>
                <w:sz w:val="24"/>
                <w:rtl/>
              </w:rPr>
            </w:pPr>
            <w:r>
              <w:rPr>
                <w:rFonts w:cs="Times New Roman"/>
                <w:sz w:val="24"/>
                <w:rtl/>
              </w:rPr>
              <w:t xml:space="preserve">סעיף 2 </w:t>
            </w:r>
          </w:p>
        </w:tc>
        <w:tc>
          <w:tcPr>
            <w:tcW w:w="5669" w:type="dxa"/>
          </w:tcPr>
          <w:p w14:paraId="5F605968" w14:textId="77777777" w:rsidR="00D75372" w:rsidRPr="00D75372" w:rsidRDefault="00D75372" w:rsidP="00D75372">
            <w:pPr>
              <w:spacing w:line="240" w:lineRule="auto"/>
              <w:jc w:val="left"/>
              <w:rPr>
                <w:rFonts w:cs="Frankruhel" w:hint="cs"/>
                <w:sz w:val="24"/>
                <w:rtl/>
              </w:rPr>
            </w:pPr>
            <w:r>
              <w:rPr>
                <w:rFonts w:cs="Times New Roman"/>
                <w:sz w:val="24"/>
                <w:rtl/>
              </w:rPr>
              <w:t>קביעת יום המכירה</w:t>
            </w:r>
          </w:p>
        </w:tc>
        <w:tc>
          <w:tcPr>
            <w:tcW w:w="567" w:type="dxa"/>
          </w:tcPr>
          <w:p w14:paraId="0E52C500" w14:textId="77777777" w:rsidR="00D75372" w:rsidRPr="00D75372" w:rsidRDefault="00D75372" w:rsidP="00D75372">
            <w:pPr>
              <w:spacing w:line="240" w:lineRule="auto"/>
              <w:jc w:val="left"/>
              <w:rPr>
                <w:rStyle w:val="Hyperlink"/>
                <w:rFonts w:hint="cs"/>
                <w:rtl/>
              </w:rPr>
            </w:pPr>
            <w:hyperlink w:anchor="Seif2" w:tooltip="קביעת יום המכירה" w:history="1">
              <w:r w:rsidRPr="00D75372">
                <w:rPr>
                  <w:rStyle w:val="Hyperlink"/>
                </w:rPr>
                <w:t>Go</w:t>
              </w:r>
            </w:hyperlink>
          </w:p>
        </w:tc>
        <w:tc>
          <w:tcPr>
            <w:tcW w:w="850" w:type="dxa"/>
          </w:tcPr>
          <w:p w14:paraId="185C38CA" w14:textId="77777777" w:rsidR="00D75372" w:rsidRPr="00D75372" w:rsidRDefault="00D75372" w:rsidP="00D7537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75372" w:rsidRPr="00D75372" w14:paraId="4F35C010" w14:textId="77777777" w:rsidTr="00D75372">
        <w:tblPrEx>
          <w:tblCellMar>
            <w:top w:w="0" w:type="dxa"/>
            <w:bottom w:w="0" w:type="dxa"/>
          </w:tblCellMar>
        </w:tblPrEx>
        <w:tc>
          <w:tcPr>
            <w:tcW w:w="1247" w:type="dxa"/>
          </w:tcPr>
          <w:p w14:paraId="5AF1DBB8" w14:textId="77777777" w:rsidR="00D75372" w:rsidRPr="00D75372" w:rsidRDefault="00D75372" w:rsidP="00D75372">
            <w:pPr>
              <w:spacing w:line="240" w:lineRule="auto"/>
              <w:jc w:val="left"/>
              <w:rPr>
                <w:rFonts w:cs="Frankruhel" w:hint="cs"/>
                <w:sz w:val="24"/>
                <w:rtl/>
              </w:rPr>
            </w:pPr>
            <w:r>
              <w:rPr>
                <w:rFonts w:cs="Times New Roman"/>
                <w:sz w:val="24"/>
                <w:rtl/>
              </w:rPr>
              <w:t xml:space="preserve">סעיף 3 </w:t>
            </w:r>
          </w:p>
        </w:tc>
        <w:tc>
          <w:tcPr>
            <w:tcW w:w="5669" w:type="dxa"/>
          </w:tcPr>
          <w:p w14:paraId="0B87025B" w14:textId="77777777" w:rsidR="00D75372" w:rsidRPr="00D75372" w:rsidRDefault="00D75372" w:rsidP="00D75372">
            <w:pPr>
              <w:spacing w:line="240" w:lineRule="auto"/>
              <w:jc w:val="left"/>
              <w:rPr>
                <w:rFonts w:cs="Frankruhel" w:hint="cs"/>
                <w:sz w:val="24"/>
                <w:rtl/>
              </w:rPr>
            </w:pPr>
            <w:r>
              <w:rPr>
                <w:rFonts w:cs="Times New Roman"/>
                <w:sz w:val="24"/>
                <w:rtl/>
              </w:rPr>
              <w:t>הוראות לענין חישוב רווח הון</w:t>
            </w:r>
          </w:p>
        </w:tc>
        <w:tc>
          <w:tcPr>
            <w:tcW w:w="567" w:type="dxa"/>
          </w:tcPr>
          <w:p w14:paraId="55720EBC" w14:textId="77777777" w:rsidR="00D75372" w:rsidRPr="00D75372" w:rsidRDefault="00D75372" w:rsidP="00D75372">
            <w:pPr>
              <w:spacing w:line="240" w:lineRule="auto"/>
              <w:jc w:val="left"/>
              <w:rPr>
                <w:rStyle w:val="Hyperlink"/>
                <w:rFonts w:hint="cs"/>
                <w:rtl/>
              </w:rPr>
            </w:pPr>
            <w:hyperlink w:anchor="Seif3" w:tooltip="הוראות לענין חישוב רווח הון" w:history="1">
              <w:r w:rsidRPr="00D75372">
                <w:rPr>
                  <w:rStyle w:val="Hyperlink"/>
                </w:rPr>
                <w:t>Go</w:t>
              </w:r>
            </w:hyperlink>
          </w:p>
        </w:tc>
        <w:tc>
          <w:tcPr>
            <w:tcW w:w="850" w:type="dxa"/>
          </w:tcPr>
          <w:p w14:paraId="13AC2C8C" w14:textId="77777777" w:rsidR="00D75372" w:rsidRPr="00D75372" w:rsidRDefault="00D75372" w:rsidP="00D7537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75372" w:rsidRPr="00D75372" w14:paraId="3B6D9991" w14:textId="77777777" w:rsidTr="00D75372">
        <w:tblPrEx>
          <w:tblCellMar>
            <w:top w:w="0" w:type="dxa"/>
            <w:bottom w:w="0" w:type="dxa"/>
          </w:tblCellMar>
        </w:tblPrEx>
        <w:tc>
          <w:tcPr>
            <w:tcW w:w="1247" w:type="dxa"/>
          </w:tcPr>
          <w:p w14:paraId="5C161168" w14:textId="77777777" w:rsidR="00D75372" w:rsidRPr="00D75372" w:rsidRDefault="00D75372" w:rsidP="00D75372">
            <w:pPr>
              <w:spacing w:line="240" w:lineRule="auto"/>
              <w:jc w:val="left"/>
              <w:rPr>
                <w:rFonts w:cs="Frankruhel" w:hint="cs"/>
                <w:sz w:val="24"/>
                <w:rtl/>
              </w:rPr>
            </w:pPr>
            <w:r>
              <w:rPr>
                <w:rFonts w:cs="Times New Roman"/>
                <w:sz w:val="24"/>
                <w:rtl/>
              </w:rPr>
              <w:t xml:space="preserve">סעיף 4 </w:t>
            </w:r>
          </w:p>
        </w:tc>
        <w:tc>
          <w:tcPr>
            <w:tcW w:w="5669" w:type="dxa"/>
          </w:tcPr>
          <w:p w14:paraId="55A6BCB0" w14:textId="77777777" w:rsidR="00D75372" w:rsidRPr="00D75372" w:rsidRDefault="00D75372" w:rsidP="00D75372">
            <w:pPr>
              <w:spacing w:line="240" w:lineRule="auto"/>
              <w:jc w:val="left"/>
              <w:rPr>
                <w:rFonts w:cs="Frankruhel" w:hint="cs"/>
                <w:sz w:val="24"/>
                <w:rtl/>
              </w:rPr>
            </w:pPr>
            <w:r>
              <w:rPr>
                <w:rFonts w:cs="Times New Roman"/>
                <w:sz w:val="24"/>
                <w:rtl/>
              </w:rPr>
              <w:t>הוראות לענין מכירה בחסר</w:t>
            </w:r>
          </w:p>
        </w:tc>
        <w:tc>
          <w:tcPr>
            <w:tcW w:w="567" w:type="dxa"/>
          </w:tcPr>
          <w:p w14:paraId="78A19A14" w14:textId="77777777" w:rsidR="00D75372" w:rsidRPr="00D75372" w:rsidRDefault="00D75372" w:rsidP="00D75372">
            <w:pPr>
              <w:spacing w:line="240" w:lineRule="auto"/>
              <w:jc w:val="left"/>
              <w:rPr>
                <w:rStyle w:val="Hyperlink"/>
                <w:rFonts w:hint="cs"/>
                <w:rtl/>
              </w:rPr>
            </w:pPr>
            <w:hyperlink w:anchor="Seif4" w:tooltip="הוראות לענין מכירה בחסר" w:history="1">
              <w:r w:rsidRPr="00D75372">
                <w:rPr>
                  <w:rStyle w:val="Hyperlink"/>
                </w:rPr>
                <w:t>Go</w:t>
              </w:r>
            </w:hyperlink>
          </w:p>
        </w:tc>
        <w:tc>
          <w:tcPr>
            <w:tcW w:w="850" w:type="dxa"/>
          </w:tcPr>
          <w:p w14:paraId="6AA0F1EA" w14:textId="77777777" w:rsidR="00D75372" w:rsidRPr="00D75372" w:rsidRDefault="00D75372" w:rsidP="00D7537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75372" w:rsidRPr="00D75372" w14:paraId="063D4AB1" w14:textId="77777777" w:rsidTr="00D75372">
        <w:tblPrEx>
          <w:tblCellMar>
            <w:top w:w="0" w:type="dxa"/>
            <w:bottom w:w="0" w:type="dxa"/>
          </w:tblCellMar>
        </w:tblPrEx>
        <w:tc>
          <w:tcPr>
            <w:tcW w:w="1247" w:type="dxa"/>
          </w:tcPr>
          <w:p w14:paraId="76A9174E" w14:textId="77777777" w:rsidR="00D75372" w:rsidRPr="00D75372" w:rsidRDefault="00D75372" w:rsidP="00D75372">
            <w:pPr>
              <w:spacing w:line="240" w:lineRule="auto"/>
              <w:jc w:val="left"/>
              <w:rPr>
                <w:rFonts w:cs="Frankruhel" w:hint="cs"/>
                <w:sz w:val="24"/>
                <w:rtl/>
              </w:rPr>
            </w:pPr>
            <w:r>
              <w:rPr>
                <w:rFonts w:cs="Times New Roman"/>
                <w:sz w:val="24"/>
                <w:rtl/>
              </w:rPr>
              <w:t xml:space="preserve">סעיף 5 </w:t>
            </w:r>
          </w:p>
        </w:tc>
        <w:tc>
          <w:tcPr>
            <w:tcW w:w="5669" w:type="dxa"/>
          </w:tcPr>
          <w:p w14:paraId="4FEFFE0D" w14:textId="77777777" w:rsidR="00D75372" w:rsidRPr="00D75372" w:rsidRDefault="00D75372" w:rsidP="00D75372">
            <w:pPr>
              <w:spacing w:line="240" w:lineRule="auto"/>
              <w:jc w:val="left"/>
              <w:rPr>
                <w:rFonts w:cs="Frankruhel" w:hint="cs"/>
                <w:sz w:val="24"/>
                <w:rtl/>
              </w:rPr>
            </w:pPr>
            <w:r>
              <w:rPr>
                <w:rFonts w:cs="Times New Roman"/>
                <w:sz w:val="24"/>
                <w:rtl/>
              </w:rPr>
              <w:t>הוראות מיוחדות לענין מכירה של עסקה עתידית</w:t>
            </w:r>
          </w:p>
        </w:tc>
        <w:tc>
          <w:tcPr>
            <w:tcW w:w="567" w:type="dxa"/>
          </w:tcPr>
          <w:p w14:paraId="44F21629" w14:textId="77777777" w:rsidR="00D75372" w:rsidRPr="00D75372" w:rsidRDefault="00D75372" w:rsidP="00D75372">
            <w:pPr>
              <w:spacing w:line="240" w:lineRule="auto"/>
              <w:jc w:val="left"/>
              <w:rPr>
                <w:rStyle w:val="Hyperlink"/>
                <w:rFonts w:hint="cs"/>
                <w:rtl/>
              </w:rPr>
            </w:pPr>
            <w:hyperlink w:anchor="Seif5" w:tooltip="הוראות מיוחדות לענין מכירה של עסקה עתידית" w:history="1">
              <w:r w:rsidRPr="00D75372">
                <w:rPr>
                  <w:rStyle w:val="Hyperlink"/>
                </w:rPr>
                <w:t>Go</w:t>
              </w:r>
            </w:hyperlink>
          </w:p>
        </w:tc>
        <w:tc>
          <w:tcPr>
            <w:tcW w:w="850" w:type="dxa"/>
          </w:tcPr>
          <w:p w14:paraId="1648E9C8" w14:textId="77777777" w:rsidR="00D75372" w:rsidRPr="00D75372" w:rsidRDefault="00D75372" w:rsidP="00D7537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75372" w:rsidRPr="00D75372" w14:paraId="0EBCF96C" w14:textId="77777777" w:rsidTr="00D75372">
        <w:tblPrEx>
          <w:tblCellMar>
            <w:top w:w="0" w:type="dxa"/>
            <w:bottom w:w="0" w:type="dxa"/>
          </w:tblCellMar>
        </w:tblPrEx>
        <w:tc>
          <w:tcPr>
            <w:tcW w:w="1247" w:type="dxa"/>
          </w:tcPr>
          <w:p w14:paraId="78672224" w14:textId="77777777" w:rsidR="00D75372" w:rsidRPr="00D75372" w:rsidRDefault="00D75372" w:rsidP="00D75372">
            <w:pPr>
              <w:spacing w:line="240" w:lineRule="auto"/>
              <w:jc w:val="left"/>
              <w:rPr>
                <w:rFonts w:cs="Frankruhel" w:hint="cs"/>
                <w:sz w:val="24"/>
                <w:rtl/>
              </w:rPr>
            </w:pPr>
            <w:r>
              <w:rPr>
                <w:rFonts w:cs="Times New Roman"/>
                <w:sz w:val="24"/>
                <w:rtl/>
              </w:rPr>
              <w:t xml:space="preserve">סעיף 5א </w:t>
            </w:r>
          </w:p>
        </w:tc>
        <w:tc>
          <w:tcPr>
            <w:tcW w:w="5669" w:type="dxa"/>
          </w:tcPr>
          <w:p w14:paraId="2795C7F9" w14:textId="77777777" w:rsidR="00D75372" w:rsidRPr="00D75372" w:rsidRDefault="00D75372" w:rsidP="00D75372">
            <w:pPr>
              <w:spacing w:line="240" w:lineRule="auto"/>
              <w:jc w:val="left"/>
              <w:rPr>
                <w:rFonts w:cs="Frankruhel" w:hint="cs"/>
                <w:sz w:val="24"/>
                <w:rtl/>
              </w:rPr>
            </w:pPr>
            <w:r>
              <w:rPr>
                <w:rFonts w:cs="Times New Roman"/>
                <w:sz w:val="24"/>
                <w:rtl/>
              </w:rPr>
              <w:t>הוראות לענין עסקה עתידית לפני המועד הקובע</w:t>
            </w:r>
          </w:p>
        </w:tc>
        <w:tc>
          <w:tcPr>
            <w:tcW w:w="567" w:type="dxa"/>
          </w:tcPr>
          <w:p w14:paraId="38256FE7" w14:textId="77777777" w:rsidR="00D75372" w:rsidRPr="00D75372" w:rsidRDefault="00D75372" w:rsidP="00D75372">
            <w:pPr>
              <w:spacing w:line="240" w:lineRule="auto"/>
              <w:jc w:val="left"/>
              <w:rPr>
                <w:rStyle w:val="Hyperlink"/>
                <w:rFonts w:hint="cs"/>
                <w:rtl/>
              </w:rPr>
            </w:pPr>
            <w:hyperlink w:anchor="Seif11" w:tooltip="הוראות לענין עסקה עתידית לפני המועד הקובע" w:history="1">
              <w:r w:rsidRPr="00D75372">
                <w:rPr>
                  <w:rStyle w:val="Hyperlink"/>
                </w:rPr>
                <w:t>Go</w:t>
              </w:r>
            </w:hyperlink>
          </w:p>
        </w:tc>
        <w:tc>
          <w:tcPr>
            <w:tcW w:w="850" w:type="dxa"/>
          </w:tcPr>
          <w:p w14:paraId="0F42BF99" w14:textId="77777777" w:rsidR="00D75372" w:rsidRPr="00D75372" w:rsidRDefault="00D75372" w:rsidP="00D7537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75372" w:rsidRPr="00D75372" w14:paraId="3D3F167A" w14:textId="77777777" w:rsidTr="00D75372">
        <w:tblPrEx>
          <w:tblCellMar>
            <w:top w:w="0" w:type="dxa"/>
            <w:bottom w:w="0" w:type="dxa"/>
          </w:tblCellMar>
        </w:tblPrEx>
        <w:tc>
          <w:tcPr>
            <w:tcW w:w="1247" w:type="dxa"/>
          </w:tcPr>
          <w:p w14:paraId="02B9577D" w14:textId="77777777" w:rsidR="00D75372" w:rsidRPr="00D75372" w:rsidRDefault="00D75372" w:rsidP="00D75372">
            <w:pPr>
              <w:spacing w:line="240" w:lineRule="auto"/>
              <w:jc w:val="left"/>
              <w:rPr>
                <w:rFonts w:cs="Frankruhel" w:hint="cs"/>
                <w:sz w:val="24"/>
                <w:rtl/>
              </w:rPr>
            </w:pPr>
            <w:r>
              <w:rPr>
                <w:rFonts w:cs="Times New Roman"/>
                <w:sz w:val="24"/>
                <w:rtl/>
              </w:rPr>
              <w:t xml:space="preserve">סעיף 6 </w:t>
            </w:r>
          </w:p>
        </w:tc>
        <w:tc>
          <w:tcPr>
            <w:tcW w:w="5669" w:type="dxa"/>
          </w:tcPr>
          <w:p w14:paraId="1B5E132E" w14:textId="77777777" w:rsidR="00D75372" w:rsidRPr="00D75372" w:rsidRDefault="00D75372" w:rsidP="00D75372">
            <w:pPr>
              <w:spacing w:line="240" w:lineRule="auto"/>
              <w:jc w:val="left"/>
              <w:rPr>
                <w:rFonts w:cs="Frankruhel" w:hint="cs"/>
                <w:sz w:val="24"/>
                <w:rtl/>
              </w:rPr>
            </w:pPr>
            <w:r>
              <w:rPr>
                <w:rFonts w:cs="Times New Roman"/>
                <w:sz w:val="24"/>
                <w:rtl/>
              </w:rPr>
              <w:t>זכות להארכה או שינוי</w:t>
            </w:r>
          </w:p>
        </w:tc>
        <w:tc>
          <w:tcPr>
            <w:tcW w:w="567" w:type="dxa"/>
          </w:tcPr>
          <w:p w14:paraId="03128B1B" w14:textId="77777777" w:rsidR="00D75372" w:rsidRPr="00D75372" w:rsidRDefault="00D75372" w:rsidP="00D75372">
            <w:pPr>
              <w:spacing w:line="240" w:lineRule="auto"/>
              <w:jc w:val="left"/>
              <w:rPr>
                <w:rStyle w:val="Hyperlink"/>
                <w:rFonts w:hint="cs"/>
                <w:rtl/>
              </w:rPr>
            </w:pPr>
            <w:hyperlink w:anchor="Seif6" w:tooltip="זכות להארכה או שינוי" w:history="1">
              <w:r w:rsidRPr="00D75372">
                <w:rPr>
                  <w:rStyle w:val="Hyperlink"/>
                </w:rPr>
                <w:t>Go</w:t>
              </w:r>
            </w:hyperlink>
          </w:p>
        </w:tc>
        <w:tc>
          <w:tcPr>
            <w:tcW w:w="850" w:type="dxa"/>
          </w:tcPr>
          <w:p w14:paraId="796F488C" w14:textId="77777777" w:rsidR="00D75372" w:rsidRPr="00D75372" w:rsidRDefault="00D75372" w:rsidP="00D7537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75372" w:rsidRPr="00D75372" w14:paraId="433588D1" w14:textId="77777777" w:rsidTr="00D75372">
        <w:tblPrEx>
          <w:tblCellMar>
            <w:top w:w="0" w:type="dxa"/>
            <w:bottom w:w="0" w:type="dxa"/>
          </w:tblCellMar>
        </w:tblPrEx>
        <w:tc>
          <w:tcPr>
            <w:tcW w:w="1247" w:type="dxa"/>
          </w:tcPr>
          <w:p w14:paraId="384E1B37" w14:textId="77777777" w:rsidR="00D75372" w:rsidRPr="00D75372" w:rsidRDefault="00D75372" w:rsidP="00D75372">
            <w:pPr>
              <w:spacing w:line="240" w:lineRule="auto"/>
              <w:jc w:val="left"/>
              <w:rPr>
                <w:rFonts w:cs="Frankruhel" w:hint="cs"/>
                <w:sz w:val="24"/>
                <w:rtl/>
              </w:rPr>
            </w:pPr>
            <w:r>
              <w:rPr>
                <w:rFonts w:cs="Times New Roman"/>
                <w:sz w:val="24"/>
                <w:rtl/>
              </w:rPr>
              <w:t xml:space="preserve">סעיף 7 </w:t>
            </w:r>
          </w:p>
        </w:tc>
        <w:tc>
          <w:tcPr>
            <w:tcW w:w="5669" w:type="dxa"/>
          </w:tcPr>
          <w:p w14:paraId="2776DF1B" w14:textId="77777777" w:rsidR="00D75372" w:rsidRPr="00D75372" w:rsidRDefault="00D75372" w:rsidP="00D75372">
            <w:pPr>
              <w:spacing w:line="240" w:lineRule="auto"/>
              <w:jc w:val="left"/>
              <w:rPr>
                <w:rFonts w:cs="Frankruhel" w:hint="cs"/>
                <w:sz w:val="24"/>
                <w:rtl/>
              </w:rPr>
            </w:pPr>
            <w:r>
              <w:rPr>
                <w:rFonts w:cs="Times New Roman"/>
                <w:sz w:val="24"/>
                <w:rtl/>
              </w:rPr>
              <w:t>הוצאות</w:t>
            </w:r>
          </w:p>
        </w:tc>
        <w:tc>
          <w:tcPr>
            <w:tcW w:w="567" w:type="dxa"/>
          </w:tcPr>
          <w:p w14:paraId="1659C549" w14:textId="77777777" w:rsidR="00D75372" w:rsidRPr="00D75372" w:rsidRDefault="00D75372" w:rsidP="00D75372">
            <w:pPr>
              <w:spacing w:line="240" w:lineRule="auto"/>
              <w:jc w:val="left"/>
              <w:rPr>
                <w:rStyle w:val="Hyperlink"/>
                <w:rFonts w:hint="cs"/>
                <w:rtl/>
              </w:rPr>
            </w:pPr>
            <w:hyperlink w:anchor="Seif7" w:tooltip="הוצאות" w:history="1">
              <w:r w:rsidRPr="00D75372">
                <w:rPr>
                  <w:rStyle w:val="Hyperlink"/>
                </w:rPr>
                <w:t>Go</w:t>
              </w:r>
            </w:hyperlink>
          </w:p>
        </w:tc>
        <w:tc>
          <w:tcPr>
            <w:tcW w:w="850" w:type="dxa"/>
          </w:tcPr>
          <w:p w14:paraId="0CF23706" w14:textId="77777777" w:rsidR="00D75372" w:rsidRPr="00D75372" w:rsidRDefault="00D75372" w:rsidP="00D7537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75372" w:rsidRPr="00D75372" w14:paraId="607B1335" w14:textId="77777777" w:rsidTr="00D75372">
        <w:tblPrEx>
          <w:tblCellMar>
            <w:top w:w="0" w:type="dxa"/>
            <w:bottom w:w="0" w:type="dxa"/>
          </w:tblCellMar>
        </w:tblPrEx>
        <w:tc>
          <w:tcPr>
            <w:tcW w:w="1247" w:type="dxa"/>
          </w:tcPr>
          <w:p w14:paraId="77CE9722" w14:textId="77777777" w:rsidR="00D75372" w:rsidRPr="00D75372" w:rsidRDefault="00D75372" w:rsidP="00D75372">
            <w:pPr>
              <w:spacing w:line="240" w:lineRule="auto"/>
              <w:jc w:val="left"/>
              <w:rPr>
                <w:rFonts w:cs="Frankruhel" w:hint="cs"/>
                <w:sz w:val="24"/>
                <w:rtl/>
              </w:rPr>
            </w:pPr>
            <w:r>
              <w:rPr>
                <w:rFonts w:cs="Times New Roman"/>
                <w:sz w:val="24"/>
                <w:rtl/>
              </w:rPr>
              <w:t xml:space="preserve">סעיף 8 </w:t>
            </w:r>
          </w:p>
        </w:tc>
        <w:tc>
          <w:tcPr>
            <w:tcW w:w="5669" w:type="dxa"/>
          </w:tcPr>
          <w:p w14:paraId="4B88F20E" w14:textId="77777777" w:rsidR="00D75372" w:rsidRPr="00D75372" w:rsidRDefault="00D75372" w:rsidP="00D75372">
            <w:pPr>
              <w:spacing w:line="240" w:lineRule="auto"/>
              <w:jc w:val="left"/>
              <w:rPr>
                <w:rFonts w:cs="Frankruhel" w:hint="cs"/>
                <w:sz w:val="24"/>
                <w:rtl/>
              </w:rPr>
            </w:pPr>
            <w:r>
              <w:rPr>
                <w:rFonts w:cs="Times New Roman"/>
                <w:sz w:val="24"/>
                <w:rtl/>
              </w:rPr>
              <w:t>ביטול</w:t>
            </w:r>
          </w:p>
        </w:tc>
        <w:tc>
          <w:tcPr>
            <w:tcW w:w="567" w:type="dxa"/>
          </w:tcPr>
          <w:p w14:paraId="5FBAE2EB" w14:textId="77777777" w:rsidR="00D75372" w:rsidRPr="00D75372" w:rsidRDefault="00D75372" w:rsidP="00D75372">
            <w:pPr>
              <w:spacing w:line="240" w:lineRule="auto"/>
              <w:jc w:val="left"/>
              <w:rPr>
                <w:rStyle w:val="Hyperlink"/>
                <w:rFonts w:hint="cs"/>
                <w:rtl/>
              </w:rPr>
            </w:pPr>
            <w:hyperlink w:anchor="Seif8" w:tooltip="ביטול" w:history="1">
              <w:r w:rsidRPr="00D75372">
                <w:rPr>
                  <w:rStyle w:val="Hyperlink"/>
                </w:rPr>
                <w:t>Go</w:t>
              </w:r>
            </w:hyperlink>
          </w:p>
        </w:tc>
        <w:tc>
          <w:tcPr>
            <w:tcW w:w="850" w:type="dxa"/>
          </w:tcPr>
          <w:p w14:paraId="1FA0376D" w14:textId="77777777" w:rsidR="00D75372" w:rsidRPr="00D75372" w:rsidRDefault="00D75372" w:rsidP="00D7537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75372" w:rsidRPr="00D75372" w14:paraId="2D1DE396" w14:textId="77777777" w:rsidTr="00D75372">
        <w:tblPrEx>
          <w:tblCellMar>
            <w:top w:w="0" w:type="dxa"/>
            <w:bottom w:w="0" w:type="dxa"/>
          </w:tblCellMar>
        </w:tblPrEx>
        <w:tc>
          <w:tcPr>
            <w:tcW w:w="1247" w:type="dxa"/>
          </w:tcPr>
          <w:p w14:paraId="6C9CC473" w14:textId="77777777" w:rsidR="00D75372" w:rsidRPr="00D75372" w:rsidRDefault="00D75372" w:rsidP="00D75372">
            <w:pPr>
              <w:spacing w:line="240" w:lineRule="auto"/>
              <w:jc w:val="left"/>
              <w:rPr>
                <w:rFonts w:cs="Frankruhel" w:hint="cs"/>
                <w:sz w:val="24"/>
                <w:rtl/>
              </w:rPr>
            </w:pPr>
            <w:r>
              <w:rPr>
                <w:rFonts w:cs="Times New Roman"/>
                <w:sz w:val="24"/>
                <w:rtl/>
              </w:rPr>
              <w:t xml:space="preserve">סעיף 9 </w:t>
            </w:r>
          </w:p>
        </w:tc>
        <w:tc>
          <w:tcPr>
            <w:tcW w:w="5669" w:type="dxa"/>
          </w:tcPr>
          <w:p w14:paraId="552954B4" w14:textId="77777777" w:rsidR="00D75372" w:rsidRPr="00D75372" w:rsidRDefault="00D75372" w:rsidP="00D75372">
            <w:pPr>
              <w:spacing w:line="240" w:lineRule="auto"/>
              <w:jc w:val="left"/>
              <w:rPr>
                <w:rFonts w:cs="Frankruhel" w:hint="cs"/>
                <w:sz w:val="24"/>
                <w:rtl/>
              </w:rPr>
            </w:pPr>
            <w:r>
              <w:rPr>
                <w:rFonts w:cs="Times New Roman"/>
                <w:sz w:val="24"/>
                <w:rtl/>
              </w:rPr>
              <w:t>הוראת שעה</w:t>
            </w:r>
          </w:p>
        </w:tc>
        <w:tc>
          <w:tcPr>
            <w:tcW w:w="567" w:type="dxa"/>
          </w:tcPr>
          <w:p w14:paraId="2DA37102" w14:textId="77777777" w:rsidR="00D75372" w:rsidRPr="00D75372" w:rsidRDefault="00D75372" w:rsidP="00D75372">
            <w:pPr>
              <w:spacing w:line="240" w:lineRule="auto"/>
              <w:jc w:val="left"/>
              <w:rPr>
                <w:rStyle w:val="Hyperlink"/>
                <w:rFonts w:hint="cs"/>
                <w:rtl/>
              </w:rPr>
            </w:pPr>
            <w:hyperlink w:anchor="Seif9" w:tooltip="הוראת שעה" w:history="1">
              <w:r w:rsidRPr="00D75372">
                <w:rPr>
                  <w:rStyle w:val="Hyperlink"/>
                </w:rPr>
                <w:t>Go</w:t>
              </w:r>
            </w:hyperlink>
          </w:p>
        </w:tc>
        <w:tc>
          <w:tcPr>
            <w:tcW w:w="850" w:type="dxa"/>
          </w:tcPr>
          <w:p w14:paraId="7233179D" w14:textId="77777777" w:rsidR="00D75372" w:rsidRPr="00D75372" w:rsidRDefault="00D75372" w:rsidP="00D7537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75372" w:rsidRPr="00D75372" w14:paraId="7472BF29" w14:textId="77777777" w:rsidTr="00D75372">
        <w:tblPrEx>
          <w:tblCellMar>
            <w:top w:w="0" w:type="dxa"/>
            <w:bottom w:w="0" w:type="dxa"/>
          </w:tblCellMar>
        </w:tblPrEx>
        <w:tc>
          <w:tcPr>
            <w:tcW w:w="1247" w:type="dxa"/>
          </w:tcPr>
          <w:p w14:paraId="6EB0CD94" w14:textId="77777777" w:rsidR="00D75372" w:rsidRPr="00D75372" w:rsidRDefault="00D75372" w:rsidP="00D75372">
            <w:pPr>
              <w:spacing w:line="240" w:lineRule="auto"/>
              <w:jc w:val="left"/>
              <w:rPr>
                <w:rFonts w:cs="Frankruhel" w:hint="cs"/>
                <w:sz w:val="24"/>
                <w:rtl/>
              </w:rPr>
            </w:pPr>
            <w:r>
              <w:rPr>
                <w:rFonts w:cs="Times New Roman"/>
                <w:sz w:val="24"/>
                <w:rtl/>
              </w:rPr>
              <w:t xml:space="preserve">סעיף 10 </w:t>
            </w:r>
          </w:p>
        </w:tc>
        <w:tc>
          <w:tcPr>
            <w:tcW w:w="5669" w:type="dxa"/>
          </w:tcPr>
          <w:p w14:paraId="0FCB89AD" w14:textId="77777777" w:rsidR="00D75372" w:rsidRPr="00D75372" w:rsidRDefault="00D75372" w:rsidP="00D75372">
            <w:pPr>
              <w:spacing w:line="240" w:lineRule="auto"/>
              <w:jc w:val="left"/>
              <w:rPr>
                <w:rFonts w:cs="Frankruhel" w:hint="cs"/>
                <w:sz w:val="24"/>
                <w:rtl/>
              </w:rPr>
            </w:pPr>
            <w:r>
              <w:rPr>
                <w:rFonts w:cs="Times New Roman"/>
                <w:sz w:val="24"/>
                <w:rtl/>
              </w:rPr>
              <w:t>תחילה</w:t>
            </w:r>
          </w:p>
        </w:tc>
        <w:tc>
          <w:tcPr>
            <w:tcW w:w="567" w:type="dxa"/>
          </w:tcPr>
          <w:p w14:paraId="0E6D5C56" w14:textId="77777777" w:rsidR="00D75372" w:rsidRPr="00D75372" w:rsidRDefault="00D75372" w:rsidP="00D75372">
            <w:pPr>
              <w:spacing w:line="240" w:lineRule="auto"/>
              <w:jc w:val="left"/>
              <w:rPr>
                <w:rStyle w:val="Hyperlink"/>
                <w:rFonts w:hint="cs"/>
                <w:rtl/>
              </w:rPr>
            </w:pPr>
            <w:hyperlink w:anchor="Seif10" w:tooltip="תחילה" w:history="1">
              <w:r w:rsidRPr="00D75372">
                <w:rPr>
                  <w:rStyle w:val="Hyperlink"/>
                </w:rPr>
                <w:t>Go</w:t>
              </w:r>
            </w:hyperlink>
          </w:p>
        </w:tc>
        <w:tc>
          <w:tcPr>
            <w:tcW w:w="850" w:type="dxa"/>
          </w:tcPr>
          <w:p w14:paraId="147C0259" w14:textId="77777777" w:rsidR="00D75372" w:rsidRPr="00D75372" w:rsidRDefault="00D75372" w:rsidP="00D7537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711C75E3" w14:textId="77777777" w:rsidR="00FF1781" w:rsidRDefault="00FF1781">
      <w:pPr>
        <w:pStyle w:val="P00"/>
        <w:spacing w:before="72"/>
        <w:ind w:left="0" w:right="1134"/>
        <w:rPr>
          <w:rFonts w:hint="cs"/>
          <w:rtl/>
        </w:rPr>
      </w:pPr>
    </w:p>
    <w:p w14:paraId="6BE3782D" w14:textId="77777777" w:rsidR="00FF1781" w:rsidRDefault="00FF1781">
      <w:pPr>
        <w:pStyle w:val="P00"/>
        <w:spacing w:before="72"/>
        <w:ind w:left="0" w:right="1134"/>
        <w:rPr>
          <w:rFonts w:hint="cs"/>
          <w:rtl/>
        </w:rPr>
      </w:pPr>
    </w:p>
    <w:p w14:paraId="10865A26" w14:textId="77777777" w:rsidR="00FF1781" w:rsidRDefault="00FF1781" w:rsidP="000E7BAA">
      <w:pPr>
        <w:pStyle w:val="big-header"/>
        <w:ind w:left="0" w:right="1134"/>
        <w:rPr>
          <w:rStyle w:val="default"/>
          <w:rFonts w:cs="FrankRuehl" w:hint="cs"/>
          <w:rtl/>
        </w:rPr>
      </w:pPr>
      <w:r>
        <w:rPr>
          <w:rtl/>
        </w:rPr>
        <w:br w:type="page"/>
      </w:r>
      <w:r>
        <w:rPr>
          <w:rFonts w:hint="cs"/>
          <w:rtl/>
        </w:rPr>
        <w:lastRenderedPageBreak/>
        <w:t>תקנות מס הכנסה (חישוב רווח הון בעסקה עתידית), תשס"ג-2002</w:t>
      </w:r>
      <w:r>
        <w:rPr>
          <w:rStyle w:val="default"/>
          <w:sz w:val="22"/>
          <w:szCs w:val="22"/>
          <w:rtl/>
        </w:rPr>
        <w:footnoteReference w:customMarkFollows="1" w:id="1"/>
        <w:t>*</w:t>
      </w:r>
    </w:p>
    <w:p w14:paraId="0D3D2AC4" w14:textId="77777777" w:rsidR="00FF1781" w:rsidRDefault="00FF1781">
      <w:pPr>
        <w:pStyle w:val="P00"/>
        <w:spacing w:before="72"/>
        <w:ind w:left="0" w:right="1134"/>
        <w:rPr>
          <w:rStyle w:val="default"/>
          <w:rFonts w:cs="FrankRuehl" w:hint="cs"/>
          <w:rtl/>
        </w:rPr>
      </w:pPr>
      <w:r>
        <w:rPr>
          <w:rtl/>
        </w:rPr>
        <w:tab/>
      </w:r>
      <w:r>
        <w:rPr>
          <w:rStyle w:val="default"/>
          <w:rFonts w:cs="FrankRuehl" w:hint="cs"/>
          <w:rtl/>
        </w:rPr>
        <w:t xml:space="preserve">בתוקף סמכותי לפי סעיפים 98, 105יד(א), 105יט ו-243 לפקודת מס הכנסה (להלן </w:t>
      </w:r>
      <w:r>
        <w:rPr>
          <w:rStyle w:val="default"/>
          <w:rFonts w:cs="FrankRuehl"/>
          <w:rtl/>
        </w:rPr>
        <w:t>–</w:t>
      </w:r>
      <w:r>
        <w:rPr>
          <w:rStyle w:val="default"/>
          <w:rFonts w:cs="FrankRuehl" w:hint="cs"/>
          <w:rtl/>
        </w:rPr>
        <w:t xml:space="preserve"> הפקודה), ולפי סעיף 6(יא) לחוק מס הכנסה (תיאומים בשל אינפלציה), התשמ"ה-1985 (להלן </w:t>
      </w:r>
      <w:r>
        <w:rPr>
          <w:rStyle w:val="default"/>
          <w:rFonts w:cs="FrankRuehl"/>
          <w:rtl/>
        </w:rPr>
        <w:t>–</w:t>
      </w:r>
      <w:r>
        <w:rPr>
          <w:rStyle w:val="default"/>
          <w:rFonts w:cs="FrankRuehl" w:hint="cs"/>
          <w:rtl/>
        </w:rPr>
        <w:t xml:space="preserve"> חוק תיאומים בשל אינפלציה), ובאישור ועדת הכספים של הכנסת, אני מתקין תקנות אלה:</w:t>
      </w:r>
    </w:p>
    <w:p w14:paraId="7E9E5533" w14:textId="77777777" w:rsidR="00FF1781" w:rsidRDefault="00FF1781">
      <w:pPr>
        <w:pStyle w:val="P00"/>
        <w:spacing w:before="72"/>
        <w:ind w:left="0" w:right="1134"/>
        <w:rPr>
          <w:rStyle w:val="default"/>
          <w:rFonts w:cs="FrankRuehl" w:hint="cs"/>
          <w:rtl/>
        </w:rPr>
      </w:pPr>
      <w:bookmarkStart w:id="0" w:name="Seif1"/>
      <w:bookmarkEnd w:id="0"/>
      <w:r>
        <w:rPr>
          <w:lang w:val="he-IL"/>
        </w:rPr>
        <w:pict w14:anchorId="235B2966">
          <v:rect id="_x0000_s1026" style="position:absolute;left:0;text-align:left;margin-left:464.5pt;margin-top:8.05pt;width:75.05pt;height:14.8pt;z-index:251652096" o:allowincell="f" filled="f" stroked="f" strokecolor="lime" strokeweight=".25pt">
            <v:textbox style="mso-next-textbox:#_x0000_s1026" inset="0,0,0,0">
              <w:txbxContent>
                <w:p w14:paraId="10DCF3CA" w14:textId="77777777" w:rsidR="00FF1781" w:rsidRDefault="00FF1781">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בתקנות אלה </w:t>
      </w:r>
      <w:r>
        <w:rPr>
          <w:rStyle w:val="default"/>
          <w:rFonts w:cs="FrankRuehl"/>
          <w:rtl/>
        </w:rPr>
        <w:t>–</w:t>
      </w:r>
    </w:p>
    <w:p w14:paraId="1B3787FB" w14:textId="77777777" w:rsidR="00FF1781" w:rsidRDefault="00FF1781">
      <w:pPr>
        <w:pStyle w:val="P00"/>
        <w:spacing w:before="72"/>
        <w:ind w:left="0" w:right="1134"/>
        <w:rPr>
          <w:rStyle w:val="default"/>
          <w:rFonts w:cs="FrankRuehl" w:hint="cs"/>
          <w:rtl/>
        </w:rPr>
      </w:pPr>
      <w:r>
        <w:rPr>
          <w:rStyle w:val="default"/>
          <w:rFonts w:cs="FrankRuehl" w:hint="cs"/>
          <w:rtl/>
        </w:rPr>
        <w:tab/>
        <w:t xml:space="preserve">"הוצאות" </w:t>
      </w:r>
      <w:r>
        <w:rPr>
          <w:rStyle w:val="default"/>
          <w:rFonts w:cs="FrankRuehl"/>
          <w:rtl/>
        </w:rPr>
        <w:t>–</w:t>
      </w:r>
      <w:r>
        <w:rPr>
          <w:rStyle w:val="default"/>
          <w:rFonts w:cs="FrankRuehl" w:hint="cs"/>
          <w:rtl/>
        </w:rPr>
        <w:t xml:space="preserve"> כהגדרתן בתקנות מס הכנסה (חישוב רווח הון במכירת נייר ערך הנסחר בבורסה או יחידה בקרן נאמנות), התשס"ג-2002, בשינויים המחויבים;</w:t>
      </w:r>
    </w:p>
    <w:p w14:paraId="3C6864CD" w14:textId="77777777" w:rsidR="00FF1781" w:rsidRDefault="00FF1781">
      <w:pPr>
        <w:pStyle w:val="P00"/>
        <w:spacing w:before="72"/>
        <w:ind w:left="0" w:right="1134"/>
        <w:rPr>
          <w:rStyle w:val="default"/>
          <w:rFonts w:cs="FrankRuehl" w:hint="cs"/>
          <w:rtl/>
        </w:rPr>
      </w:pPr>
      <w:r>
        <w:rPr>
          <w:rStyle w:val="default"/>
          <w:rFonts w:cs="FrankRuehl" w:hint="cs"/>
          <w:rtl/>
        </w:rPr>
        <w:tab/>
        <w:t xml:space="preserve">"יום העסקה" </w:t>
      </w:r>
      <w:r>
        <w:rPr>
          <w:rStyle w:val="default"/>
          <w:rFonts w:cs="FrankRuehl"/>
          <w:rtl/>
        </w:rPr>
        <w:t>–</w:t>
      </w:r>
      <w:r>
        <w:rPr>
          <w:rStyle w:val="default"/>
          <w:rFonts w:cs="FrankRuehl" w:hint="cs"/>
          <w:rtl/>
        </w:rPr>
        <w:t xml:space="preserve"> יום ההתקשרות בעסקה העתידית;</w:t>
      </w:r>
    </w:p>
    <w:p w14:paraId="0BEFE44B" w14:textId="77777777" w:rsidR="00FF1781" w:rsidRDefault="00FF1781">
      <w:pPr>
        <w:pStyle w:val="P00"/>
        <w:spacing w:before="72"/>
        <w:ind w:left="0" w:right="1134"/>
        <w:rPr>
          <w:rStyle w:val="default"/>
          <w:rFonts w:cs="FrankRuehl" w:hint="cs"/>
          <w:rtl/>
        </w:rPr>
      </w:pPr>
      <w:r>
        <w:rPr>
          <w:rStyle w:val="default"/>
          <w:rFonts w:cs="FrankRuehl" w:hint="cs"/>
          <w:rtl/>
        </w:rPr>
        <w:tab/>
        <w:t xml:space="preserve">"מימוש" </w:t>
      </w:r>
      <w:r>
        <w:rPr>
          <w:rStyle w:val="default"/>
          <w:rFonts w:cs="FrankRuehl"/>
          <w:rtl/>
        </w:rPr>
        <w:t>–</w:t>
      </w:r>
      <w:r>
        <w:rPr>
          <w:rStyle w:val="default"/>
          <w:rFonts w:cs="FrankRuehl" w:hint="cs"/>
          <w:rtl/>
        </w:rPr>
        <w:t xml:space="preserve"> מימוש העסקה העתידית או פקיעת ההתחייבות או הזכות על פי העסקה העתידית;</w:t>
      </w:r>
    </w:p>
    <w:p w14:paraId="0D15C03B" w14:textId="77777777" w:rsidR="00FF1781" w:rsidRDefault="00FF1781">
      <w:pPr>
        <w:pStyle w:val="P00"/>
        <w:spacing w:before="72"/>
        <w:ind w:left="0" w:right="1134"/>
        <w:rPr>
          <w:rStyle w:val="default"/>
          <w:rFonts w:cs="FrankRuehl" w:hint="cs"/>
          <w:rtl/>
        </w:rPr>
      </w:pPr>
      <w:r>
        <w:rPr>
          <w:rStyle w:val="default"/>
          <w:rFonts w:cs="FrankRuehl" w:hint="cs"/>
          <w:rtl/>
        </w:rPr>
        <w:tab/>
        <w:t xml:space="preserve">"נכס הבסיס" </w:t>
      </w:r>
      <w:r>
        <w:rPr>
          <w:rStyle w:val="default"/>
          <w:rFonts w:cs="FrankRuehl"/>
          <w:rtl/>
        </w:rPr>
        <w:t>–</w:t>
      </w:r>
      <w:r>
        <w:rPr>
          <w:rStyle w:val="default"/>
          <w:rFonts w:cs="FrankRuehl" w:hint="cs"/>
          <w:rtl/>
        </w:rPr>
        <w:t xml:space="preserve"> הנכס, הריבית, שער המטבע, המדד, ההפרש או המחיר נושא ההתחייבות או הזכות בעסקה העתידית;</w:t>
      </w:r>
    </w:p>
    <w:p w14:paraId="167C46A4" w14:textId="77777777" w:rsidR="00FF1781" w:rsidRDefault="00FF1781">
      <w:pPr>
        <w:pStyle w:val="P00"/>
        <w:spacing w:before="72"/>
        <w:ind w:left="0" w:right="1134"/>
        <w:rPr>
          <w:rStyle w:val="default"/>
          <w:rFonts w:cs="FrankRuehl" w:hint="cs"/>
          <w:rtl/>
        </w:rPr>
      </w:pPr>
      <w:r>
        <w:rPr>
          <w:rStyle w:val="default"/>
          <w:rFonts w:cs="FrankRuehl" w:hint="cs"/>
          <w:rtl/>
        </w:rPr>
        <w:tab/>
        <w:t xml:space="preserve">"נייר ערך חליפי" </w:t>
      </w:r>
      <w:r>
        <w:rPr>
          <w:rStyle w:val="default"/>
          <w:rFonts w:cs="FrankRuehl"/>
          <w:rtl/>
        </w:rPr>
        <w:t>–</w:t>
      </w:r>
      <w:r>
        <w:rPr>
          <w:rStyle w:val="default"/>
          <w:rFonts w:cs="FrankRuehl" w:hint="cs"/>
          <w:rtl/>
        </w:rPr>
        <w:t xml:space="preserve"> נייר ערך שרכש מוכר נייר ערך בחסר, שהוא של אותו מנפיק ומאותו סוג של נייר הערך שנמכר בחסר.</w:t>
      </w:r>
    </w:p>
    <w:p w14:paraId="38AEC5B0" w14:textId="77777777" w:rsidR="00FF1781" w:rsidRDefault="00FF17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מונח בתקנות אלה תהיה המשמעות הנודעת לו בסעיף 105יא לפקודה, בסעיף 6 לחוק תיאומים בשל אינפלציה או בצו מס הכנסה (קביעת דמי השאלה כהכנסה), התשס"ג-2002, בשינויים המחויבים לפי הענין, זולת אם נאמר במפורש אחרת.</w:t>
      </w:r>
    </w:p>
    <w:p w14:paraId="23E2CF0D" w14:textId="77777777" w:rsidR="00FF1781" w:rsidRDefault="00FF1781">
      <w:pPr>
        <w:pStyle w:val="P00"/>
        <w:spacing w:before="72"/>
        <w:ind w:left="0" w:right="1134"/>
        <w:rPr>
          <w:rStyle w:val="default"/>
          <w:rFonts w:cs="FrankRuehl" w:hint="cs"/>
          <w:rtl/>
        </w:rPr>
      </w:pPr>
      <w:bookmarkStart w:id="1" w:name="Seif2"/>
      <w:bookmarkEnd w:id="1"/>
      <w:r>
        <w:rPr>
          <w:rFonts w:cs="Miriam"/>
          <w:szCs w:val="32"/>
          <w:rtl/>
          <w:lang w:val="he-IL"/>
        </w:rPr>
        <w:pict w14:anchorId="7B4FEA85">
          <v:shapetype id="_x0000_t202" coordsize="21600,21600" o:spt="202" path="m,l,21600r21600,l21600,xe">
            <v:stroke joinstyle="miter"/>
            <v:path gradientshapeok="t" o:connecttype="rect"/>
          </v:shapetype>
          <v:shape id="_x0000_s1036" type="#_x0000_t202" style="position:absolute;left:0;text-align:left;margin-left:470.25pt;margin-top:7.1pt;width:1in;height:12.75pt;z-index:251653120" filled="f" stroked="f">
            <v:textbox inset="1mm,0,1mm,0">
              <w:txbxContent>
                <w:p w14:paraId="6433B930" w14:textId="77777777" w:rsidR="00FF1781" w:rsidRDefault="00FF1781">
                  <w:pPr>
                    <w:spacing w:line="160" w:lineRule="exact"/>
                    <w:jc w:val="left"/>
                    <w:rPr>
                      <w:rFonts w:cs="Miriam" w:hint="cs"/>
                      <w:szCs w:val="18"/>
                      <w:rtl/>
                    </w:rPr>
                  </w:pPr>
                  <w:r>
                    <w:rPr>
                      <w:rFonts w:cs="Miriam" w:hint="cs"/>
                      <w:szCs w:val="18"/>
                      <w:rtl/>
                    </w:rPr>
                    <w:t>קביעת יום המכירה</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לצורך חישוב רווח הון בעסקה עתידית יראו כיום המכירה, אחד ממועדים אלה, לפי המוקדם:</w:t>
      </w:r>
    </w:p>
    <w:p w14:paraId="4F2DDE98" w14:textId="77777777" w:rsidR="00FF1781" w:rsidRDefault="00FF178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היום שבו נמכרה העסקה העתידית;</w:t>
      </w:r>
    </w:p>
    <w:p w14:paraId="2DC141E4" w14:textId="77777777" w:rsidR="00FF1781" w:rsidRDefault="00FF178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בעסקה עתידית שהיא זכות או התחייבות למסור או לקבל סכומי כסף וכן בעסקה עתידית שהיא זכות למסור או לקבל נכס בסיס שהוא סכומי כסף </w:t>
      </w:r>
      <w:r>
        <w:rPr>
          <w:rStyle w:val="default"/>
          <w:rFonts w:cs="FrankRuehl"/>
          <w:rtl/>
        </w:rPr>
        <w:t>–</w:t>
      </w:r>
      <w:r>
        <w:rPr>
          <w:rStyle w:val="default"/>
          <w:rFonts w:cs="FrankRuehl" w:hint="cs"/>
          <w:rtl/>
        </w:rPr>
        <w:t xml:space="preserve"> יום המימוש;</w:t>
      </w:r>
    </w:p>
    <w:p w14:paraId="6A09850B" w14:textId="77777777" w:rsidR="00FF1781" w:rsidRDefault="00FF178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בעסקה עתידית מסוג התחייבות או זכות לקבל את נכס הבסיס, למעט אם הוא כסף </w:t>
      </w:r>
      <w:r>
        <w:rPr>
          <w:rStyle w:val="default"/>
          <w:rFonts w:cs="FrankRuehl"/>
          <w:rtl/>
        </w:rPr>
        <w:t>–</w:t>
      </w:r>
      <w:r>
        <w:rPr>
          <w:rStyle w:val="default"/>
          <w:rFonts w:cs="FrankRuehl" w:hint="cs"/>
          <w:rtl/>
        </w:rPr>
        <w:t xml:space="preserve"> בידי נותן הזכות או ההתחייבות </w:t>
      </w:r>
      <w:r>
        <w:rPr>
          <w:rStyle w:val="default"/>
          <w:rFonts w:cs="FrankRuehl"/>
          <w:rtl/>
        </w:rPr>
        <w:t>–</w:t>
      </w:r>
      <w:r>
        <w:rPr>
          <w:rStyle w:val="default"/>
          <w:rFonts w:cs="FrankRuehl" w:hint="cs"/>
          <w:rtl/>
        </w:rPr>
        <w:t xml:space="preserve"> יום המימוש, ובידי מחזיק הזכות או ההתחייבות </w:t>
      </w:r>
      <w:r>
        <w:rPr>
          <w:rStyle w:val="default"/>
          <w:rFonts w:cs="FrankRuehl"/>
          <w:rtl/>
        </w:rPr>
        <w:t>–</w:t>
      </w:r>
      <w:r>
        <w:rPr>
          <w:rStyle w:val="default"/>
          <w:rFonts w:cs="FrankRuehl" w:hint="cs"/>
          <w:rtl/>
        </w:rPr>
        <w:t xml:space="preserve"> במועד הפקידה או ביום מכירת נכס הבסיס שנתקבל ביום המימוש, לפי הענין.</w:t>
      </w:r>
    </w:p>
    <w:p w14:paraId="0A41E033" w14:textId="77777777" w:rsidR="00FF1781" w:rsidRDefault="00FF1781">
      <w:pPr>
        <w:pStyle w:val="P00"/>
        <w:spacing w:before="72"/>
        <w:ind w:left="0" w:right="1134"/>
        <w:rPr>
          <w:rStyle w:val="default"/>
          <w:rFonts w:cs="FrankRuehl" w:hint="cs"/>
          <w:rtl/>
        </w:rPr>
      </w:pPr>
      <w:bookmarkStart w:id="2" w:name="Seif3"/>
      <w:bookmarkEnd w:id="2"/>
      <w:r>
        <w:rPr>
          <w:rFonts w:cs="Miriam"/>
          <w:szCs w:val="32"/>
          <w:rtl/>
          <w:lang w:val="he-IL"/>
        </w:rPr>
        <w:pict w14:anchorId="43E4E08F">
          <v:shape id="_x0000_s1078" type="#_x0000_t202" style="position:absolute;left:0;text-align:left;margin-left:470.25pt;margin-top:5.2pt;width:1in;height:22.4pt;z-index:251654144" filled="f" stroked="f">
            <v:textbox inset="1mm,,1mm">
              <w:txbxContent>
                <w:p w14:paraId="05D511D3" w14:textId="77777777" w:rsidR="00FF1781" w:rsidRDefault="00FF1781">
                  <w:pPr>
                    <w:spacing w:line="160" w:lineRule="exact"/>
                    <w:jc w:val="left"/>
                    <w:rPr>
                      <w:rFonts w:cs="Miriam" w:hint="cs"/>
                      <w:szCs w:val="18"/>
                      <w:rtl/>
                    </w:rPr>
                  </w:pPr>
                  <w:r>
                    <w:rPr>
                      <w:rFonts w:cs="Miriam" w:hint="cs"/>
                      <w:szCs w:val="18"/>
                      <w:rtl/>
                    </w:rPr>
                    <w:t>הוראות לענין חישוב רווח הון</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בחישוב רווח ההון או הפסד ההון בעסקה עתידית, יחולו הוראות אלה:</w:t>
      </w:r>
    </w:p>
    <w:p w14:paraId="1C42B8E8" w14:textId="77777777" w:rsidR="00FF1781" w:rsidRDefault="00FF178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בעסקה עתידית שיום המכירה בה נקבע כאמור בתקנה 2(1) או(2), יחושב הרווח בידי נותן או מחזיק הזכות או צד להתחייבות כתמורה, לרבות סכום שהתקבל בשל העסקה העתידית, בניכוי סכומים ששולמו בשל אותה העסקה;</w:t>
      </w:r>
    </w:p>
    <w:p w14:paraId="46BC4E7C" w14:textId="77777777" w:rsidR="00FF1781" w:rsidRDefault="00FF178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בעסקה עתידית שיום מכירתה נקבע כאמור בתקנה 2(3) ושנכס הבסיס שלה הוא נכס כהגדרתו בסעיף 88 לפקודה, יחושב רווח ההון בהתאם להוראות אלה:</w:t>
      </w:r>
    </w:p>
    <w:p w14:paraId="411BB959" w14:textId="77777777" w:rsidR="00FF1781" w:rsidRDefault="00FF1781">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בידי נותן הזכות או ההתחייבות </w:t>
      </w:r>
      <w:r>
        <w:rPr>
          <w:rStyle w:val="default"/>
          <w:rFonts w:cs="FrankRuehl"/>
          <w:rtl/>
        </w:rPr>
        <w:t>–</w:t>
      </w:r>
      <w:r>
        <w:rPr>
          <w:rStyle w:val="default"/>
          <w:rFonts w:cs="FrankRuehl" w:hint="cs"/>
          <w:rtl/>
        </w:rPr>
        <w:t xml:space="preserve"> התמורה בעד העסקה העתידית, לרבות הסכומים שקיבל בשל מתן הזכות או ההתחייבות ובשל מימושה, ואם לא פקעה </w:t>
      </w:r>
      <w:r>
        <w:rPr>
          <w:rStyle w:val="default"/>
          <w:rFonts w:cs="FrankRuehl"/>
          <w:rtl/>
        </w:rPr>
        <w:t>–</w:t>
      </w:r>
      <w:r>
        <w:rPr>
          <w:rStyle w:val="default"/>
          <w:rFonts w:cs="FrankRuehl" w:hint="cs"/>
          <w:rtl/>
        </w:rPr>
        <w:t xml:space="preserve"> בניכוי סכומים ששולמו ברכישת נכס הבסיס, ויראו את הרווח ממכירת נכס הבסיס כרווח הון מהעסקה העתידית;</w:t>
      </w:r>
    </w:p>
    <w:p w14:paraId="5FA25E0D" w14:textId="77777777" w:rsidR="00FF1781" w:rsidRDefault="00FF1781">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בידי מחזיק הזכות או ההתחייבות </w:t>
      </w:r>
      <w:r>
        <w:rPr>
          <w:rStyle w:val="default"/>
          <w:rFonts w:cs="FrankRuehl"/>
          <w:rtl/>
        </w:rPr>
        <w:t>–</w:t>
      </w:r>
      <w:r>
        <w:rPr>
          <w:rStyle w:val="default"/>
          <w:rFonts w:cs="FrankRuehl" w:hint="cs"/>
          <w:rtl/>
        </w:rPr>
        <w:t xml:space="preserve"> התמורה במכירת נכס הבסיס, בניכוי סכומים ששולמו או בתוספת סכומים שהתקבלו על פי תנאי העסקה העתידית, ויראו את יום הרכישה כיום ההתקשרות בעסקה העתידית ואת הסכום ששולם בשל המימוש כהוצאות השבחה;</w:t>
      </w:r>
    </w:p>
    <w:p w14:paraId="72FF06F0" w14:textId="77777777" w:rsidR="00FF1781" w:rsidRDefault="00FF1781">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על אף האמור בפסקת משנה (ב), היה שיעור המס החל על העסקה העתידית </w:t>
      </w:r>
      <w:r>
        <w:rPr>
          <w:rStyle w:val="default"/>
          <w:rFonts w:cs="FrankRuehl" w:hint="cs"/>
          <w:rtl/>
        </w:rPr>
        <w:lastRenderedPageBreak/>
        <w:t xml:space="preserve">במועד המימוש שונה משיעור המס החל על מכירת נכס הבסיס, יראו את חלק הרווח עד למועד המימוש כרווח או כהפסד, לפי הענין, מעסקה עתידית ואת יתרת הרווח או ההפסד, כרווח או כהפסד, ממכירת נכס הבסיס; בפסקת משנה זו, "חלק הרווח עד למועד המימוש" </w:t>
      </w:r>
      <w:r>
        <w:rPr>
          <w:rStyle w:val="default"/>
          <w:rFonts w:cs="FrankRuehl"/>
          <w:rtl/>
        </w:rPr>
        <w:t>–</w:t>
      </w:r>
      <w:r>
        <w:rPr>
          <w:rStyle w:val="default"/>
          <w:rFonts w:cs="FrankRuehl" w:hint="cs"/>
          <w:rtl/>
        </w:rPr>
        <w:t xml:space="preserve"> הרווח או ההפסד, לפי הענין, כשהוא מוכפל ביחס שבין התקופה שמיום העסקה ועד ליום המימוש לבין התקופה שמיום העסקה ועד ליום המכירה של נכס הבסיס;</w:t>
      </w:r>
    </w:p>
    <w:p w14:paraId="3CBA2CCF" w14:textId="77777777" w:rsidR="00FF1781" w:rsidRDefault="00FF1781">
      <w:pPr>
        <w:pStyle w:val="P00"/>
        <w:spacing w:before="72"/>
        <w:ind w:left="624" w:right="1134"/>
        <w:rPr>
          <w:rStyle w:val="default"/>
          <w:rFonts w:cs="FrankRuehl" w:hint="cs"/>
          <w:rtl/>
        </w:rPr>
      </w:pPr>
      <w:r>
        <w:rPr>
          <w:rtl/>
          <w:lang w:val="he-IL"/>
        </w:rPr>
        <w:pict w14:anchorId="3E87ABAF">
          <v:shape id="_x0000_s1099" type="#_x0000_t202" style="position:absolute;left:0;text-align:left;margin-left:470.25pt;margin-top:4.85pt;width:1in;height:16.8pt;z-index:251662336" filled="f" stroked="f">
            <v:textbox inset="1mm,,1mm">
              <w:txbxContent>
                <w:p w14:paraId="55B5A6A8" w14:textId="77777777" w:rsidR="00FF1781" w:rsidRDefault="00FF1781">
                  <w:pPr>
                    <w:spacing w:line="160" w:lineRule="exact"/>
                    <w:jc w:val="left"/>
                    <w:rPr>
                      <w:rFonts w:cs="Miriam" w:hint="cs"/>
                      <w:szCs w:val="18"/>
                      <w:rtl/>
                    </w:rPr>
                  </w:pPr>
                  <w:r>
                    <w:rPr>
                      <w:rFonts w:cs="Miriam" w:hint="cs"/>
                      <w:szCs w:val="18"/>
                      <w:rtl/>
                    </w:rPr>
                    <w:t>תק' תשס"ג-2003</w:t>
                  </w:r>
                </w:p>
              </w:txbxContent>
            </v:textbox>
          </v:shape>
        </w:pict>
      </w:r>
      <w:r>
        <w:rPr>
          <w:rStyle w:val="default"/>
          <w:rFonts w:cs="FrankRuehl" w:hint="cs"/>
          <w:rtl/>
        </w:rPr>
        <w:t>(3)</w:t>
      </w:r>
      <w:r>
        <w:rPr>
          <w:rStyle w:val="default"/>
          <w:rFonts w:cs="FrankRuehl" w:hint="cs"/>
          <w:rtl/>
        </w:rPr>
        <w:tab/>
        <w:t>התקבל תשלום בעסקה עתידית לפני יום המכירה, יתואם התשלום למדד, כהגדרתו בסעיף 105יא, מיו התשלום עד ליום המכירה; לענין ההגדרה "מדד", יראו את התשלום "כנכס" כמשמעותו באותה הגדרה.</w:t>
      </w:r>
    </w:p>
    <w:p w14:paraId="4D55D259" w14:textId="77777777" w:rsidR="00747885" w:rsidRPr="00353C66" w:rsidRDefault="00747885" w:rsidP="00747885">
      <w:pPr>
        <w:pStyle w:val="P00"/>
        <w:tabs>
          <w:tab w:val="clear" w:pos="6259"/>
        </w:tabs>
        <w:spacing w:before="0"/>
        <w:ind w:left="624" w:right="1134"/>
        <w:rPr>
          <w:rFonts w:hint="cs"/>
          <w:vanish/>
          <w:szCs w:val="20"/>
          <w:shd w:val="clear" w:color="auto" w:fill="FFFF99"/>
          <w:rtl/>
        </w:rPr>
      </w:pPr>
      <w:bookmarkStart w:id="3" w:name="Rov12"/>
      <w:r w:rsidRPr="00353C66">
        <w:rPr>
          <w:rFonts w:hint="cs"/>
          <w:vanish/>
          <w:color w:val="FF0000"/>
          <w:szCs w:val="20"/>
          <w:shd w:val="clear" w:color="auto" w:fill="FFFF99"/>
          <w:rtl/>
        </w:rPr>
        <w:t>מיום 1.1.2003</w:t>
      </w:r>
    </w:p>
    <w:p w14:paraId="70736F4E" w14:textId="77777777" w:rsidR="00747885" w:rsidRPr="00353C66" w:rsidRDefault="00747885" w:rsidP="00747885">
      <w:pPr>
        <w:pStyle w:val="P00"/>
        <w:spacing w:before="0"/>
        <w:ind w:left="624" w:right="1134"/>
        <w:rPr>
          <w:rFonts w:hint="cs"/>
          <w:b/>
          <w:bCs/>
          <w:vanish/>
          <w:szCs w:val="20"/>
          <w:shd w:val="clear" w:color="auto" w:fill="FFFF99"/>
          <w:rtl/>
        </w:rPr>
      </w:pPr>
      <w:r w:rsidRPr="00353C66">
        <w:rPr>
          <w:rFonts w:hint="cs"/>
          <w:b/>
          <w:bCs/>
          <w:vanish/>
          <w:szCs w:val="20"/>
          <w:shd w:val="clear" w:color="auto" w:fill="FFFF99"/>
          <w:rtl/>
        </w:rPr>
        <w:t>תק' תשס"ג-2003</w:t>
      </w:r>
    </w:p>
    <w:p w14:paraId="1781EE69" w14:textId="77777777" w:rsidR="00747885" w:rsidRPr="00353C66" w:rsidRDefault="00747885" w:rsidP="00747885">
      <w:pPr>
        <w:pStyle w:val="P00"/>
        <w:spacing w:before="0"/>
        <w:ind w:left="624" w:right="1134"/>
        <w:rPr>
          <w:rFonts w:hint="cs"/>
          <w:vanish/>
          <w:szCs w:val="20"/>
          <w:shd w:val="clear" w:color="auto" w:fill="FFFF99"/>
          <w:rtl/>
        </w:rPr>
      </w:pPr>
      <w:hyperlink r:id="rId6" w:history="1">
        <w:r w:rsidRPr="00353C66">
          <w:rPr>
            <w:rStyle w:val="Hyperlink"/>
            <w:rFonts w:hint="cs"/>
            <w:vanish/>
            <w:szCs w:val="20"/>
            <w:shd w:val="clear" w:color="auto" w:fill="FFFF99"/>
            <w:rtl/>
          </w:rPr>
          <w:t>ק"ת תשס"ג מס' 6245</w:t>
        </w:r>
      </w:hyperlink>
      <w:r w:rsidRPr="00353C66">
        <w:rPr>
          <w:rFonts w:hint="cs"/>
          <w:vanish/>
          <w:szCs w:val="20"/>
          <w:shd w:val="clear" w:color="auto" w:fill="FFFF99"/>
          <w:rtl/>
        </w:rPr>
        <w:t xml:space="preserve"> מיום 26.6.2003 עמ' 788</w:t>
      </w:r>
    </w:p>
    <w:p w14:paraId="6EA3FB59" w14:textId="77777777" w:rsidR="00747885" w:rsidRPr="00747885" w:rsidRDefault="00747885" w:rsidP="00747885">
      <w:pPr>
        <w:pStyle w:val="P00"/>
        <w:ind w:left="624" w:right="1134"/>
        <w:rPr>
          <w:rStyle w:val="default"/>
          <w:rFonts w:cs="FrankRuehl" w:hint="cs"/>
          <w:sz w:val="2"/>
          <w:szCs w:val="2"/>
          <w:rtl/>
        </w:rPr>
      </w:pPr>
      <w:r w:rsidRPr="00353C66">
        <w:rPr>
          <w:rStyle w:val="default"/>
          <w:rFonts w:cs="FrankRuehl" w:hint="cs"/>
          <w:vanish/>
          <w:sz w:val="22"/>
          <w:szCs w:val="22"/>
          <w:shd w:val="clear" w:color="auto" w:fill="FFFF99"/>
          <w:rtl/>
        </w:rPr>
        <w:t>(3)</w:t>
      </w:r>
      <w:r w:rsidRPr="00353C66">
        <w:rPr>
          <w:rStyle w:val="default"/>
          <w:rFonts w:cs="FrankRuehl" w:hint="cs"/>
          <w:vanish/>
          <w:sz w:val="22"/>
          <w:szCs w:val="22"/>
          <w:shd w:val="clear" w:color="auto" w:fill="FFFF99"/>
          <w:rtl/>
        </w:rPr>
        <w:tab/>
      </w:r>
      <w:r w:rsidRPr="00353C66">
        <w:rPr>
          <w:rStyle w:val="default"/>
          <w:rFonts w:cs="FrankRuehl" w:hint="cs"/>
          <w:strike/>
          <w:vanish/>
          <w:sz w:val="22"/>
          <w:szCs w:val="22"/>
          <w:shd w:val="clear" w:color="auto" w:fill="FFFF99"/>
          <w:rtl/>
        </w:rPr>
        <w:t>שולם תשלום</w:t>
      </w:r>
      <w:r w:rsidRPr="00353C66">
        <w:rPr>
          <w:rStyle w:val="default"/>
          <w:rFonts w:cs="FrankRuehl" w:hint="cs"/>
          <w:vanish/>
          <w:sz w:val="22"/>
          <w:szCs w:val="22"/>
          <w:shd w:val="clear" w:color="auto" w:fill="FFFF99"/>
          <w:rtl/>
        </w:rPr>
        <w:t xml:space="preserve"> </w:t>
      </w:r>
      <w:r w:rsidRPr="00353C66">
        <w:rPr>
          <w:rStyle w:val="default"/>
          <w:rFonts w:cs="FrankRuehl" w:hint="cs"/>
          <w:vanish/>
          <w:sz w:val="22"/>
          <w:szCs w:val="22"/>
          <w:u w:val="single"/>
          <w:shd w:val="clear" w:color="auto" w:fill="FFFF99"/>
          <w:rtl/>
        </w:rPr>
        <w:t>התקבל תשלום</w:t>
      </w:r>
      <w:r w:rsidRPr="00353C66">
        <w:rPr>
          <w:rStyle w:val="default"/>
          <w:rFonts w:cs="FrankRuehl" w:hint="cs"/>
          <w:vanish/>
          <w:sz w:val="22"/>
          <w:szCs w:val="22"/>
          <w:shd w:val="clear" w:color="auto" w:fill="FFFF99"/>
          <w:rtl/>
        </w:rPr>
        <w:t xml:space="preserve"> בעסקה עתידית לפני יום המכירה, יתואם התשלום למדד, כהגדרתו בסעיף 105יא, מיו התשלום עד ליום המכירה; לענין ההגדרה "מדד", יראו את התשלום "כנכס" כמשמעותו באותה הגדרה.</w:t>
      </w:r>
      <w:bookmarkEnd w:id="3"/>
    </w:p>
    <w:p w14:paraId="23EE70EE" w14:textId="77777777" w:rsidR="00FF1781" w:rsidRDefault="00FF1781">
      <w:pPr>
        <w:pStyle w:val="P00"/>
        <w:spacing w:before="72"/>
        <w:ind w:left="0" w:right="1134"/>
        <w:rPr>
          <w:rStyle w:val="default"/>
          <w:rFonts w:cs="FrankRuehl" w:hint="cs"/>
          <w:rtl/>
        </w:rPr>
      </w:pPr>
      <w:bookmarkStart w:id="4" w:name="Seif4"/>
      <w:bookmarkEnd w:id="4"/>
      <w:r>
        <w:rPr>
          <w:rFonts w:cs="Miriam"/>
          <w:szCs w:val="32"/>
          <w:rtl/>
          <w:lang w:val="he-IL"/>
        </w:rPr>
        <w:pict w14:anchorId="75D23B54">
          <v:shape id="_x0000_s1079" type="#_x0000_t202" style="position:absolute;left:0;text-align:left;margin-left:470.25pt;margin-top:7.1pt;width:1in;height:22.4pt;z-index:251655168" filled="f" stroked="f">
            <v:textbox inset="1mm,0,1mm,0">
              <w:txbxContent>
                <w:p w14:paraId="1E339FE2" w14:textId="77777777" w:rsidR="00FF1781" w:rsidRDefault="00FF1781">
                  <w:pPr>
                    <w:spacing w:line="160" w:lineRule="exact"/>
                    <w:jc w:val="left"/>
                    <w:rPr>
                      <w:rFonts w:cs="Miriam" w:hint="cs"/>
                      <w:szCs w:val="18"/>
                      <w:rtl/>
                    </w:rPr>
                  </w:pPr>
                  <w:r>
                    <w:rPr>
                      <w:rFonts w:cs="Miriam" w:hint="cs"/>
                      <w:szCs w:val="18"/>
                      <w:rtl/>
                    </w:rPr>
                    <w:t>הוראות לענין מכירה בחסר</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(א)</w:t>
      </w:r>
      <w:r>
        <w:rPr>
          <w:rStyle w:val="default"/>
          <w:rFonts w:cs="FrankRuehl" w:hint="cs"/>
          <w:rtl/>
        </w:rPr>
        <w:tab/>
        <w:t>במכירה בחסר של נייר ערך הנסחר בבורסה יראו את רווח ההון כאילו נצמח או הופק במועד רכישת נייר הערך החליפי, ויחולו הוראות אלה:</w:t>
      </w:r>
    </w:p>
    <w:p w14:paraId="0D6F2E02" w14:textId="77777777" w:rsidR="00FF1781" w:rsidRDefault="00FF178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יום הרכישה יהיה יום רכישתו של נייר הערך החליפי והמחיר המקורי יהיה המחיר המקורי של נייר הערך החליפי בתוספת דמי השאלה, תחליף הדיבידנד ותחליף הריבית ששילם המוכר בחסר בשל אותו נייר ערך, מיום המכירה בחסר ועד ליום הרכישה של נייר הערך החליפי אולם לצורך חישוב הסכום האינפלציוני יראו את דמי ההשאלה ואת תחליף הריבית </w:t>
      </w:r>
      <w:r>
        <w:rPr>
          <w:rStyle w:val="default"/>
          <w:rFonts w:cs="FrankRuehl"/>
          <w:rtl/>
        </w:rPr>
        <w:t>–</w:t>
      </w:r>
      <w:r>
        <w:rPr>
          <w:rStyle w:val="default"/>
          <w:rFonts w:cs="FrankRuehl" w:hint="cs"/>
          <w:rtl/>
        </w:rPr>
        <w:t xml:space="preserve"> כהוצאות השבחה;</w:t>
      </w:r>
    </w:p>
    <w:p w14:paraId="7D44CA81" w14:textId="77777777" w:rsidR="00FF1781" w:rsidRDefault="00FF17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יראו את רווח ההון בסכום שבו עולה התמורה במכירת נייר הערך בחסר, כשהיא מתואמת מיום מכירת נייר הערך בחסר ועד יום הרכישה של נייר הערך החליפי, על המחיר המקורי.</w:t>
      </w:r>
    </w:p>
    <w:p w14:paraId="5319B784" w14:textId="77777777" w:rsidR="00FF1781" w:rsidRDefault="00FF17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בתקנה משנה (א), הושאל נייר ערך מקרוב, כהגדרתו בצו מס הכנסה (קביעת דמי השאלה כהכנסה), התשס"ג-2002, ממעביד, מספק שירותים או מלקוח, יראו את ההשאלה כמכירה ובמועד השבת נייר הערך החליפי יראו את נייר הערך החליפי כנמכר למשאיל.</w:t>
      </w:r>
    </w:p>
    <w:p w14:paraId="1CA21826" w14:textId="77777777" w:rsidR="00FF1781" w:rsidRDefault="00FF178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במכירה בחסר שהוראות תקנת משנה (א) או (ב) אינן חלות עליה, יראו את המכירה בחסר כמכירה.</w:t>
      </w:r>
    </w:p>
    <w:p w14:paraId="11853170" w14:textId="77777777" w:rsidR="00FF1781" w:rsidRDefault="00FF178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שואל ניירות ערך שבמועד ההשאלה החזיק בנייר ערך מאותו סוג ושל אותו מנפיק, יראוהו במועד המכירה בחסר כמוכר את ניירות הערך שלו תחילה, ויחולו הוראות חלק ה' או ה'3 לפקודה, לפי הענין.</w:t>
      </w:r>
    </w:p>
    <w:p w14:paraId="3DC6620A" w14:textId="77777777" w:rsidR="00FF1781" w:rsidRDefault="00FF178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לענין המשאיל יראו את ההכנסה מתחליף הדיבידנד אט מתחליף הריבית, לפי הענין, המשולמים בשל השאלה מוטבת כהכנסה מדיבידנד או מריבית, לפי הענין.</w:t>
      </w:r>
    </w:p>
    <w:p w14:paraId="7EABF6FD" w14:textId="77777777" w:rsidR="00FF1781" w:rsidRDefault="00FF1781">
      <w:pPr>
        <w:pStyle w:val="P00"/>
        <w:spacing w:before="72"/>
        <w:ind w:left="0" w:right="1134"/>
        <w:rPr>
          <w:rStyle w:val="default"/>
          <w:rFonts w:cs="FrankRuehl" w:hint="cs"/>
          <w:rtl/>
        </w:rPr>
      </w:pPr>
      <w:bookmarkStart w:id="5" w:name="Seif5"/>
      <w:bookmarkEnd w:id="5"/>
      <w:r>
        <w:rPr>
          <w:rFonts w:cs="Miriam"/>
          <w:szCs w:val="32"/>
          <w:rtl/>
          <w:lang w:val="he-IL"/>
        </w:rPr>
        <w:pict w14:anchorId="1D3AEECB">
          <v:shape id="_x0000_s1080" type="#_x0000_t202" style="position:absolute;left:0;text-align:left;margin-left:470.25pt;margin-top:7.1pt;width:1in;height:31pt;z-index:251656192" filled="f" stroked="f">
            <v:textbox inset="1mm,0,1mm,0">
              <w:txbxContent>
                <w:p w14:paraId="32A99D33" w14:textId="77777777" w:rsidR="00FF1781" w:rsidRDefault="00FF1781">
                  <w:pPr>
                    <w:spacing w:line="160" w:lineRule="exact"/>
                    <w:jc w:val="left"/>
                    <w:rPr>
                      <w:rFonts w:cs="Miriam" w:hint="cs"/>
                      <w:szCs w:val="18"/>
                      <w:rtl/>
                    </w:rPr>
                  </w:pPr>
                  <w:r>
                    <w:rPr>
                      <w:rFonts w:cs="Miriam" w:hint="cs"/>
                      <w:szCs w:val="18"/>
                      <w:rtl/>
                    </w:rPr>
                    <w:t>הוראות מיוחדות לענין מכירה של עסקה עתידית</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 xml:space="preserve">היה אדם צד למספר עסקאות עתידיות בנכס בסיס זהה ובתנאים זהים, יראו אותן כנמכרות לפי סדר רכישתן, מהראשון עד האחרון, זולת אם הוכיח המוכר לפקיד השומה אחרת; לענין זה, "רכישה" </w:t>
      </w:r>
      <w:r>
        <w:rPr>
          <w:rStyle w:val="default"/>
          <w:rFonts w:cs="FrankRuehl"/>
          <w:rtl/>
        </w:rPr>
        <w:t>–</w:t>
      </w:r>
      <w:r>
        <w:rPr>
          <w:rStyle w:val="default"/>
          <w:rFonts w:cs="FrankRuehl" w:hint="cs"/>
          <w:rtl/>
        </w:rPr>
        <w:t xml:space="preserve"> לרבות יצירת התחייבות או קבלת זכות או התחייבות בעסקה עתידית.</w:t>
      </w:r>
    </w:p>
    <w:p w14:paraId="262F548D" w14:textId="77777777" w:rsidR="00FF1781" w:rsidRDefault="00FF1781">
      <w:pPr>
        <w:pStyle w:val="P00"/>
        <w:spacing w:before="72"/>
        <w:ind w:left="0" w:right="1134"/>
        <w:rPr>
          <w:rStyle w:val="default"/>
          <w:rFonts w:cs="FrankRuehl" w:hint="cs"/>
          <w:rtl/>
        </w:rPr>
      </w:pPr>
      <w:bookmarkStart w:id="6" w:name="Seif11"/>
      <w:bookmarkEnd w:id="6"/>
      <w:r>
        <w:rPr>
          <w:rFonts w:cs="Miriam"/>
          <w:szCs w:val="32"/>
          <w:rtl/>
          <w:lang w:val="he-IL"/>
        </w:rPr>
        <w:pict w14:anchorId="78E79D29">
          <v:shape id="_x0000_s1100" type="#_x0000_t202" style="position:absolute;left:0;text-align:left;margin-left:470.25pt;margin-top:7.1pt;width:1in;height:39.2pt;z-index:251663360" filled="f" stroked="f">
            <v:textbox inset="1mm,0,1mm,0">
              <w:txbxContent>
                <w:p w14:paraId="05CBFD77" w14:textId="77777777" w:rsidR="00FF1781" w:rsidRDefault="00FF1781">
                  <w:pPr>
                    <w:spacing w:line="160" w:lineRule="exact"/>
                    <w:jc w:val="left"/>
                    <w:rPr>
                      <w:rFonts w:cs="Miriam" w:hint="cs"/>
                      <w:szCs w:val="18"/>
                      <w:rtl/>
                    </w:rPr>
                  </w:pPr>
                  <w:r>
                    <w:rPr>
                      <w:rFonts w:cs="Miriam" w:hint="cs"/>
                      <w:szCs w:val="18"/>
                      <w:rtl/>
                    </w:rPr>
                    <w:t>הוראות לענין עסקה עתידית לפני המועד הקובע</w:t>
                  </w:r>
                </w:p>
                <w:p w14:paraId="7DC781D0" w14:textId="77777777" w:rsidR="00FF1781" w:rsidRDefault="00FF1781">
                  <w:pPr>
                    <w:spacing w:line="160" w:lineRule="exact"/>
                    <w:jc w:val="left"/>
                    <w:rPr>
                      <w:rFonts w:cs="Miriam" w:hint="cs"/>
                      <w:szCs w:val="18"/>
                      <w:rtl/>
                    </w:rPr>
                  </w:pPr>
                  <w:r>
                    <w:rPr>
                      <w:rFonts w:cs="Miriam" w:hint="cs"/>
                      <w:szCs w:val="18"/>
                      <w:rtl/>
                    </w:rPr>
                    <w:t>תק' תשס"ג-2003</w:t>
                  </w:r>
                </w:p>
              </w:txbxContent>
            </v:textbox>
          </v:shape>
        </w:pict>
      </w:r>
      <w:r>
        <w:rPr>
          <w:rStyle w:val="default"/>
          <w:rFonts w:cs="Miriam" w:hint="cs"/>
          <w:sz w:val="32"/>
          <w:szCs w:val="32"/>
          <w:rtl/>
        </w:rPr>
        <w:t>5</w:t>
      </w:r>
      <w:r>
        <w:rPr>
          <w:rStyle w:val="default"/>
          <w:rFonts w:cs="FrankRuehl" w:hint="cs"/>
          <w:rtl/>
        </w:rPr>
        <w:t>א.</w:t>
      </w:r>
      <w:r>
        <w:rPr>
          <w:rStyle w:val="default"/>
          <w:rFonts w:cs="FrankRuehl" w:hint="cs"/>
          <w:rtl/>
        </w:rPr>
        <w:tab/>
        <w:t>(א)</w:t>
      </w:r>
      <w:r>
        <w:rPr>
          <w:rStyle w:val="default"/>
          <w:rFonts w:cs="FrankRuehl" w:hint="cs"/>
          <w:rtl/>
        </w:rPr>
        <w:tab/>
        <w:t xml:space="preserve">בתקנה זו </w:t>
      </w:r>
      <w:r>
        <w:rPr>
          <w:rStyle w:val="default"/>
          <w:rFonts w:cs="FrankRuehl"/>
          <w:rtl/>
        </w:rPr>
        <w:t>–</w:t>
      </w:r>
    </w:p>
    <w:p w14:paraId="00CB7CD1" w14:textId="77777777" w:rsidR="00FF1781" w:rsidRDefault="00FF1781">
      <w:pPr>
        <w:pStyle w:val="P00"/>
        <w:spacing w:before="72"/>
        <w:ind w:left="0" w:right="1134"/>
        <w:rPr>
          <w:rStyle w:val="default"/>
          <w:rFonts w:cs="FrankRuehl" w:hint="cs"/>
          <w:rtl/>
        </w:rPr>
      </w:pPr>
      <w:r>
        <w:rPr>
          <w:rStyle w:val="default"/>
          <w:rFonts w:cs="FrankRuehl" w:hint="cs"/>
          <w:rtl/>
        </w:rPr>
        <w:tab/>
        <w:t xml:space="preserve">"ממוצע שווייה" </w:t>
      </w:r>
      <w:r>
        <w:rPr>
          <w:rStyle w:val="default"/>
          <w:rFonts w:cs="FrankRuehl"/>
          <w:rtl/>
        </w:rPr>
        <w:t>–</w:t>
      </w:r>
      <w:r>
        <w:rPr>
          <w:rStyle w:val="default"/>
          <w:rFonts w:cs="FrankRuehl" w:hint="cs"/>
          <w:rtl/>
        </w:rPr>
        <w:t xml:space="preserve"> ממוצע שווייה של העסקה העתידית בתום כל אחד משלושת ימי המסחר בבורסה שקדמו למועד הקובע;</w:t>
      </w:r>
    </w:p>
    <w:p w14:paraId="19801E5E" w14:textId="77777777" w:rsidR="00FF1781" w:rsidRDefault="00FF1781">
      <w:pPr>
        <w:pStyle w:val="P00"/>
        <w:spacing w:before="72"/>
        <w:ind w:left="0" w:right="1134"/>
        <w:rPr>
          <w:rStyle w:val="default"/>
          <w:rFonts w:cs="FrankRuehl" w:hint="cs"/>
          <w:rtl/>
        </w:rPr>
      </w:pPr>
      <w:r>
        <w:rPr>
          <w:rStyle w:val="default"/>
          <w:rFonts w:cs="FrankRuehl" w:hint="cs"/>
          <w:rtl/>
        </w:rPr>
        <w:tab/>
        <w:t xml:space="preserve">"עסקה עתידית שתחילתה לפני המועד הקובע" </w:t>
      </w:r>
      <w:r>
        <w:rPr>
          <w:rStyle w:val="default"/>
          <w:rFonts w:cs="FrankRuehl"/>
          <w:rtl/>
        </w:rPr>
        <w:t>–</w:t>
      </w:r>
      <w:r>
        <w:rPr>
          <w:rStyle w:val="default"/>
          <w:rFonts w:cs="FrankRuehl" w:hint="cs"/>
          <w:rtl/>
        </w:rPr>
        <w:t xml:space="preserve"> עסקה עתידית שמתקיימים בה כל אלה:</w:t>
      </w:r>
    </w:p>
    <w:p w14:paraId="6319B7B7" w14:textId="77777777" w:rsidR="00FF1781" w:rsidRDefault="00FF178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יום העסקה הוא לפני המועד הקובע;</w:t>
      </w:r>
    </w:p>
    <w:p w14:paraId="6CA9DC54" w14:textId="77777777" w:rsidR="00FF1781" w:rsidRDefault="00FF17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העסקה העתידית נסחרת בבורסה בישראל;</w:t>
      </w:r>
    </w:p>
    <w:p w14:paraId="4B7679CD" w14:textId="77777777" w:rsidR="00FF1781" w:rsidRDefault="00FF178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אילו היתה נמכרת לפני המועד הקובע, היה רווח ההון במכירתה פטור ממס לפי סעיף 97(ג) לפקודה;</w:t>
      </w:r>
    </w:p>
    <w:p w14:paraId="1B2B8DE8" w14:textId="77777777" w:rsidR="00FF1781" w:rsidRDefault="00FF17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91(ב1) לפקודה, בעסקה עתידית שתחילתה לפני המועד הקובע, יראו לענין תקנה 3 כאילו שולם בשל העסקה העתידית סכום השווה לממוצע שווייה.</w:t>
      </w:r>
    </w:p>
    <w:p w14:paraId="70EFCE5A" w14:textId="77777777" w:rsidR="00FF1781" w:rsidRDefault="00FF178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הוכח כי הסכומים ששולמו לפני המועד הקובע בשל עסקה עתידית כאמור בתקנת משנה (ב), כשהם מתואמים מיום העסקה העתידית עד למועד הקובע, גבוהים מממוצע השווי, יראו סכומים אלה כאמור כתשלומים ששולמו בשל העסקה העתידית.</w:t>
      </w:r>
    </w:p>
    <w:p w14:paraId="3ACC4111" w14:textId="77777777" w:rsidR="00FF1781" w:rsidRDefault="00FF178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יום הרכישה של עסקה עתידית שתחילתה לפני המועד הקובע יהיה המועד הקובע.</w:t>
      </w:r>
    </w:p>
    <w:p w14:paraId="48E8F215" w14:textId="77777777" w:rsidR="00FF1781" w:rsidRDefault="00FF178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יותר בקיזוז חלק הפסד ההון מעסקה עתידית שתחילתה לפני המועד הקובע, בגובה ההפסד שהיה נוצר אילו נמכרה העסקה העתידית במועד הקובע אלא כנגד חלק רווח ההון שמהמועד הקובע עד יום המכירה של העסקה העתידית.</w:t>
      </w:r>
    </w:p>
    <w:p w14:paraId="2B9BDF5B" w14:textId="77777777" w:rsidR="00747885" w:rsidRPr="00353C66" w:rsidRDefault="00747885" w:rsidP="00747885">
      <w:pPr>
        <w:pStyle w:val="P00"/>
        <w:tabs>
          <w:tab w:val="clear" w:pos="6259"/>
        </w:tabs>
        <w:spacing w:before="0"/>
        <w:ind w:left="0" w:right="1134"/>
        <w:rPr>
          <w:rFonts w:hint="cs"/>
          <w:vanish/>
          <w:szCs w:val="20"/>
          <w:shd w:val="clear" w:color="auto" w:fill="FFFF99"/>
          <w:rtl/>
        </w:rPr>
      </w:pPr>
      <w:bookmarkStart w:id="7" w:name="Rov11"/>
      <w:r w:rsidRPr="00353C66">
        <w:rPr>
          <w:rFonts w:hint="cs"/>
          <w:vanish/>
          <w:color w:val="FF0000"/>
          <w:szCs w:val="20"/>
          <w:shd w:val="clear" w:color="auto" w:fill="FFFF99"/>
          <w:rtl/>
        </w:rPr>
        <w:t>מיום 1.1.2003</w:t>
      </w:r>
    </w:p>
    <w:p w14:paraId="15D463BA" w14:textId="77777777" w:rsidR="00747885" w:rsidRPr="00353C66" w:rsidRDefault="00747885" w:rsidP="00747885">
      <w:pPr>
        <w:pStyle w:val="P00"/>
        <w:spacing w:before="0"/>
        <w:ind w:left="0" w:right="1134"/>
        <w:rPr>
          <w:rFonts w:hint="cs"/>
          <w:b/>
          <w:bCs/>
          <w:vanish/>
          <w:szCs w:val="20"/>
          <w:shd w:val="clear" w:color="auto" w:fill="FFFF99"/>
          <w:rtl/>
        </w:rPr>
      </w:pPr>
      <w:r w:rsidRPr="00353C66">
        <w:rPr>
          <w:rFonts w:hint="cs"/>
          <w:b/>
          <w:bCs/>
          <w:vanish/>
          <w:szCs w:val="20"/>
          <w:shd w:val="clear" w:color="auto" w:fill="FFFF99"/>
          <w:rtl/>
        </w:rPr>
        <w:t>תק' תשס"ג-2003</w:t>
      </w:r>
    </w:p>
    <w:p w14:paraId="10029CDB" w14:textId="77777777" w:rsidR="00747885" w:rsidRPr="00353C66" w:rsidRDefault="00747885" w:rsidP="00747885">
      <w:pPr>
        <w:pStyle w:val="P00"/>
        <w:spacing w:before="0"/>
        <w:ind w:left="0" w:right="1134"/>
        <w:rPr>
          <w:rFonts w:hint="cs"/>
          <w:vanish/>
          <w:szCs w:val="20"/>
          <w:shd w:val="clear" w:color="auto" w:fill="FFFF99"/>
          <w:rtl/>
        </w:rPr>
      </w:pPr>
      <w:hyperlink r:id="rId7" w:history="1">
        <w:r w:rsidRPr="00353C66">
          <w:rPr>
            <w:rStyle w:val="Hyperlink"/>
            <w:rFonts w:hint="cs"/>
            <w:vanish/>
            <w:szCs w:val="20"/>
            <w:shd w:val="clear" w:color="auto" w:fill="FFFF99"/>
            <w:rtl/>
          </w:rPr>
          <w:t>ק"ת תשס"ג מס' 6245</w:t>
        </w:r>
      </w:hyperlink>
      <w:r w:rsidRPr="00353C66">
        <w:rPr>
          <w:rFonts w:hint="cs"/>
          <w:vanish/>
          <w:szCs w:val="20"/>
          <w:shd w:val="clear" w:color="auto" w:fill="FFFF99"/>
          <w:rtl/>
        </w:rPr>
        <w:t xml:space="preserve"> מיום 26.6.2003 עמ' 789</w:t>
      </w:r>
    </w:p>
    <w:p w14:paraId="4F483F92" w14:textId="77777777" w:rsidR="00747885" w:rsidRPr="00747885" w:rsidRDefault="00747885" w:rsidP="00747885">
      <w:pPr>
        <w:pStyle w:val="P00"/>
        <w:spacing w:before="0"/>
        <w:ind w:left="0" w:right="1134"/>
        <w:rPr>
          <w:rFonts w:hint="cs"/>
          <w:b/>
          <w:bCs/>
          <w:sz w:val="2"/>
          <w:szCs w:val="2"/>
          <w:rtl/>
        </w:rPr>
      </w:pPr>
      <w:r w:rsidRPr="00353C66">
        <w:rPr>
          <w:rFonts w:hint="cs"/>
          <w:b/>
          <w:bCs/>
          <w:vanish/>
          <w:szCs w:val="20"/>
          <w:shd w:val="clear" w:color="auto" w:fill="FFFF99"/>
          <w:rtl/>
        </w:rPr>
        <w:t>הוספת תקנה 5א</w:t>
      </w:r>
      <w:bookmarkEnd w:id="7"/>
    </w:p>
    <w:p w14:paraId="21BB9EDB" w14:textId="77777777" w:rsidR="00FF1781" w:rsidRDefault="00FF1781">
      <w:pPr>
        <w:pStyle w:val="P00"/>
        <w:spacing w:before="72"/>
        <w:ind w:left="0" w:right="1134"/>
        <w:rPr>
          <w:rStyle w:val="default"/>
          <w:rFonts w:cs="FrankRuehl" w:hint="cs"/>
          <w:rtl/>
        </w:rPr>
      </w:pPr>
      <w:bookmarkStart w:id="8" w:name="Seif6"/>
      <w:bookmarkEnd w:id="8"/>
      <w:r>
        <w:rPr>
          <w:rFonts w:cs="Miriam"/>
          <w:szCs w:val="32"/>
          <w:rtl/>
          <w:lang w:val="he-IL"/>
        </w:rPr>
        <w:pict w14:anchorId="68852FAB">
          <v:shape id="_x0000_s1081" type="#_x0000_t202" style="position:absolute;left:0;text-align:left;margin-left:470.25pt;margin-top:5.2pt;width:1in;height:21.6pt;z-index:251657216" filled="f" stroked="f">
            <v:textbox inset="1mm,,1mm">
              <w:txbxContent>
                <w:p w14:paraId="1E2F122C" w14:textId="77777777" w:rsidR="00FF1781" w:rsidRDefault="00FF1781">
                  <w:pPr>
                    <w:spacing w:line="160" w:lineRule="exact"/>
                    <w:jc w:val="left"/>
                    <w:rPr>
                      <w:rFonts w:cs="Miriam" w:hint="cs"/>
                      <w:szCs w:val="18"/>
                      <w:rtl/>
                    </w:rPr>
                  </w:pPr>
                  <w:r>
                    <w:rPr>
                      <w:rFonts w:cs="Miriam" w:hint="cs"/>
                      <w:szCs w:val="18"/>
                      <w:rtl/>
                    </w:rPr>
                    <w:t>זכות להארכה או שינוי</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הארכתה של עסקה עתידית שלא באמצעות זכות שנקבעה מראש בתנאיה, או שינוי תנאיה, באמצעות זכות שנקבעה בתנאיה או שלא באמצעות זכות כאמור, תיחשב כמימוש העסקה העתידית וכעשיית עסקה עתידית חדשה.</w:t>
      </w:r>
    </w:p>
    <w:p w14:paraId="35C9F0BB" w14:textId="77777777" w:rsidR="00FF1781" w:rsidRDefault="00FF1781">
      <w:pPr>
        <w:pStyle w:val="P00"/>
        <w:spacing w:before="72"/>
        <w:ind w:left="0" w:right="1134"/>
        <w:rPr>
          <w:rStyle w:val="default"/>
          <w:rFonts w:cs="FrankRuehl" w:hint="cs"/>
          <w:rtl/>
        </w:rPr>
      </w:pPr>
      <w:bookmarkStart w:id="9" w:name="Seif7"/>
      <w:bookmarkEnd w:id="9"/>
      <w:r>
        <w:rPr>
          <w:rFonts w:cs="Miriam"/>
          <w:szCs w:val="32"/>
          <w:rtl/>
          <w:lang w:val="he-IL"/>
        </w:rPr>
        <w:pict w14:anchorId="5882A409">
          <v:shape id="_x0000_s1082" type="#_x0000_t202" style="position:absolute;left:0;text-align:left;margin-left:470.25pt;margin-top:5.9pt;width:1in;height:14.2pt;z-index:251658240" filled="f" stroked="f">
            <v:textbox style="mso-next-textbox:#_x0000_s1082" inset="1mm,,1mm">
              <w:txbxContent>
                <w:p w14:paraId="5D4FABF5" w14:textId="77777777" w:rsidR="00FF1781" w:rsidRDefault="00FF1781">
                  <w:pPr>
                    <w:spacing w:line="160" w:lineRule="exact"/>
                    <w:jc w:val="left"/>
                    <w:rPr>
                      <w:rFonts w:cs="Miriam" w:hint="cs"/>
                      <w:szCs w:val="18"/>
                      <w:rtl/>
                    </w:rPr>
                  </w:pPr>
                  <w:r>
                    <w:rPr>
                      <w:rFonts w:cs="Miriam" w:hint="cs"/>
                      <w:szCs w:val="18"/>
                      <w:rtl/>
                    </w:rPr>
                    <w:t>הוצאות</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בחישוב הרווח בעסקה עתידית יותרו בניכוי ההוצאות שהוצאו באותה שנת מס.</w:t>
      </w:r>
    </w:p>
    <w:p w14:paraId="1F25001D" w14:textId="77777777" w:rsidR="00FF1781" w:rsidRDefault="00FF1781">
      <w:pPr>
        <w:pStyle w:val="P00"/>
        <w:spacing w:before="72"/>
        <w:ind w:left="0" w:right="1134"/>
        <w:rPr>
          <w:rStyle w:val="default"/>
          <w:rFonts w:cs="FrankRuehl" w:hint="cs"/>
          <w:rtl/>
        </w:rPr>
      </w:pPr>
      <w:bookmarkStart w:id="10" w:name="Seif8"/>
      <w:bookmarkEnd w:id="10"/>
      <w:r>
        <w:rPr>
          <w:rFonts w:cs="Miriam"/>
          <w:szCs w:val="32"/>
          <w:rtl/>
          <w:lang w:val="he-IL"/>
        </w:rPr>
        <w:pict w14:anchorId="26DBE335">
          <v:shape id="_x0000_s1096" type="#_x0000_t202" style="position:absolute;left:0;text-align:left;margin-left:470.25pt;margin-top:5.75pt;width:1in;height:16.8pt;z-index:251659264" filled="f" stroked="f">
            <v:textbox inset="1mm,,1mm">
              <w:txbxContent>
                <w:p w14:paraId="536E3933" w14:textId="77777777" w:rsidR="00FF1781" w:rsidRDefault="00FF1781">
                  <w:pPr>
                    <w:spacing w:line="160" w:lineRule="exact"/>
                    <w:jc w:val="left"/>
                    <w:rPr>
                      <w:rFonts w:cs="Miriam" w:hint="cs"/>
                      <w:szCs w:val="18"/>
                      <w:rtl/>
                    </w:rPr>
                  </w:pPr>
                  <w:r>
                    <w:rPr>
                      <w:rFonts w:cs="Miriam" w:hint="cs"/>
                      <w:szCs w:val="18"/>
                      <w:rtl/>
                    </w:rPr>
                    <w:t>ביטול</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t xml:space="preserve">תקנות מס הכנסה (פטור ממס על הכנסה ממימוש עסקה בשערים עתידיים או ממכירתה), התשנ"ב-1992 </w:t>
      </w:r>
      <w:r>
        <w:rPr>
          <w:rStyle w:val="default"/>
          <w:rFonts w:cs="FrankRuehl"/>
          <w:rtl/>
        </w:rPr>
        <w:t>–</w:t>
      </w:r>
      <w:r>
        <w:rPr>
          <w:rStyle w:val="default"/>
          <w:rFonts w:cs="FrankRuehl" w:hint="cs"/>
          <w:rtl/>
        </w:rPr>
        <w:t xml:space="preserve"> בטלות.</w:t>
      </w:r>
    </w:p>
    <w:p w14:paraId="69822BA1" w14:textId="77777777" w:rsidR="00FF1781" w:rsidRDefault="00FF1781">
      <w:pPr>
        <w:pStyle w:val="P00"/>
        <w:spacing w:before="72"/>
        <w:ind w:left="0" w:right="1134"/>
        <w:rPr>
          <w:rStyle w:val="default"/>
          <w:rFonts w:cs="FrankRuehl" w:hint="cs"/>
          <w:rtl/>
        </w:rPr>
      </w:pPr>
      <w:bookmarkStart w:id="11" w:name="Seif9"/>
      <w:bookmarkEnd w:id="11"/>
      <w:r>
        <w:rPr>
          <w:rFonts w:cs="Miriam"/>
          <w:szCs w:val="32"/>
          <w:rtl/>
          <w:lang w:val="he-IL"/>
        </w:rPr>
        <w:pict w14:anchorId="5CA83E58">
          <v:shape id="_x0000_s1097" type="#_x0000_t202" style="position:absolute;left:0;text-align:left;margin-left:470.25pt;margin-top:6.45pt;width:1in;height:16.8pt;z-index:251660288" filled="f" stroked="f">
            <v:textbox inset="1mm,,1mm">
              <w:txbxContent>
                <w:p w14:paraId="130C66DE" w14:textId="77777777" w:rsidR="00FF1781" w:rsidRDefault="00FF1781">
                  <w:pPr>
                    <w:spacing w:line="160" w:lineRule="exact"/>
                    <w:jc w:val="left"/>
                    <w:rPr>
                      <w:rFonts w:cs="Miriam" w:hint="cs"/>
                      <w:szCs w:val="18"/>
                      <w:rtl/>
                    </w:rPr>
                  </w:pPr>
                  <w:r>
                    <w:rPr>
                      <w:rFonts w:cs="Miriam" w:hint="cs"/>
                      <w:szCs w:val="18"/>
                      <w:rtl/>
                    </w:rPr>
                    <w:t>הוראת שעה</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t>על אף האמור בתקנה 5, בשנת המס 2003 רשאי המוכר לחשב את הרווח בכתב עסקאות עתידיות מאותו סוג ובנכס בסיס זהה כך שיראו את המחיר המקורי לצורך קביעת הרווח, כמחיר המקורי המשוקלל, ויחולו הוראות תקנה 8 לתקנות מס הכנסה (חישוב רווח הון במכירת נייר ערך הנסחר בבורסה או יחידה בקרן נאמנות), התשס"ג-2002, בשינויים המחויבים, ויראו את העסקאות העתידיות בנכס בסיס זהה כאילו היו ניירות ערך זהים, כהגדרתם באותן תקנות.</w:t>
      </w:r>
    </w:p>
    <w:p w14:paraId="41D0AA30" w14:textId="77777777" w:rsidR="00FF1781" w:rsidRDefault="00FF1781">
      <w:pPr>
        <w:pStyle w:val="P00"/>
        <w:spacing w:before="72"/>
        <w:ind w:left="0" w:right="1134"/>
        <w:rPr>
          <w:rStyle w:val="default"/>
          <w:rFonts w:cs="FrankRuehl" w:hint="cs"/>
          <w:rtl/>
        </w:rPr>
      </w:pPr>
      <w:bookmarkStart w:id="12" w:name="Seif10"/>
      <w:bookmarkEnd w:id="12"/>
      <w:r>
        <w:rPr>
          <w:rFonts w:cs="Miriam"/>
          <w:szCs w:val="32"/>
          <w:rtl/>
          <w:lang w:val="he-IL"/>
        </w:rPr>
        <w:pict w14:anchorId="3D6CAADB">
          <v:shape id="_x0000_s1098" type="#_x0000_t202" style="position:absolute;left:0;text-align:left;margin-left:470.25pt;margin-top:7.3pt;width:1in;height:16.8pt;z-index:251661312" filled="f" stroked="f">
            <v:textbox inset="1mm,,1mm">
              <w:txbxContent>
                <w:p w14:paraId="6173D9A0" w14:textId="77777777" w:rsidR="00FF1781" w:rsidRDefault="00FF1781">
                  <w:pPr>
                    <w:spacing w:line="160" w:lineRule="exact"/>
                    <w:jc w:val="left"/>
                    <w:rPr>
                      <w:rFonts w:cs="Miriam" w:hint="cs"/>
                      <w:szCs w:val="18"/>
                      <w:rtl/>
                    </w:rPr>
                  </w:pPr>
                  <w:r>
                    <w:rPr>
                      <w:rFonts w:cs="Miriam" w:hint="cs"/>
                      <w:szCs w:val="18"/>
                      <w:rtl/>
                    </w:rPr>
                    <w:t>תחילה</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t>תחילתן של תקנות אלה ביום כ"ז בטבת התשס"ג (1 בינואר 2003).</w:t>
      </w:r>
    </w:p>
    <w:p w14:paraId="7D1DC016" w14:textId="77777777" w:rsidR="00FF1781" w:rsidRDefault="00FF1781">
      <w:pPr>
        <w:pStyle w:val="P00"/>
        <w:spacing w:before="72"/>
        <w:ind w:left="0" w:right="1134"/>
        <w:rPr>
          <w:rStyle w:val="default"/>
          <w:rFonts w:cs="FrankRuehl" w:hint="cs"/>
          <w:rtl/>
        </w:rPr>
      </w:pPr>
    </w:p>
    <w:p w14:paraId="795F0539" w14:textId="77777777" w:rsidR="00FF1781" w:rsidRDefault="00FF1781">
      <w:pPr>
        <w:pStyle w:val="P00"/>
        <w:spacing w:before="72"/>
        <w:ind w:left="0" w:right="1134"/>
        <w:rPr>
          <w:rStyle w:val="default"/>
          <w:rFonts w:cs="FrankRuehl" w:hint="cs"/>
          <w:rtl/>
        </w:rPr>
      </w:pPr>
    </w:p>
    <w:p w14:paraId="4D585803" w14:textId="77777777" w:rsidR="00FF1781" w:rsidRPr="00353C66" w:rsidRDefault="00FF178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י"ז בטבת התשס"ג (22 בדצמבר 2002)</w:t>
      </w:r>
      <w:r>
        <w:rPr>
          <w:rStyle w:val="default"/>
          <w:rFonts w:cs="FrankRuehl" w:hint="cs"/>
          <w:rtl/>
        </w:rPr>
        <w:tab/>
      </w:r>
      <w:r w:rsidRPr="00353C66">
        <w:rPr>
          <w:rStyle w:val="default"/>
          <w:rFonts w:cs="FrankRuehl" w:hint="cs"/>
          <w:rtl/>
        </w:rPr>
        <w:t>סילבן שלום</w:t>
      </w:r>
    </w:p>
    <w:p w14:paraId="5135521E" w14:textId="77777777" w:rsidR="00FF1781" w:rsidRDefault="00FF1781">
      <w:pPr>
        <w:pStyle w:val="sig-1"/>
        <w:widowControl/>
        <w:tabs>
          <w:tab w:val="clear" w:pos="851"/>
          <w:tab w:val="clear" w:pos="2835"/>
          <w:tab w:val="clear" w:pos="4820"/>
          <w:tab w:val="center" w:pos="5670"/>
        </w:tabs>
        <w:ind w:left="0" w:right="1134"/>
        <w:rPr>
          <w:rFonts w:hint="cs"/>
          <w:rtl/>
        </w:rPr>
      </w:pPr>
      <w:r>
        <w:rPr>
          <w:rtl/>
        </w:rPr>
        <w:tab/>
      </w:r>
      <w:r>
        <w:rPr>
          <w:rFonts w:hint="cs"/>
          <w:rtl/>
        </w:rPr>
        <w:t>שר האוצר</w:t>
      </w:r>
    </w:p>
    <w:p w14:paraId="059C1960" w14:textId="77777777" w:rsidR="00DC7C71" w:rsidRPr="00DC7C71" w:rsidRDefault="00DC7C71" w:rsidP="00DC7C71">
      <w:pPr>
        <w:pStyle w:val="P00"/>
        <w:spacing w:before="72"/>
        <w:ind w:left="0" w:right="1134"/>
        <w:rPr>
          <w:rStyle w:val="default"/>
          <w:rFonts w:cs="FrankRuehl" w:hint="cs"/>
          <w:rtl/>
        </w:rPr>
      </w:pPr>
    </w:p>
    <w:p w14:paraId="50862E7F" w14:textId="77777777" w:rsidR="00DC7C71" w:rsidRPr="00DC7C71" w:rsidRDefault="00DC7C71" w:rsidP="00DC7C71">
      <w:pPr>
        <w:pStyle w:val="P00"/>
        <w:spacing w:before="72"/>
        <w:ind w:left="0" w:right="1134"/>
        <w:rPr>
          <w:rStyle w:val="default"/>
          <w:rFonts w:cs="FrankRuehl" w:hint="cs"/>
          <w:rtl/>
        </w:rPr>
      </w:pPr>
    </w:p>
    <w:p w14:paraId="46B2A7EF" w14:textId="77777777" w:rsidR="00D75372" w:rsidRDefault="00D75372" w:rsidP="00DC7C71">
      <w:pPr>
        <w:pStyle w:val="P00"/>
        <w:spacing w:before="72"/>
        <w:ind w:left="0" w:right="1134"/>
        <w:rPr>
          <w:rStyle w:val="default"/>
          <w:rFonts w:cs="FrankRuehl"/>
          <w:rtl/>
        </w:rPr>
      </w:pPr>
    </w:p>
    <w:p w14:paraId="4EE167F2" w14:textId="77777777" w:rsidR="00D75372" w:rsidRDefault="00D75372" w:rsidP="00DC7C71">
      <w:pPr>
        <w:pStyle w:val="P00"/>
        <w:spacing w:before="72"/>
        <w:ind w:left="0" w:right="1134"/>
        <w:rPr>
          <w:rStyle w:val="default"/>
          <w:rFonts w:cs="FrankRuehl"/>
          <w:rtl/>
        </w:rPr>
      </w:pPr>
    </w:p>
    <w:p w14:paraId="385D8CE0" w14:textId="77777777" w:rsidR="00D75372" w:rsidRDefault="00D75372" w:rsidP="00D75372">
      <w:pPr>
        <w:pStyle w:val="P00"/>
        <w:spacing w:before="72"/>
        <w:ind w:left="0" w:right="1134"/>
        <w:jc w:val="center"/>
        <w:rPr>
          <w:rStyle w:val="default"/>
          <w:rFonts w:cs="David"/>
          <w:color w:val="0000FF"/>
          <w:szCs w:val="24"/>
          <w:u w:val="single"/>
          <w:rtl/>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14:paraId="77F23EAB" w14:textId="77777777" w:rsidR="00DC7C71" w:rsidRPr="00D75372" w:rsidRDefault="00DC7C71" w:rsidP="00D75372">
      <w:pPr>
        <w:pStyle w:val="P00"/>
        <w:spacing w:before="72"/>
        <w:ind w:left="0" w:right="1134"/>
        <w:jc w:val="center"/>
        <w:rPr>
          <w:rStyle w:val="default"/>
          <w:rFonts w:cs="David"/>
          <w:color w:val="0000FF"/>
          <w:szCs w:val="24"/>
          <w:u w:val="single"/>
          <w:rtl/>
        </w:rPr>
      </w:pPr>
    </w:p>
    <w:sectPr w:rsidR="00DC7C71" w:rsidRPr="00D75372">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F74DD" w14:textId="77777777" w:rsidR="00AC62EC" w:rsidRDefault="00AC62EC">
      <w:r>
        <w:separator/>
      </w:r>
    </w:p>
  </w:endnote>
  <w:endnote w:type="continuationSeparator" w:id="0">
    <w:p w14:paraId="4BD3B3A0" w14:textId="77777777" w:rsidR="00AC62EC" w:rsidRDefault="00AC6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D26D7" w14:textId="77777777" w:rsidR="00FF1781" w:rsidRDefault="00FF178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DD810CC" w14:textId="77777777" w:rsidR="00FF1781" w:rsidRDefault="00FF178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5094456" w14:textId="77777777" w:rsidR="00FF1781" w:rsidRDefault="00FF178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5C4A">
      <w:rPr>
        <w:rFonts w:cs="TopType Jerushalmi"/>
        <w:noProof/>
        <w:color w:val="000000"/>
        <w:sz w:val="14"/>
        <w:szCs w:val="14"/>
      </w:rPr>
      <w:t>C:\Yael\hakika\Revadim\999_086.doc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25992" w14:textId="77777777" w:rsidR="00FF1781" w:rsidRDefault="00FF178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75372">
      <w:rPr>
        <w:rFonts w:hAnsi="FrankRuehl" w:cs="FrankRuehl"/>
        <w:noProof/>
        <w:sz w:val="24"/>
        <w:szCs w:val="24"/>
        <w:rtl/>
      </w:rPr>
      <w:t>4</w:t>
    </w:r>
    <w:r>
      <w:rPr>
        <w:rFonts w:hAnsi="FrankRuehl" w:cs="FrankRuehl"/>
        <w:sz w:val="24"/>
        <w:szCs w:val="24"/>
        <w:rtl/>
      </w:rPr>
      <w:fldChar w:fldCharType="end"/>
    </w:r>
  </w:p>
  <w:p w14:paraId="14E315E0" w14:textId="77777777" w:rsidR="00FF1781" w:rsidRDefault="00FF178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6CAF210" w14:textId="77777777" w:rsidR="00FF1781" w:rsidRDefault="00FF178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5C4A">
      <w:rPr>
        <w:rFonts w:cs="TopType Jerushalmi"/>
        <w:noProof/>
        <w:color w:val="000000"/>
        <w:sz w:val="14"/>
        <w:szCs w:val="14"/>
      </w:rPr>
      <w:t>C:\Yael\hakika\Revadim\999_086.doc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37B30" w14:textId="77777777" w:rsidR="00AC62EC" w:rsidRDefault="00AC62EC" w:rsidP="00895C4A">
      <w:pPr>
        <w:spacing w:before="60" w:line="240" w:lineRule="auto"/>
        <w:ind w:right="1134"/>
      </w:pPr>
      <w:r>
        <w:separator/>
      </w:r>
    </w:p>
  </w:footnote>
  <w:footnote w:type="continuationSeparator" w:id="0">
    <w:p w14:paraId="3BDFDBD8" w14:textId="77777777" w:rsidR="00AC62EC" w:rsidRDefault="00AC62EC">
      <w:r>
        <w:continuationSeparator/>
      </w:r>
    </w:p>
  </w:footnote>
  <w:footnote w:id="1">
    <w:p w14:paraId="1FFB19E9" w14:textId="77777777" w:rsidR="00FF1781" w:rsidRDefault="00FF178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747885">
          <w:rPr>
            <w:rStyle w:val="Hyperlink"/>
            <w:rFonts w:hint="cs"/>
            <w:sz w:val="20"/>
            <w:rtl/>
          </w:rPr>
          <w:t>ק"ת תשס"ג מס' 6218</w:t>
        </w:r>
      </w:hyperlink>
      <w:r>
        <w:rPr>
          <w:rFonts w:hint="cs"/>
          <w:sz w:val="20"/>
          <w:rtl/>
        </w:rPr>
        <w:t xml:space="preserve"> מיום 31.12.2002 עמ' 384.</w:t>
      </w:r>
    </w:p>
    <w:p w14:paraId="7F1DCCD1" w14:textId="77777777" w:rsidR="00FF1781" w:rsidRDefault="00FF1781" w:rsidP="00895C4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2" w:history="1">
        <w:r w:rsidRPr="00747885">
          <w:rPr>
            <w:rStyle w:val="Hyperlink"/>
            <w:rFonts w:hint="cs"/>
            <w:sz w:val="20"/>
            <w:rtl/>
          </w:rPr>
          <w:t>ק"ת תשס"ג מס' 624</w:t>
        </w:r>
        <w:r w:rsidRPr="00747885">
          <w:rPr>
            <w:rStyle w:val="Hyperlink"/>
            <w:rFonts w:hint="cs"/>
            <w:sz w:val="20"/>
            <w:rtl/>
          </w:rPr>
          <w:t>5</w:t>
        </w:r>
      </w:hyperlink>
      <w:r>
        <w:rPr>
          <w:rFonts w:hint="cs"/>
          <w:sz w:val="20"/>
          <w:rtl/>
        </w:rPr>
        <w:t xml:space="preserve"> מיום 26.6.2003 עמ' 788 </w:t>
      </w:r>
      <w:r>
        <w:rPr>
          <w:sz w:val="20"/>
          <w:rtl/>
        </w:rPr>
        <w:t>–</w:t>
      </w:r>
      <w:r>
        <w:rPr>
          <w:rFonts w:hint="cs"/>
          <w:sz w:val="20"/>
          <w:rtl/>
        </w:rPr>
        <w:t xml:space="preserve"> תק' תשס"ג-2003; תחילתן ביום 1.1.2003 </w:t>
      </w:r>
      <w:r w:rsidR="00895C4A">
        <w:rPr>
          <w:rFonts w:hint="cs"/>
          <w:sz w:val="20"/>
          <w:rtl/>
        </w:rPr>
        <w:t>ור' תקנה 3 לענין תחולה</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BCC5F" w14:textId="77777777" w:rsidR="00FF1781" w:rsidRDefault="00FF178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14:paraId="3DFC46F5" w14:textId="77777777" w:rsidR="00FF1781" w:rsidRDefault="00FF178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23AF4CE" w14:textId="77777777" w:rsidR="00FF1781" w:rsidRDefault="00FF178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8AF1E" w14:textId="77777777" w:rsidR="00FF1781" w:rsidRDefault="00FF1781">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מס הכנסה (חישוב רווח הון בעסקה עתידית), תשס"ג-2002</w:t>
    </w:r>
  </w:p>
  <w:p w14:paraId="3A82FAB9" w14:textId="77777777" w:rsidR="00FF1781" w:rsidRDefault="00FF178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D96977" w14:textId="77777777" w:rsidR="00FF1781" w:rsidRDefault="00FF178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7885"/>
    <w:rsid w:val="000C2140"/>
    <w:rsid w:val="000E7BAA"/>
    <w:rsid w:val="00353C66"/>
    <w:rsid w:val="00523FF0"/>
    <w:rsid w:val="006B2F29"/>
    <w:rsid w:val="00747885"/>
    <w:rsid w:val="007E58EB"/>
    <w:rsid w:val="00872182"/>
    <w:rsid w:val="00895C4A"/>
    <w:rsid w:val="00AC62EC"/>
    <w:rsid w:val="00BB52DE"/>
    <w:rsid w:val="00D75372"/>
    <w:rsid w:val="00DC7C71"/>
    <w:rsid w:val="00F61D5A"/>
    <w:rsid w:val="00F87961"/>
    <w:rsid w:val="00FF178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139210E3"/>
  <w15:chartTrackingRefBased/>
  <w15:docId w15:val="{0B4A97CF-8C8C-4EF8-88DF-E0D7033A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character" w:styleId="FollowedHyperlink">
    <w:name w:val="FollowedHyperlink"/>
    <w:basedOn w:val="a0"/>
    <w:rsid w:val="0074788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6245.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245.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245.pdf" TargetMode="External"/><Relationship Id="rId1" Type="http://schemas.openxmlformats.org/officeDocument/2006/relationships/hyperlink" Target="http://www.nevo.co.il/Law_word/law06/TAK-62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8219</CharactersWithSpaces>
  <SharedDoc>false</SharedDoc>
  <HLinks>
    <vt:vector size="96" baseType="variant">
      <vt:variant>
        <vt:i4>393283</vt:i4>
      </vt:variant>
      <vt:variant>
        <vt:i4>72</vt:i4>
      </vt:variant>
      <vt:variant>
        <vt:i4>0</vt:i4>
      </vt:variant>
      <vt:variant>
        <vt:i4>5</vt:i4>
      </vt:variant>
      <vt:variant>
        <vt:lpwstr>http://www.nevo.co.il/advertisements/nevo-100.doc</vt:lpwstr>
      </vt:variant>
      <vt:variant>
        <vt:lpwstr/>
      </vt:variant>
      <vt:variant>
        <vt:i4>8060943</vt:i4>
      </vt:variant>
      <vt:variant>
        <vt:i4>69</vt:i4>
      </vt:variant>
      <vt:variant>
        <vt:i4>0</vt:i4>
      </vt:variant>
      <vt:variant>
        <vt:i4>5</vt:i4>
      </vt:variant>
      <vt:variant>
        <vt:lpwstr>http://www.nevo.co.il/Law_word/law06/TAK-6245.pdf</vt:lpwstr>
      </vt:variant>
      <vt:variant>
        <vt:lpwstr/>
      </vt:variant>
      <vt:variant>
        <vt:i4>8060943</vt:i4>
      </vt:variant>
      <vt:variant>
        <vt:i4>66</vt:i4>
      </vt:variant>
      <vt:variant>
        <vt:i4>0</vt:i4>
      </vt:variant>
      <vt:variant>
        <vt:i4>5</vt:i4>
      </vt:variant>
      <vt:variant>
        <vt:lpwstr>http://www.nevo.co.il/Law_word/law06/TAK-6245.pdf</vt:lpwstr>
      </vt:variant>
      <vt:variant>
        <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3276843</vt:i4>
      </vt:variant>
      <vt:variant>
        <vt:i4>30</vt:i4>
      </vt:variant>
      <vt:variant>
        <vt:i4>0</vt:i4>
      </vt:variant>
      <vt:variant>
        <vt:i4>5</vt:i4>
      </vt:variant>
      <vt:variant>
        <vt:lpwstr/>
      </vt:variant>
      <vt:variant>
        <vt:lpwstr>Seif11</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8060943</vt:i4>
      </vt:variant>
      <vt:variant>
        <vt:i4>3</vt:i4>
      </vt:variant>
      <vt:variant>
        <vt:i4>0</vt:i4>
      </vt:variant>
      <vt:variant>
        <vt:i4>5</vt:i4>
      </vt:variant>
      <vt:variant>
        <vt:lpwstr>http://www.nevo.co.il/Law_word/law06/TAK-6245.pdf</vt:lpwstr>
      </vt:variant>
      <vt:variant>
        <vt:lpwstr/>
      </vt:variant>
      <vt:variant>
        <vt:i4>8257538</vt:i4>
      </vt:variant>
      <vt:variant>
        <vt:i4>0</vt:i4>
      </vt:variant>
      <vt:variant>
        <vt:i4>0</vt:i4>
      </vt:variant>
      <vt:variant>
        <vt:i4>5</vt:i4>
      </vt:variant>
      <vt:variant>
        <vt:lpwstr>http://www.nevo.co.il/Law_word/law06/TAK-6218.pdf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מס הכנסה (חישוב רווח הון בעסקה עתידית), תשס"ג-2002</vt:lpwstr>
  </property>
  <property fmtid="{D5CDD505-2E9C-101B-9397-08002B2CF9AE}" pid="4" name="LAWNUMBER">
    <vt:lpwstr>0086</vt:lpwstr>
  </property>
  <property fmtid="{D5CDD505-2E9C-101B-9397-08002B2CF9AE}" pid="5" name="TYPE">
    <vt:lpwstr>01</vt:lpwstr>
  </property>
  <property fmtid="{D5CDD505-2E9C-101B-9397-08002B2CF9AE}" pid="6" name="MEKOR_NAME1">
    <vt:lpwstr>פקודת מס הכנסה </vt:lpwstr>
  </property>
  <property fmtid="{D5CDD505-2E9C-101B-9397-08002B2CF9AE}" pid="7" name="MEKOR_SAIF1">
    <vt:lpwstr>98X;105ידXאX;105יטX;243X</vt:lpwstr>
  </property>
  <property fmtid="{D5CDD505-2E9C-101B-9397-08002B2CF9AE}" pid="8" name="MEKOR_NAME2">
    <vt:lpwstr>חוק מס הכנסה (תיאומים בשל אינפלציה)</vt:lpwstr>
  </property>
  <property fmtid="{D5CDD505-2E9C-101B-9397-08002B2CF9AE}" pid="9" name="MEKOR_SAIF2">
    <vt:lpwstr>6XיאX</vt:lpwstr>
  </property>
  <property fmtid="{D5CDD505-2E9C-101B-9397-08002B2CF9AE}" pid="10" name="NOSE11">
    <vt:lpwstr>מסים</vt:lpwstr>
  </property>
  <property fmtid="{D5CDD505-2E9C-101B-9397-08002B2CF9AE}" pid="11" name="NOSE21">
    <vt:lpwstr>מס הכנסה</vt:lpwstr>
  </property>
  <property fmtid="{D5CDD505-2E9C-101B-9397-08002B2CF9AE}" pid="12" name="NOSE31">
    <vt:lpwstr>מיסוי הון</vt:lpwstr>
  </property>
  <property fmtid="{D5CDD505-2E9C-101B-9397-08002B2CF9AE}" pid="13" name="NOSE41">
    <vt:lpwstr>חישוב רווח הון</vt:lpwstr>
  </property>
  <property fmtid="{D5CDD505-2E9C-101B-9397-08002B2CF9AE}" pid="14" name="NOSE12">
    <vt:lpwstr>מסים</vt:lpwstr>
  </property>
  <property fmtid="{D5CDD505-2E9C-101B-9397-08002B2CF9AE}" pid="15" name="NOSE22">
    <vt:lpwstr>מס הכנסה</vt:lpwstr>
  </property>
  <property fmtid="{D5CDD505-2E9C-101B-9397-08002B2CF9AE}" pid="16" name="NOSE32">
    <vt:lpwstr>מיסוי הון</vt:lpwstr>
  </property>
  <property fmtid="{D5CDD505-2E9C-101B-9397-08002B2CF9AE}" pid="17" name="NOSE42">
    <vt:lpwstr>עסקה עתידית</vt:lpwstr>
  </property>
  <property fmtid="{D5CDD505-2E9C-101B-9397-08002B2CF9AE}" pid="18" name="NOSE13">
    <vt:lpwstr/>
  </property>
  <property fmtid="{D5CDD505-2E9C-101B-9397-08002B2CF9AE}" pid="19" name="NOSE23">
    <vt:lpwstr/>
  </property>
  <property fmtid="{D5CDD505-2E9C-101B-9397-08002B2CF9AE}" pid="20" name="NOSE33">
    <vt:lpwstr/>
  </property>
  <property fmtid="{D5CDD505-2E9C-101B-9397-08002B2CF9AE}" pid="21" name="NOSE43">
    <vt:lpwstr/>
  </property>
  <property fmtid="{D5CDD505-2E9C-101B-9397-08002B2CF9AE}" pid="22" name="NOSE14">
    <vt:lpwstr/>
  </property>
  <property fmtid="{D5CDD505-2E9C-101B-9397-08002B2CF9AE}" pid="23" name="NOSE24">
    <vt:lpwstr/>
  </property>
  <property fmtid="{D5CDD505-2E9C-101B-9397-08002B2CF9AE}" pid="24" name="NOSE34">
    <vt:lpwstr/>
  </property>
  <property fmtid="{D5CDD505-2E9C-101B-9397-08002B2CF9AE}" pid="25" name="NOSE44">
    <vt:lpwstr/>
  </property>
  <property fmtid="{D5CDD505-2E9C-101B-9397-08002B2CF9AE}" pid="26" name="NOSE15">
    <vt:lpwstr/>
  </property>
  <property fmtid="{D5CDD505-2E9C-101B-9397-08002B2CF9AE}" pid="27" name="NOSE25">
    <vt:lpwstr/>
  </property>
  <property fmtid="{D5CDD505-2E9C-101B-9397-08002B2CF9AE}" pid="28" name="NOSE35">
    <vt:lpwstr/>
  </property>
  <property fmtid="{D5CDD505-2E9C-101B-9397-08002B2CF9AE}" pid="29" name="NOSE45">
    <vt:lpwstr/>
  </property>
  <property fmtid="{D5CDD505-2E9C-101B-9397-08002B2CF9AE}" pid="30" name="NOSE16">
    <vt:lpwstr/>
  </property>
  <property fmtid="{D5CDD505-2E9C-101B-9397-08002B2CF9AE}" pid="31" name="NOSE26">
    <vt:lpwstr/>
  </property>
  <property fmtid="{D5CDD505-2E9C-101B-9397-08002B2CF9AE}" pid="32" name="NOSE36">
    <vt:lpwstr/>
  </property>
  <property fmtid="{D5CDD505-2E9C-101B-9397-08002B2CF9AE}" pid="33" name="NOSE46">
    <vt:lpwstr/>
  </property>
  <property fmtid="{D5CDD505-2E9C-101B-9397-08002B2CF9AE}" pid="34" name="NOSE17">
    <vt:lpwstr/>
  </property>
  <property fmtid="{D5CDD505-2E9C-101B-9397-08002B2CF9AE}" pid="35" name="NOSE27">
    <vt:lpwstr/>
  </property>
  <property fmtid="{D5CDD505-2E9C-101B-9397-08002B2CF9AE}" pid="36" name="NOSE37">
    <vt:lpwstr/>
  </property>
  <property fmtid="{D5CDD505-2E9C-101B-9397-08002B2CF9AE}" pid="37" name="NOSE47">
    <vt:lpwstr/>
  </property>
  <property fmtid="{D5CDD505-2E9C-101B-9397-08002B2CF9AE}" pid="38" name="NOSE18">
    <vt:lpwstr/>
  </property>
  <property fmtid="{D5CDD505-2E9C-101B-9397-08002B2CF9AE}" pid="39" name="NOSE28">
    <vt:lpwstr/>
  </property>
  <property fmtid="{D5CDD505-2E9C-101B-9397-08002B2CF9AE}" pid="40" name="NOSE38">
    <vt:lpwstr/>
  </property>
  <property fmtid="{D5CDD505-2E9C-101B-9397-08002B2CF9AE}" pid="41" name="NOSE48">
    <vt:lpwstr/>
  </property>
  <property fmtid="{D5CDD505-2E9C-101B-9397-08002B2CF9AE}" pid="42" name="NOSE19">
    <vt:lpwstr/>
  </property>
  <property fmtid="{D5CDD505-2E9C-101B-9397-08002B2CF9AE}" pid="43" name="NOSE29">
    <vt:lpwstr/>
  </property>
  <property fmtid="{D5CDD505-2E9C-101B-9397-08002B2CF9AE}" pid="44" name="NOSE39">
    <vt:lpwstr/>
  </property>
  <property fmtid="{D5CDD505-2E9C-101B-9397-08002B2CF9AE}" pid="45" name="NOSE49">
    <vt:lpwstr/>
  </property>
  <property fmtid="{D5CDD505-2E9C-101B-9397-08002B2CF9AE}" pid="46" name="NOSE110">
    <vt:lpwstr/>
  </property>
  <property fmtid="{D5CDD505-2E9C-101B-9397-08002B2CF9AE}" pid="47" name="NOSE210">
    <vt:lpwstr/>
  </property>
  <property fmtid="{D5CDD505-2E9C-101B-9397-08002B2CF9AE}" pid="48" name="NOSE310">
    <vt:lpwstr/>
  </property>
  <property fmtid="{D5CDD505-2E9C-101B-9397-08002B2CF9AE}" pid="49" name="NOSE410">
    <vt:lpwstr/>
  </property>
</Properties>
</file>