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5D06" w14:textId="77777777" w:rsidR="005E3AD5" w:rsidRDefault="005E3AD5" w:rsidP="005A167C">
      <w:pPr>
        <w:pStyle w:val="big-header"/>
        <w:ind w:left="0" w:right="1134"/>
      </w:pPr>
      <w:r>
        <w:rPr>
          <w:rFonts w:hint="cs"/>
          <w:rtl/>
        </w:rPr>
        <w:t>תקנות מס הכנסה (כללי קביעת עסקאות, הכנסות או מכירות לענין מקדמות), תשס"ד-2004</w:t>
      </w:r>
    </w:p>
    <w:p w14:paraId="598C95D5" w14:textId="77777777" w:rsidR="00170B49" w:rsidRDefault="00170B49" w:rsidP="00170B49">
      <w:pPr>
        <w:spacing w:line="320" w:lineRule="auto"/>
        <w:jc w:val="left"/>
        <w:rPr>
          <w:rtl/>
        </w:rPr>
      </w:pPr>
    </w:p>
    <w:p w14:paraId="015CE087" w14:textId="77777777" w:rsidR="00170B49" w:rsidRPr="00170B49" w:rsidRDefault="00170B49" w:rsidP="00170B49">
      <w:pPr>
        <w:spacing w:line="320" w:lineRule="auto"/>
        <w:jc w:val="left"/>
        <w:rPr>
          <w:rFonts w:cs="Miriam"/>
          <w:szCs w:val="22"/>
          <w:rtl/>
        </w:rPr>
      </w:pPr>
      <w:r w:rsidRPr="00170B49">
        <w:rPr>
          <w:rFonts w:cs="Miriam"/>
          <w:szCs w:val="22"/>
          <w:rtl/>
        </w:rPr>
        <w:t>מסים</w:t>
      </w:r>
      <w:r w:rsidRPr="00170B49">
        <w:rPr>
          <w:rFonts w:cs="FrankRuehl"/>
          <w:szCs w:val="26"/>
          <w:rtl/>
        </w:rPr>
        <w:t xml:space="preserve"> – מס הכנסה – קביעות וכללים – מקדמות</w:t>
      </w:r>
    </w:p>
    <w:p w14:paraId="631E4DD8" w14:textId="77777777" w:rsidR="005A167C" w:rsidRDefault="005A167C" w:rsidP="005A167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E3AD5" w14:paraId="727DE6F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C9D3728" w14:textId="77777777" w:rsidR="005E3AD5" w:rsidRDefault="005E3AD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167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659B6BF" w14:textId="77777777" w:rsidR="005E3AD5" w:rsidRDefault="005E3AD5">
            <w:pPr>
              <w:spacing w:line="240" w:lineRule="auto"/>
              <w:jc w:val="left"/>
              <w:rPr>
                <w:sz w:val="24"/>
              </w:rPr>
            </w:pPr>
            <w:hyperlink w:anchor="Seif0" w:tooltip="קביעת עסקאות הכנסות ומכ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C4A696" w14:textId="77777777" w:rsidR="005E3AD5" w:rsidRDefault="005E3AD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עסקאות הכנסות ומכירות</w:t>
            </w:r>
          </w:p>
        </w:tc>
        <w:tc>
          <w:tcPr>
            <w:tcW w:w="1247" w:type="dxa"/>
          </w:tcPr>
          <w:p w14:paraId="7537A33A" w14:textId="77777777" w:rsidR="005E3AD5" w:rsidRDefault="005E3AD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E3AD5" w14:paraId="39D6F35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313B973" w14:textId="77777777" w:rsidR="005E3AD5" w:rsidRDefault="005E3AD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167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6BE5183" w14:textId="77777777" w:rsidR="005E3AD5" w:rsidRDefault="005E3AD5">
            <w:pPr>
              <w:spacing w:line="240" w:lineRule="auto"/>
              <w:jc w:val="left"/>
              <w:rPr>
                <w:sz w:val="24"/>
              </w:rPr>
            </w:pPr>
            <w:hyperlink w:anchor="Seif1" w:tooltip="סייג לעס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49D52C" w14:textId="77777777" w:rsidR="005E3AD5" w:rsidRDefault="005E3AD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לעסקה</w:t>
            </w:r>
          </w:p>
        </w:tc>
        <w:tc>
          <w:tcPr>
            <w:tcW w:w="1247" w:type="dxa"/>
          </w:tcPr>
          <w:p w14:paraId="0183D6E0" w14:textId="77777777" w:rsidR="005E3AD5" w:rsidRDefault="005E3AD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E3AD5" w14:paraId="0799863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64231A5" w14:textId="77777777" w:rsidR="005E3AD5" w:rsidRDefault="005E3AD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167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4772823" w14:textId="77777777" w:rsidR="005E3AD5" w:rsidRDefault="005E3AD5">
            <w:pPr>
              <w:spacing w:line="240" w:lineRule="auto"/>
              <w:jc w:val="left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4B8C19" w14:textId="77777777" w:rsidR="005E3AD5" w:rsidRDefault="005E3AD5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1F4A7C91" w14:textId="77777777" w:rsidR="005E3AD5" w:rsidRDefault="005E3AD5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27BEC705" w14:textId="77777777" w:rsidR="005A167C" w:rsidRDefault="005A167C" w:rsidP="005A167C">
      <w:pPr>
        <w:pStyle w:val="big-header"/>
        <w:ind w:left="0" w:right="1134"/>
        <w:rPr>
          <w:rFonts w:hint="cs"/>
          <w:rtl/>
        </w:rPr>
      </w:pPr>
    </w:p>
    <w:p w14:paraId="5CE5D8E4" w14:textId="77777777" w:rsidR="005A167C" w:rsidRDefault="005A167C" w:rsidP="00170B4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תקנות מס הכנסה (כללי קביעת עסקאות, הכנסות או מכירות לענין מקדמות), תשס"ד-2004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8BE8701" w14:textId="77777777" w:rsidR="005E3AD5" w:rsidRDefault="005E3A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 w:hint="cs"/>
          <w:rtl/>
        </w:rPr>
        <w:t xml:space="preserve">בתוקף סמכותי לפי ההגדרה "מחזור עסקאות" בסעיף 175(ב) לפקודת מס הכנסה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מתקין תקנות אלה:</w:t>
      </w:r>
    </w:p>
    <w:p w14:paraId="404E2BF2" w14:textId="77777777" w:rsidR="005E3AD5" w:rsidRDefault="005E3A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7807C5BB">
          <v:rect id="_x0000_s1026" style="position:absolute;left:0;text-align:left;margin-left:470.25pt;margin-top:8.05pt;width:69.3pt;height:17.4pt;z-index:251656704" o:allowincell="f" filled="f" stroked="f" strokecolor="lime" strokeweight=".25pt">
            <v:textbox style="mso-next-textbox:#_x0000_s1026" inset="0,0,0,0">
              <w:txbxContent>
                <w:p w14:paraId="2F6E56A7" w14:textId="77777777" w:rsidR="005E3AD5" w:rsidRDefault="005E3AD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קביעת עסקאות הכנסות ומכירות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מחזור עסקאות יראו ככולל גם כל הכנסה לפי סעיפים 2 או 3 לפקודה, לרבות הכנסה שהופקה או שנצמחה מחוץ לישראל, וכן כל תמורה כהגדרתה בסעיף 88 לפקודה במכירת נייר ערך; לענין זה, "נייר ערך" כל אחד מאלה:</w:t>
      </w:r>
    </w:p>
    <w:p w14:paraId="11F8C30D" w14:textId="77777777" w:rsidR="005E3AD5" w:rsidRDefault="005E3AD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נייר ערך, נייר ערך זר או עסקה עתידית, כהגדרתם בסעיף 105יא לפקודה, הנסחרים בבורסה;</w:t>
      </w:r>
    </w:p>
    <w:p w14:paraId="0F5F7EED" w14:textId="77777777" w:rsidR="005E3AD5" w:rsidRDefault="005E3AD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יחיד כהגדרתה בסעיף 105יא לפקודה.</w:t>
      </w:r>
    </w:p>
    <w:p w14:paraId="5D94FC39" w14:textId="77777777" w:rsidR="005E3AD5" w:rsidRDefault="005E3A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szCs w:val="32"/>
          <w:rtl/>
          <w:lang w:val="he-IL"/>
        </w:rPr>
        <w:pict w14:anchorId="5D399423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462pt;margin-top:8.5pt;width:80.25pt;height:8.85pt;z-index:251657728" filled="f" stroked="f">
            <v:textbox style="mso-next-textbox:#_x0000_s1036" inset="1mm,0,1mm,0">
              <w:txbxContent>
                <w:p w14:paraId="3111C85B" w14:textId="77777777" w:rsidR="005E3AD5" w:rsidRDefault="005E3AD5">
                  <w:pPr>
                    <w:pStyle w:val="3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סייג לעסקה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Miriam" w:hint="cs"/>
          <w:sz w:val="32"/>
          <w:szCs w:val="32"/>
          <w:rtl/>
        </w:rPr>
        <w:t>2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 w:hint="cs"/>
          <w:rtl/>
        </w:rPr>
        <w:tab/>
        <w:t>על אף האמור בהגדרה "מחזור עסקאות" בסעיף 175(ב) לפקודה ועל אף האמור בתקנה 1, לא יראו כעסקה כל אחד מאלה:</w:t>
      </w:r>
    </w:p>
    <w:p w14:paraId="379D0467" w14:textId="77777777" w:rsidR="005E3AD5" w:rsidRDefault="005E3AD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הכנסה לפי סעיף 3(ב) לפקודה;</w:t>
      </w:r>
    </w:p>
    <w:p w14:paraId="1DBEBA43" w14:textId="77777777" w:rsidR="005E3AD5" w:rsidRDefault="005E3AD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תמורה במכירת נייר ערך, אם נוכה מלוא המס החל לפי הוראות הפקודה;</w:t>
      </w:r>
    </w:p>
    <w:p w14:paraId="38FC63D2" w14:textId="77777777" w:rsidR="005E3AD5" w:rsidRDefault="005E3AD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ריבית שחלות עליה הוראות סעיף 125ג(ב) עד (ד) לפקודה, אם נוכה ממנה מלוא המס החל לפי הוראות הפקודה;</w:t>
      </w:r>
    </w:p>
    <w:p w14:paraId="458E5411" w14:textId="77777777" w:rsidR="005E3AD5" w:rsidRDefault="005E3AD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הכנסה לפי סעיף 2(2) לפקודה שהופקה מחוץ לישראל או שהופקה בישראל, אם נוכה ממנה מלוא המס החל לפי הוראות הפקודה.</w:t>
      </w:r>
    </w:p>
    <w:p w14:paraId="003BF5C8" w14:textId="77777777" w:rsidR="005E3AD5" w:rsidRDefault="005E3A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04F4F0A3">
          <v:rect id="_x0000_s1212" style="position:absolute;left:0;text-align:left;margin-left:470.25pt;margin-top:8.05pt;width:69.3pt;height:15pt;z-index:251658752" o:allowincell="f" filled="f" stroked="f" strokecolor="lime" strokeweight=".25pt">
            <v:textbox style="mso-next-textbox:#_x0000_s1212" inset="0,0,0,0">
              <w:txbxContent>
                <w:p w14:paraId="2EC3940E" w14:textId="77777777" w:rsidR="005E3AD5" w:rsidRDefault="005E3AD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תחילתן של תקנות אלה לגבי קביעת מחזור העסקאות בשנת המס 2004 ואילך.</w:t>
      </w:r>
    </w:p>
    <w:p w14:paraId="1750B8D3" w14:textId="77777777" w:rsidR="005E3AD5" w:rsidRDefault="005E3A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CF2EDA" w14:textId="77777777" w:rsidR="005E3AD5" w:rsidRDefault="005E3A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452BE1" w14:textId="77777777" w:rsidR="005E3AD5" w:rsidRDefault="005E3AD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כ"ז באייר התשס"ד (17 במאי 2004)</w:t>
      </w:r>
      <w:r>
        <w:rPr>
          <w:rStyle w:val="default"/>
          <w:rFonts w:cs="FrankRuehl" w:hint="cs"/>
          <w:rtl/>
        </w:rPr>
        <w:tab/>
        <w:t>בנימין נתניהו</w:t>
      </w:r>
    </w:p>
    <w:p w14:paraId="21B13C1A" w14:textId="77777777" w:rsidR="005E3AD5" w:rsidRDefault="005E3AD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14:paraId="275B6393" w14:textId="77777777" w:rsidR="005E3AD5" w:rsidRDefault="005E3AD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</w:p>
    <w:sectPr w:rsidR="005E3AD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67765" w14:textId="77777777" w:rsidR="002B46F8" w:rsidRDefault="002B46F8">
      <w:r>
        <w:separator/>
      </w:r>
    </w:p>
  </w:endnote>
  <w:endnote w:type="continuationSeparator" w:id="0">
    <w:p w14:paraId="6B7F1E72" w14:textId="77777777" w:rsidR="002B46F8" w:rsidRDefault="002B4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1EB04" w14:textId="77777777" w:rsidR="005E3AD5" w:rsidRDefault="005E3AD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D51E061" w14:textId="77777777" w:rsidR="005E3AD5" w:rsidRDefault="005E3AD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19C09C" w14:textId="77777777" w:rsidR="005E3AD5" w:rsidRDefault="005E3AD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167C">
      <w:rPr>
        <w:rFonts w:cs="TopType Jerushalmi"/>
        <w:noProof/>
        <w:color w:val="000000"/>
        <w:sz w:val="14"/>
        <w:szCs w:val="14"/>
      </w:rPr>
      <w:t>C:\Yael\hakika\Revadim\999_332.doc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CD530" w14:textId="77777777" w:rsidR="005E3AD5" w:rsidRDefault="005E3AD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70B4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0BB544C" w14:textId="77777777" w:rsidR="005E3AD5" w:rsidRDefault="005E3AD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9DDAD9" w14:textId="77777777" w:rsidR="005E3AD5" w:rsidRDefault="005E3AD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167C">
      <w:rPr>
        <w:rFonts w:cs="TopType Jerushalmi"/>
        <w:noProof/>
        <w:color w:val="000000"/>
        <w:sz w:val="14"/>
        <w:szCs w:val="14"/>
      </w:rPr>
      <w:t>C:\Yael\hakika\Revadim\999_332.doc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06299" w14:textId="77777777" w:rsidR="002B46F8" w:rsidRDefault="002B46F8" w:rsidP="005A167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03270B8" w14:textId="77777777" w:rsidR="002B46F8" w:rsidRDefault="002B46F8">
      <w:r>
        <w:continuationSeparator/>
      </w:r>
    </w:p>
  </w:footnote>
  <w:footnote w:id="1">
    <w:p w14:paraId="79C7E35D" w14:textId="77777777" w:rsidR="005A167C" w:rsidRDefault="005A167C" w:rsidP="005A16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4C75DA">
          <w:rPr>
            <w:rStyle w:val="Hyperlink"/>
            <w:rFonts w:hint="cs"/>
            <w:sz w:val="20"/>
            <w:rtl/>
          </w:rPr>
          <w:t>ק"ת תשס"ד מס' 6337</w:t>
        </w:r>
      </w:hyperlink>
      <w:r>
        <w:rPr>
          <w:rFonts w:hint="cs"/>
          <w:sz w:val="20"/>
          <w:rtl/>
        </w:rPr>
        <w:t xml:space="preserve"> מיום 31.8.2004 עמ' 953.</w:t>
      </w:r>
    </w:p>
    <w:p w14:paraId="046A5515" w14:textId="77777777" w:rsidR="005A167C" w:rsidRDefault="005A167C" w:rsidP="005A16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sz w:val="20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66580" w14:textId="77777777" w:rsidR="005E3AD5" w:rsidRDefault="005E3AD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14:paraId="52809898" w14:textId="77777777" w:rsidR="005E3AD5" w:rsidRDefault="005E3A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A6AE8CB" w14:textId="77777777" w:rsidR="005E3AD5" w:rsidRDefault="005E3A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CE9B1" w14:textId="77777777" w:rsidR="005E3AD5" w:rsidRDefault="005E3AD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מס הכנסה (כללי קביעת עסקאות, הכנסות או מכירות לענין מקדמות), תשס"ד-2004</w:t>
    </w:r>
  </w:p>
  <w:p w14:paraId="73CDFB79" w14:textId="77777777" w:rsidR="005E3AD5" w:rsidRDefault="005E3A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035386F" w14:textId="77777777" w:rsidR="005E3AD5" w:rsidRDefault="005E3AD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75DA"/>
    <w:rsid w:val="00170B49"/>
    <w:rsid w:val="001E31E5"/>
    <w:rsid w:val="002B46F8"/>
    <w:rsid w:val="002E1D42"/>
    <w:rsid w:val="004C75DA"/>
    <w:rsid w:val="005A167C"/>
    <w:rsid w:val="005E3AD5"/>
    <w:rsid w:val="00BC1C11"/>
    <w:rsid w:val="00D96693"/>
    <w:rsid w:val="00E2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6270CD39"/>
  <w15:chartTrackingRefBased/>
  <w15:docId w15:val="{77912D48-60D0-4454-AA25-B67E1FFB1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styleId="2">
    <w:name w:val="Body Text 2"/>
    <w:basedOn w:val="a"/>
    <w:pPr>
      <w:spacing w:line="160" w:lineRule="exact"/>
      <w:jc w:val="left"/>
    </w:pPr>
    <w:rPr>
      <w:rFonts w:cs="Miriam"/>
      <w:szCs w:val="18"/>
    </w:rPr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rFonts w:cs="Times New Roman"/>
      <w:bCs/>
      <w:sz w:val="24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Times New Roman"/>
      <w:szCs w:val="20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3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/>
  <LinksUpToDate>false</LinksUpToDate>
  <CharactersWithSpaces>1468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מס הכנסה (כללי קביעת עסקאות, הכנסות או מכירות לענין מקדמות), תשס"ד-2004</vt:lpwstr>
  </property>
  <property fmtid="{D5CDD505-2E9C-101B-9397-08002B2CF9AE}" pid="4" name="LAWNUMBER">
    <vt:lpwstr>0332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1">
    <vt:lpwstr>http://www.nevo.co.il/Law_word/law06/tak-6337.pdf;רשומות – תקנות כלליות#פורסמו ק"ת תשס"ד מס' 6337#מיום 31.8.2004#עמ' 953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MEKOR_NAME1">
    <vt:lpwstr>פקודת מס הכנסה </vt:lpwstr>
  </property>
  <property fmtid="{D5CDD505-2E9C-101B-9397-08002B2CF9AE}" pid="18" name="MEKOR_SAIF1">
    <vt:lpwstr>175XבX</vt:lpwstr>
  </property>
  <property fmtid="{D5CDD505-2E9C-101B-9397-08002B2CF9AE}" pid="19" name="NOSE11">
    <vt:lpwstr>מסים</vt:lpwstr>
  </property>
  <property fmtid="{D5CDD505-2E9C-101B-9397-08002B2CF9AE}" pid="20" name="NOSE21">
    <vt:lpwstr>מס הכנסה</vt:lpwstr>
  </property>
  <property fmtid="{D5CDD505-2E9C-101B-9397-08002B2CF9AE}" pid="21" name="NOSE31">
    <vt:lpwstr>קביעות וכללים</vt:lpwstr>
  </property>
  <property fmtid="{D5CDD505-2E9C-101B-9397-08002B2CF9AE}" pid="22" name="NOSE41">
    <vt:lpwstr>מקדמות</vt:lpwstr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</Properties>
</file>