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4F83" w:rsidRDefault="00824F83" w:rsidP="00F017E6">
      <w:pPr>
        <w:pStyle w:val="big-header"/>
        <w:ind w:left="0" w:right="1134"/>
        <w:rPr>
          <w:rFonts w:cs="FrankRuehl"/>
          <w:sz w:val="32"/>
        </w:rPr>
      </w:pPr>
      <w:r>
        <w:rPr>
          <w:rFonts w:cs="FrankRuehl"/>
          <w:sz w:val="32"/>
          <w:rtl/>
        </w:rPr>
        <w:t>תקנות מס הכנסה (כללים בדבר חיוב במס על תשלומים לקרן שלא אושרה ותשלומים שלא כדין), תשכ"ב</w:t>
      </w:r>
      <w:r w:rsidR="00F017E6">
        <w:rPr>
          <w:rFonts w:cs="FrankRuehl" w:hint="cs"/>
          <w:sz w:val="32"/>
          <w:rtl/>
        </w:rPr>
        <w:t>-</w:t>
      </w:r>
      <w:r>
        <w:rPr>
          <w:rFonts w:cs="FrankRuehl"/>
          <w:sz w:val="32"/>
          <w:rtl/>
        </w:rPr>
        <w:t>1962</w:t>
      </w:r>
    </w:p>
    <w:p w:rsidR="009908E6" w:rsidRPr="009908E6" w:rsidRDefault="009908E6" w:rsidP="009908E6">
      <w:pPr>
        <w:spacing w:line="320" w:lineRule="auto"/>
        <w:rPr>
          <w:rFonts w:cs="FrankRuehl"/>
          <w:szCs w:val="26"/>
          <w:rtl/>
        </w:rPr>
      </w:pPr>
    </w:p>
    <w:p w:rsidR="009908E6" w:rsidRDefault="009908E6" w:rsidP="009908E6">
      <w:pPr>
        <w:spacing w:line="320" w:lineRule="auto"/>
        <w:rPr>
          <w:rtl/>
        </w:rPr>
      </w:pPr>
    </w:p>
    <w:p w:rsidR="009908E6" w:rsidRDefault="009908E6" w:rsidP="009908E6">
      <w:pPr>
        <w:spacing w:line="320" w:lineRule="auto"/>
        <w:rPr>
          <w:rFonts w:cs="FrankRuehl"/>
          <w:szCs w:val="26"/>
          <w:rtl/>
        </w:rPr>
      </w:pPr>
      <w:r w:rsidRPr="009908E6">
        <w:rPr>
          <w:rFonts w:cs="Miriam"/>
          <w:szCs w:val="22"/>
          <w:rtl/>
        </w:rPr>
        <w:t>מסים</w:t>
      </w:r>
      <w:r w:rsidRPr="009908E6">
        <w:rPr>
          <w:rFonts w:cs="FrankRuehl"/>
          <w:szCs w:val="26"/>
          <w:rtl/>
        </w:rPr>
        <w:t xml:space="preserve"> – מס הכנסה – קביעות וכללים</w:t>
      </w:r>
    </w:p>
    <w:p w:rsidR="009908E6" w:rsidRPr="009908E6" w:rsidRDefault="009908E6" w:rsidP="009908E6">
      <w:pPr>
        <w:spacing w:line="320" w:lineRule="auto"/>
        <w:rPr>
          <w:rFonts w:cs="Miriam"/>
          <w:szCs w:val="22"/>
          <w:rtl/>
        </w:rPr>
      </w:pPr>
      <w:r w:rsidRPr="009908E6">
        <w:rPr>
          <w:rFonts w:cs="Miriam"/>
          <w:szCs w:val="22"/>
          <w:rtl/>
        </w:rPr>
        <w:t>מסים</w:t>
      </w:r>
      <w:r w:rsidRPr="009908E6">
        <w:rPr>
          <w:rFonts w:cs="FrankRuehl"/>
          <w:szCs w:val="26"/>
          <w:rtl/>
        </w:rPr>
        <w:t xml:space="preserve"> – מס הכנסה – קופות גמל</w:t>
      </w:r>
    </w:p>
    <w:p w:rsidR="00824F83" w:rsidRDefault="00824F83">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24F83">
        <w:tblPrEx>
          <w:tblCellMar>
            <w:top w:w="0" w:type="dxa"/>
            <w:bottom w:w="0" w:type="dxa"/>
          </w:tblCellMar>
        </w:tblPrEx>
        <w:tc>
          <w:tcPr>
            <w:tcW w:w="850" w:type="dxa"/>
          </w:tcPr>
          <w:p w:rsidR="00824F83" w:rsidRDefault="00824F83">
            <w:r>
              <w:rPr>
                <w:rtl/>
              </w:rPr>
              <w:fldChar w:fldCharType="begin"/>
            </w:r>
            <w:r>
              <w:rPr>
                <w:rtl/>
              </w:rPr>
              <w:instrText xml:space="preserve"> </w:instrText>
            </w:r>
            <w:r>
              <w:instrText>PAGEREF Seif0</w:instrText>
            </w:r>
            <w:r>
              <w:rPr>
                <w:rtl/>
              </w:rPr>
              <w:instrText xml:space="preserve"> </w:instrText>
            </w:r>
            <w:r>
              <w:rPr>
                <w:rtl/>
              </w:rPr>
              <w:fldChar w:fldCharType="separate"/>
            </w:r>
            <w:r w:rsidR="00F017E6">
              <w:rPr>
                <w:noProof/>
                <w:rtl/>
              </w:rPr>
              <w:t>2</w:t>
            </w:r>
            <w:r>
              <w:rPr>
                <w:rtl/>
              </w:rPr>
              <w:fldChar w:fldCharType="end"/>
            </w:r>
          </w:p>
        </w:tc>
        <w:tc>
          <w:tcPr>
            <w:tcW w:w="567" w:type="dxa"/>
          </w:tcPr>
          <w:p w:rsidR="00824F83" w:rsidRDefault="00824F83">
            <w:hyperlink w:anchor="Seif0" w:tooltip="הגדרות" w:history="1">
              <w:r>
                <w:rPr>
                  <w:rStyle w:val="Hyperlink"/>
                </w:rPr>
                <w:t>Go</w:t>
              </w:r>
            </w:hyperlink>
          </w:p>
        </w:tc>
        <w:tc>
          <w:tcPr>
            <w:tcW w:w="5669" w:type="dxa"/>
          </w:tcPr>
          <w:p w:rsidR="00824F83" w:rsidRDefault="00824F83">
            <w:pPr>
              <w:rPr>
                <w:rtl/>
              </w:rPr>
            </w:pPr>
            <w:r>
              <w:rPr>
                <w:rtl/>
              </w:rPr>
              <w:t>הגדרות</w:t>
            </w:r>
          </w:p>
        </w:tc>
        <w:tc>
          <w:tcPr>
            <w:tcW w:w="1247" w:type="dxa"/>
          </w:tcPr>
          <w:p w:rsidR="00824F83" w:rsidRDefault="00824F83">
            <w:r>
              <w:rPr>
                <w:rtl/>
              </w:rPr>
              <w:t xml:space="preserve">סעיף 1 </w:t>
            </w:r>
          </w:p>
        </w:tc>
      </w:tr>
      <w:tr w:rsidR="00824F83">
        <w:tblPrEx>
          <w:tblCellMar>
            <w:top w:w="0" w:type="dxa"/>
            <w:bottom w:w="0" w:type="dxa"/>
          </w:tblCellMar>
        </w:tblPrEx>
        <w:tc>
          <w:tcPr>
            <w:tcW w:w="850" w:type="dxa"/>
          </w:tcPr>
          <w:p w:rsidR="00824F83" w:rsidRDefault="00824F83">
            <w:r>
              <w:rPr>
                <w:rtl/>
              </w:rPr>
              <w:fldChar w:fldCharType="begin"/>
            </w:r>
            <w:r>
              <w:rPr>
                <w:rtl/>
              </w:rPr>
              <w:instrText xml:space="preserve"> </w:instrText>
            </w:r>
            <w:r>
              <w:instrText>PAGEREF Seif1</w:instrText>
            </w:r>
            <w:r>
              <w:rPr>
                <w:rtl/>
              </w:rPr>
              <w:instrText xml:space="preserve"> </w:instrText>
            </w:r>
            <w:r>
              <w:rPr>
                <w:rtl/>
              </w:rPr>
              <w:fldChar w:fldCharType="separate"/>
            </w:r>
            <w:r w:rsidR="00F017E6">
              <w:rPr>
                <w:noProof/>
                <w:rtl/>
              </w:rPr>
              <w:t>2</w:t>
            </w:r>
            <w:r>
              <w:rPr>
                <w:rtl/>
              </w:rPr>
              <w:fldChar w:fldCharType="end"/>
            </w:r>
          </w:p>
        </w:tc>
        <w:tc>
          <w:tcPr>
            <w:tcW w:w="567" w:type="dxa"/>
          </w:tcPr>
          <w:p w:rsidR="00824F83" w:rsidRDefault="00824F83">
            <w:hyperlink w:anchor="Seif1" w:tooltip="חיוב מעביד במס" w:history="1">
              <w:r>
                <w:rPr>
                  <w:rStyle w:val="Hyperlink"/>
                </w:rPr>
                <w:t>Go</w:t>
              </w:r>
            </w:hyperlink>
          </w:p>
        </w:tc>
        <w:tc>
          <w:tcPr>
            <w:tcW w:w="5669" w:type="dxa"/>
          </w:tcPr>
          <w:p w:rsidR="00824F83" w:rsidRDefault="00824F83">
            <w:pPr>
              <w:rPr>
                <w:rtl/>
              </w:rPr>
            </w:pPr>
            <w:r>
              <w:rPr>
                <w:rtl/>
              </w:rPr>
              <w:t>חיוב מעביד במס</w:t>
            </w:r>
          </w:p>
        </w:tc>
        <w:tc>
          <w:tcPr>
            <w:tcW w:w="1247" w:type="dxa"/>
          </w:tcPr>
          <w:p w:rsidR="00824F83" w:rsidRDefault="00824F83">
            <w:r>
              <w:rPr>
                <w:rtl/>
              </w:rPr>
              <w:t xml:space="preserve">סעיף 2 </w:t>
            </w:r>
          </w:p>
        </w:tc>
      </w:tr>
      <w:tr w:rsidR="00824F83">
        <w:tblPrEx>
          <w:tblCellMar>
            <w:top w:w="0" w:type="dxa"/>
            <w:bottom w:w="0" w:type="dxa"/>
          </w:tblCellMar>
        </w:tblPrEx>
        <w:tc>
          <w:tcPr>
            <w:tcW w:w="850" w:type="dxa"/>
          </w:tcPr>
          <w:p w:rsidR="00824F83" w:rsidRDefault="00824F83">
            <w:r>
              <w:rPr>
                <w:rtl/>
              </w:rPr>
              <w:fldChar w:fldCharType="begin"/>
            </w:r>
            <w:r>
              <w:rPr>
                <w:rtl/>
              </w:rPr>
              <w:instrText xml:space="preserve"> </w:instrText>
            </w:r>
            <w:r>
              <w:instrText>PAGEREF Seif2</w:instrText>
            </w:r>
            <w:r>
              <w:rPr>
                <w:rtl/>
              </w:rPr>
              <w:instrText xml:space="preserve"> </w:instrText>
            </w:r>
            <w:r>
              <w:rPr>
                <w:rtl/>
              </w:rPr>
              <w:fldChar w:fldCharType="separate"/>
            </w:r>
            <w:r w:rsidR="00F017E6">
              <w:rPr>
                <w:noProof/>
                <w:rtl/>
              </w:rPr>
              <w:t>2</w:t>
            </w:r>
            <w:r>
              <w:rPr>
                <w:rtl/>
              </w:rPr>
              <w:fldChar w:fldCharType="end"/>
            </w:r>
          </w:p>
        </w:tc>
        <w:tc>
          <w:tcPr>
            <w:tcW w:w="567" w:type="dxa"/>
          </w:tcPr>
          <w:p w:rsidR="00824F83" w:rsidRDefault="00824F83">
            <w:hyperlink w:anchor="Seif2" w:tooltip="חיוב במס של חבר בקופה" w:history="1">
              <w:r>
                <w:rPr>
                  <w:rStyle w:val="Hyperlink"/>
                </w:rPr>
                <w:t>Go</w:t>
              </w:r>
            </w:hyperlink>
          </w:p>
        </w:tc>
        <w:tc>
          <w:tcPr>
            <w:tcW w:w="5669" w:type="dxa"/>
          </w:tcPr>
          <w:p w:rsidR="00824F83" w:rsidRDefault="00824F83">
            <w:pPr>
              <w:rPr>
                <w:rtl/>
              </w:rPr>
            </w:pPr>
            <w:r>
              <w:rPr>
                <w:rtl/>
              </w:rPr>
              <w:t>חיוב במס של חבר בקופה</w:t>
            </w:r>
          </w:p>
        </w:tc>
        <w:tc>
          <w:tcPr>
            <w:tcW w:w="1247" w:type="dxa"/>
          </w:tcPr>
          <w:p w:rsidR="00824F83" w:rsidRDefault="00824F83">
            <w:r>
              <w:rPr>
                <w:rtl/>
              </w:rPr>
              <w:t xml:space="preserve">סעיף 3 </w:t>
            </w:r>
          </w:p>
        </w:tc>
      </w:tr>
      <w:tr w:rsidR="00824F83">
        <w:tblPrEx>
          <w:tblCellMar>
            <w:top w:w="0" w:type="dxa"/>
            <w:bottom w:w="0" w:type="dxa"/>
          </w:tblCellMar>
        </w:tblPrEx>
        <w:tc>
          <w:tcPr>
            <w:tcW w:w="850" w:type="dxa"/>
          </w:tcPr>
          <w:p w:rsidR="00824F83" w:rsidRDefault="00824F83">
            <w:r>
              <w:rPr>
                <w:rtl/>
              </w:rPr>
              <w:fldChar w:fldCharType="begin"/>
            </w:r>
            <w:r>
              <w:rPr>
                <w:rtl/>
              </w:rPr>
              <w:instrText xml:space="preserve"> </w:instrText>
            </w:r>
            <w:r>
              <w:instrText>PAGEREF Seif3</w:instrText>
            </w:r>
            <w:r>
              <w:rPr>
                <w:rtl/>
              </w:rPr>
              <w:instrText xml:space="preserve"> </w:instrText>
            </w:r>
            <w:r>
              <w:rPr>
                <w:rtl/>
              </w:rPr>
              <w:fldChar w:fldCharType="separate"/>
            </w:r>
            <w:r w:rsidR="00F017E6">
              <w:rPr>
                <w:noProof/>
                <w:rtl/>
              </w:rPr>
              <w:t>2</w:t>
            </w:r>
            <w:r>
              <w:rPr>
                <w:rtl/>
              </w:rPr>
              <w:fldChar w:fldCharType="end"/>
            </w:r>
          </w:p>
        </w:tc>
        <w:tc>
          <w:tcPr>
            <w:tcW w:w="567" w:type="dxa"/>
          </w:tcPr>
          <w:p w:rsidR="00824F83" w:rsidRDefault="00824F83">
            <w:hyperlink w:anchor="Seif3" w:tooltip="ניכוי מס" w:history="1">
              <w:r>
                <w:rPr>
                  <w:rStyle w:val="Hyperlink"/>
                </w:rPr>
                <w:t>Go</w:t>
              </w:r>
            </w:hyperlink>
          </w:p>
        </w:tc>
        <w:tc>
          <w:tcPr>
            <w:tcW w:w="5669" w:type="dxa"/>
          </w:tcPr>
          <w:p w:rsidR="00824F83" w:rsidRDefault="00824F83">
            <w:pPr>
              <w:rPr>
                <w:rtl/>
              </w:rPr>
            </w:pPr>
            <w:r>
              <w:rPr>
                <w:rtl/>
              </w:rPr>
              <w:t>ניכוי מס</w:t>
            </w:r>
          </w:p>
        </w:tc>
        <w:tc>
          <w:tcPr>
            <w:tcW w:w="1247" w:type="dxa"/>
          </w:tcPr>
          <w:p w:rsidR="00824F83" w:rsidRDefault="00824F83">
            <w:r>
              <w:rPr>
                <w:rtl/>
              </w:rPr>
              <w:t xml:space="preserve">סעיף 4 </w:t>
            </w:r>
          </w:p>
        </w:tc>
      </w:tr>
      <w:tr w:rsidR="00824F83">
        <w:tblPrEx>
          <w:tblCellMar>
            <w:top w:w="0" w:type="dxa"/>
            <w:bottom w:w="0" w:type="dxa"/>
          </w:tblCellMar>
        </w:tblPrEx>
        <w:tc>
          <w:tcPr>
            <w:tcW w:w="850" w:type="dxa"/>
          </w:tcPr>
          <w:p w:rsidR="00824F83" w:rsidRDefault="00824F83">
            <w:r>
              <w:rPr>
                <w:rtl/>
              </w:rPr>
              <w:fldChar w:fldCharType="begin"/>
            </w:r>
            <w:r>
              <w:rPr>
                <w:rtl/>
              </w:rPr>
              <w:instrText xml:space="preserve"> </w:instrText>
            </w:r>
            <w:r>
              <w:instrText>PAGEREF Seif4</w:instrText>
            </w:r>
            <w:r>
              <w:rPr>
                <w:rtl/>
              </w:rPr>
              <w:instrText xml:space="preserve"> </w:instrText>
            </w:r>
            <w:r>
              <w:rPr>
                <w:rtl/>
              </w:rPr>
              <w:fldChar w:fldCharType="separate"/>
            </w:r>
            <w:r w:rsidR="00F017E6">
              <w:rPr>
                <w:noProof/>
                <w:rtl/>
              </w:rPr>
              <w:t>2</w:t>
            </w:r>
            <w:r>
              <w:rPr>
                <w:rtl/>
              </w:rPr>
              <w:fldChar w:fldCharType="end"/>
            </w:r>
          </w:p>
        </w:tc>
        <w:tc>
          <w:tcPr>
            <w:tcW w:w="567" w:type="dxa"/>
          </w:tcPr>
          <w:p w:rsidR="00824F83" w:rsidRDefault="00824F83">
            <w:hyperlink w:anchor="Seif4" w:tooltip="תשלום לאוצר ודוח" w:history="1">
              <w:r>
                <w:rPr>
                  <w:rStyle w:val="Hyperlink"/>
                </w:rPr>
                <w:t>Go</w:t>
              </w:r>
            </w:hyperlink>
          </w:p>
        </w:tc>
        <w:tc>
          <w:tcPr>
            <w:tcW w:w="5669" w:type="dxa"/>
          </w:tcPr>
          <w:p w:rsidR="00824F83" w:rsidRDefault="00824F83">
            <w:pPr>
              <w:rPr>
                <w:rtl/>
              </w:rPr>
            </w:pPr>
            <w:r>
              <w:rPr>
                <w:rtl/>
              </w:rPr>
              <w:t>תשלום לאוצר ודוח</w:t>
            </w:r>
          </w:p>
        </w:tc>
        <w:tc>
          <w:tcPr>
            <w:tcW w:w="1247" w:type="dxa"/>
          </w:tcPr>
          <w:p w:rsidR="00824F83" w:rsidRDefault="00824F83">
            <w:r>
              <w:rPr>
                <w:rtl/>
              </w:rPr>
              <w:t xml:space="preserve">סעיף 5 </w:t>
            </w:r>
          </w:p>
        </w:tc>
      </w:tr>
      <w:tr w:rsidR="00824F83">
        <w:tblPrEx>
          <w:tblCellMar>
            <w:top w:w="0" w:type="dxa"/>
            <w:bottom w:w="0" w:type="dxa"/>
          </w:tblCellMar>
        </w:tblPrEx>
        <w:tc>
          <w:tcPr>
            <w:tcW w:w="850" w:type="dxa"/>
          </w:tcPr>
          <w:p w:rsidR="00824F83" w:rsidRDefault="00824F83">
            <w:r>
              <w:rPr>
                <w:rtl/>
              </w:rPr>
              <w:fldChar w:fldCharType="begin"/>
            </w:r>
            <w:r>
              <w:rPr>
                <w:rtl/>
              </w:rPr>
              <w:instrText xml:space="preserve"> </w:instrText>
            </w:r>
            <w:r>
              <w:instrText>PAGEREF Seif5</w:instrText>
            </w:r>
            <w:r>
              <w:rPr>
                <w:rtl/>
              </w:rPr>
              <w:instrText xml:space="preserve"> </w:instrText>
            </w:r>
            <w:r>
              <w:rPr>
                <w:rtl/>
              </w:rPr>
              <w:fldChar w:fldCharType="separate"/>
            </w:r>
            <w:r w:rsidR="00F017E6">
              <w:rPr>
                <w:noProof/>
                <w:rtl/>
              </w:rPr>
              <w:t>2</w:t>
            </w:r>
            <w:r>
              <w:rPr>
                <w:rtl/>
              </w:rPr>
              <w:fldChar w:fldCharType="end"/>
            </w:r>
          </w:p>
        </w:tc>
        <w:tc>
          <w:tcPr>
            <w:tcW w:w="567" w:type="dxa"/>
          </w:tcPr>
          <w:p w:rsidR="00824F83" w:rsidRDefault="00824F83">
            <w:hyperlink w:anchor="Seif5" w:tooltip="השם" w:history="1">
              <w:r>
                <w:rPr>
                  <w:rStyle w:val="Hyperlink"/>
                </w:rPr>
                <w:t>Go</w:t>
              </w:r>
            </w:hyperlink>
          </w:p>
        </w:tc>
        <w:tc>
          <w:tcPr>
            <w:tcW w:w="5669" w:type="dxa"/>
          </w:tcPr>
          <w:p w:rsidR="00824F83" w:rsidRDefault="00824F83">
            <w:pPr>
              <w:rPr>
                <w:rtl/>
              </w:rPr>
            </w:pPr>
            <w:r>
              <w:rPr>
                <w:rtl/>
              </w:rPr>
              <w:t>השם</w:t>
            </w:r>
          </w:p>
        </w:tc>
        <w:tc>
          <w:tcPr>
            <w:tcW w:w="1247" w:type="dxa"/>
          </w:tcPr>
          <w:p w:rsidR="00824F83" w:rsidRDefault="00824F83">
            <w:r>
              <w:rPr>
                <w:rtl/>
              </w:rPr>
              <w:t xml:space="preserve">סעיף 6 </w:t>
            </w:r>
          </w:p>
        </w:tc>
      </w:tr>
    </w:tbl>
    <w:p w:rsidR="00824F83" w:rsidRDefault="00824F83">
      <w:pPr>
        <w:pStyle w:val="big-header"/>
        <w:ind w:left="0" w:right="1134"/>
        <w:rPr>
          <w:rFonts w:cs="FrankRuehl"/>
          <w:sz w:val="32"/>
          <w:rtl/>
        </w:rPr>
      </w:pPr>
    </w:p>
    <w:p w:rsidR="00824F83" w:rsidRDefault="00824F83" w:rsidP="009908E6">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נות מס הכנסה (כללים בדבר חיוב במס על תשלומים לקרן שלא אושרה ותשלומים שלא כדין), תשכ"ב</w:t>
      </w:r>
      <w:r w:rsidR="00F017E6">
        <w:rPr>
          <w:rFonts w:cs="FrankRuehl" w:hint="cs"/>
          <w:sz w:val="32"/>
          <w:rtl/>
        </w:rPr>
        <w:t>-</w:t>
      </w:r>
      <w:r>
        <w:rPr>
          <w:rFonts w:cs="FrankRuehl"/>
          <w:sz w:val="32"/>
          <w:rtl/>
        </w:rPr>
        <w:t>1962</w:t>
      </w:r>
      <w:r w:rsidR="00F017E6">
        <w:rPr>
          <w:rStyle w:val="a6"/>
          <w:rFonts w:cs="FrankRuehl"/>
          <w:sz w:val="32"/>
          <w:rtl/>
        </w:rPr>
        <w:footnoteReference w:customMarkFollows="1" w:id="1"/>
        <w:t>*</w:t>
      </w:r>
    </w:p>
    <w:p w:rsidR="00824F83" w:rsidRPr="00585680" w:rsidRDefault="00824F83">
      <w:pPr>
        <w:pStyle w:val="P00"/>
        <w:spacing w:before="72"/>
        <w:ind w:left="0" w:right="1134"/>
        <w:rPr>
          <w:rStyle w:val="default"/>
          <w:rFonts w:cs="FrankRuehl"/>
          <w:rtl/>
        </w:rPr>
      </w:pPr>
      <w:r w:rsidRPr="00585680">
        <w:rPr>
          <w:rFonts w:cs="FrankRuehl"/>
          <w:sz w:val="26"/>
          <w:rtl/>
        </w:rPr>
        <w:tab/>
      </w:r>
      <w:r w:rsidRPr="00585680">
        <w:rPr>
          <w:rStyle w:val="default"/>
          <w:rFonts w:cs="FrankRuehl"/>
          <w:rtl/>
        </w:rPr>
        <w:t>בתוקף סמכותי לפי הסעיפים 87, 164 ו-243 לפקודת מס הכנסה, ובאישור ועדת הכספים של הכנסת, אני מתקין תקנות אלה ומצווה לאמור:</w:t>
      </w:r>
    </w:p>
    <w:p w:rsidR="00824F83" w:rsidRDefault="00824F83">
      <w:pPr>
        <w:pStyle w:val="P00"/>
        <w:spacing w:before="72"/>
        <w:ind w:left="0" w:right="1134"/>
        <w:rPr>
          <w:rStyle w:val="default"/>
          <w:rFonts w:cs="FrankRuehl" w:hint="cs"/>
          <w:rtl/>
        </w:rPr>
      </w:pPr>
      <w:bookmarkStart w:id="0" w:name="Seif0"/>
      <w:bookmarkEnd w:id="0"/>
      <w:r w:rsidRPr="009E6E1D">
        <w:rPr>
          <w:rFonts w:cs="Miriam"/>
          <w:lang w:val="he-IL"/>
        </w:rPr>
        <w:pict>
          <v:rect id="_x0000_s1026" style="position:absolute;left:0;text-align:left;margin-left:464.5pt;margin-top:8.05pt;width:75.05pt;height:14.2pt;z-index:251655168" o:allowincell="f" filled="f" stroked="f" strokecolor="lime" strokeweight=".25pt">
            <v:textbox inset="0,0,0,0">
              <w:txbxContent>
                <w:p w:rsidR="00824F83" w:rsidRDefault="00824F83">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9E6E1D">
        <w:rPr>
          <w:rStyle w:val="big-number"/>
          <w:rFonts w:cs="Miriam"/>
          <w:rtl/>
        </w:rPr>
        <w:t>1</w:t>
      </w:r>
      <w:r w:rsidRPr="009E6E1D">
        <w:rPr>
          <w:rStyle w:val="big-number"/>
          <w:rFonts w:cs="FrankRuehl"/>
          <w:sz w:val="26"/>
          <w:szCs w:val="26"/>
          <w:rtl/>
        </w:rPr>
        <w:t>.</w:t>
      </w:r>
      <w:r w:rsidRPr="009E6E1D">
        <w:rPr>
          <w:rStyle w:val="big-number"/>
          <w:rFonts w:cs="FrankRuehl"/>
          <w:sz w:val="26"/>
          <w:szCs w:val="26"/>
          <w:rtl/>
        </w:rPr>
        <w:tab/>
      </w:r>
      <w:r w:rsidR="00F017E6">
        <w:rPr>
          <w:rStyle w:val="default"/>
          <w:rFonts w:cs="FrankRuehl"/>
          <w:rtl/>
        </w:rPr>
        <w:t>בתקנות אלה –</w:t>
      </w:r>
    </w:p>
    <w:p w:rsidR="00824F83" w:rsidRPr="00585680" w:rsidRDefault="00824F83" w:rsidP="00F017E6">
      <w:pPr>
        <w:pStyle w:val="P00"/>
        <w:spacing w:before="72"/>
        <w:ind w:left="0" w:right="1134"/>
        <w:rPr>
          <w:rStyle w:val="default"/>
          <w:rFonts w:cs="FrankRuehl"/>
          <w:rtl/>
        </w:rPr>
      </w:pPr>
      <w:r w:rsidRPr="00585680">
        <w:rPr>
          <w:rFonts w:cs="FrankRuehl"/>
          <w:sz w:val="26"/>
          <w:rtl/>
        </w:rPr>
        <w:tab/>
      </w:r>
      <w:r w:rsidRPr="00585680">
        <w:rPr>
          <w:rStyle w:val="default"/>
          <w:rFonts w:cs="FrankRuehl"/>
          <w:rtl/>
        </w:rPr>
        <w:t xml:space="preserve">"קופת גמל" </w:t>
      </w:r>
      <w:r w:rsidR="00F017E6">
        <w:rPr>
          <w:rStyle w:val="default"/>
          <w:rFonts w:cs="FrankRuehl" w:hint="cs"/>
          <w:rtl/>
        </w:rPr>
        <w:t>-</w:t>
      </w:r>
      <w:r w:rsidRPr="00585680">
        <w:rPr>
          <w:rStyle w:val="default"/>
          <w:rFonts w:cs="FrankRuehl"/>
          <w:rtl/>
        </w:rPr>
        <w:t xml:space="preserve"> כמשמעותה בסעיף 47 לפקודה;</w:t>
      </w:r>
    </w:p>
    <w:p w:rsidR="00824F83" w:rsidRPr="00585680" w:rsidRDefault="00824F83" w:rsidP="00F017E6">
      <w:pPr>
        <w:pStyle w:val="P00"/>
        <w:spacing w:before="72"/>
        <w:ind w:left="0" w:right="1134"/>
        <w:rPr>
          <w:rStyle w:val="default"/>
          <w:rFonts w:cs="FrankRuehl"/>
          <w:rtl/>
        </w:rPr>
      </w:pPr>
      <w:r w:rsidRPr="00585680">
        <w:rPr>
          <w:rFonts w:cs="FrankRuehl"/>
          <w:sz w:val="26"/>
          <w:rtl/>
        </w:rPr>
        <w:tab/>
      </w:r>
      <w:r w:rsidRPr="00585680">
        <w:rPr>
          <w:rStyle w:val="default"/>
          <w:rFonts w:cs="FrankRuehl"/>
          <w:rtl/>
        </w:rPr>
        <w:t xml:space="preserve">"קרן שלא אושרה" </w:t>
      </w:r>
      <w:r w:rsidR="00F017E6">
        <w:rPr>
          <w:rStyle w:val="default"/>
          <w:rFonts w:cs="FrankRuehl" w:hint="cs"/>
          <w:rtl/>
        </w:rPr>
        <w:t>-</w:t>
      </w:r>
      <w:r w:rsidRPr="00585680">
        <w:rPr>
          <w:rStyle w:val="default"/>
          <w:rFonts w:cs="FrankRuehl"/>
          <w:rtl/>
        </w:rPr>
        <w:t xml:space="preserve"> קרן או קופת תגמולים, קיצבה, פיצויים, חופשה או מטרה אחרת כיוצא באלה, שלא אושרו על ידי הנציב כאמור בסעיף 47(ד) לפקודה;</w:t>
      </w:r>
    </w:p>
    <w:p w:rsidR="00824F83" w:rsidRPr="00585680" w:rsidRDefault="00824F83" w:rsidP="00F017E6">
      <w:pPr>
        <w:pStyle w:val="P00"/>
        <w:spacing w:before="72"/>
        <w:ind w:left="0" w:right="1134"/>
        <w:rPr>
          <w:rStyle w:val="default"/>
          <w:rFonts w:cs="FrankRuehl"/>
          <w:rtl/>
        </w:rPr>
      </w:pPr>
      <w:r w:rsidRPr="00585680">
        <w:rPr>
          <w:rFonts w:cs="FrankRuehl"/>
          <w:sz w:val="26"/>
          <w:rtl/>
        </w:rPr>
        <w:tab/>
      </w:r>
      <w:r w:rsidRPr="00585680">
        <w:rPr>
          <w:rStyle w:val="default"/>
          <w:rFonts w:cs="FrankRuehl"/>
          <w:rtl/>
        </w:rPr>
        <w:t xml:space="preserve">"מעביד" </w:t>
      </w:r>
      <w:r w:rsidR="00F017E6">
        <w:rPr>
          <w:rStyle w:val="default"/>
          <w:rFonts w:cs="FrankRuehl" w:hint="cs"/>
          <w:rtl/>
        </w:rPr>
        <w:t>-</w:t>
      </w:r>
      <w:r w:rsidRPr="00585680">
        <w:rPr>
          <w:rStyle w:val="default"/>
          <w:rFonts w:cs="FrankRuehl"/>
          <w:rtl/>
        </w:rPr>
        <w:t xml:space="preserve"> אדם המשלם משכורת או שכר עבודה;</w:t>
      </w:r>
    </w:p>
    <w:p w:rsidR="00824F83" w:rsidRPr="00585680" w:rsidRDefault="00824F83" w:rsidP="00F017E6">
      <w:pPr>
        <w:pStyle w:val="P00"/>
        <w:spacing w:before="72"/>
        <w:ind w:left="0" w:right="1134"/>
        <w:rPr>
          <w:rStyle w:val="default"/>
          <w:rFonts w:cs="FrankRuehl"/>
          <w:rtl/>
        </w:rPr>
      </w:pPr>
      <w:r w:rsidRPr="00585680">
        <w:rPr>
          <w:rFonts w:cs="FrankRuehl"/>
          <w:sz w:val="26"/>
          <w:rtl/>
        </w:rPr>
        <w:tab/>
      </w:r>
      <w:r w:rsidRPr="00585680">
        <w:rPr>
          <w:rStyle w:val="default"/>
          <w:rFonts w:cs="FrankRuehl"/>
          <w:rtl/>
        </w:rPr>
        <w:t xml:space="preserve">"חבר בקופה" </w:t>
      </w:r>
      <w:r w:rsidR="00F017E6">
        <w:rPr>
          <w:rStyle w:val="default"/>
          <w:rFonts w:cs="FrankRuehl" w:hint="cs"/>
          <w:rtl/>
        </w:rPr>
        <w:t>-</w:t>
      </w:r>
      <w:r w:rsidRPr="00585680">
        <w:rPr>
          <w:rStyle w:val="default"/>
          <w:rFonts w:cs="FrankRuehl"/>
          <w:rtl/>
        </w:rPr>
        <w:t xml:space="preserve"> כמשמעותו בתקנות מס הכנסה (כללים לאישור קרנות תגמולים, פנסיה, פיצויים וחופשה), תשי"ז</w:t>
      </w:r>
      <w:r w:rsidR="00F017E6">
        <w:rPr>
          <w:rStyle w:val="default"/>
          <w:rFonts w:cs="FrankRuehl" w:hint="cs"/>
          <w:rtl/>
        </w:rPr>
        <w:t>-</w:t>
      </w:r>
      <w:r w:rsidRPr="00585680">
        <w:rPr>
          <w:rStyle w:val="default"/>
          <w:rFonts w:cs="FrankRuehl"/>
          <w:rtl/>
        </w:rPr>
        <w:t>1957.</w:t>
      </w:r>
    </w:p>
    <w:p w:rsidR="00824F83" w:rsidRPr="00585680" w:rsidRDefault="00824F83">
      <w:pPr>
        <w:pStyle w:val="P00"/>
        <w:spacing w:before="72"/>
        <w:ind w:left="0" w:right="1134"/>
        <w:rPr>
          <w:rStyle w:val="default"/>
          <w:rFonts w:cs="FrankRuehl"/>
          <w:rtl/>
        </w:rPr>
      </w:pPr>
      <w:bookmarkStart w:id="1" w:name="Seif1"/>
      <w:bookmarkEnd w:id="1"/>
      <w:r w:rsidRPr="009E6E1D">
        <w:rPr>
          <w:rFonts w:cs="Miriam"/>
          <w:lang w:val="he-IL"/>
        </w:rPr>
        <w:pict>
          <v:rect id="_x0000_s1027" style="position:absolute;left:0;text-align:left;margin-left:464.5pt;margin-top:8.05pt;width:75.05pt;height:16pt;z-index:251656192" o:allowincell="f" filled="f" stroked="f" strokecolor="lime" strokeweight=".25pt">
            <v:textbox inset="0,0,0,0">
              <w:txbxContent>
                <w:p w:rsidR="00824F83" w:rsidRDefault="00824F83" w:rsidP="00F017E6">
                  <w:pPr>
                    <w:spacing w:line="160" w:lineRule="exact"/>
                    <w:rPr>
                      <w:rFonts w:cs="Miriam"/>
                      <w:noProof/>
                      <w:sz w:val="18"/>
                      <w:szCs w:val="18"/>
                      <w:rtl/>
                    </w:rPr>
                  </w:pPr>
                  <w:r>
                    <w:rPr>
                      <w:rFonts w:cs="Miriam"/>
                      <w:sz w:val="18"/>
                      <w:szCs w:val="18"/>
                      <w:rtl/>
                    </w:rPr>
                    <w:t>חי</w:t>
                  </w:r>
                  <w:r>
                    <w:rPr>
                      <w:rFonts w:cs="Miriam" w:hint="cs"/>
                      <w:sz w:val="18"/>
                      <w:szCs w:val="18"/>
                      <w:rtl/>
                    </w:rPr>
                    <w:t>וב מעביד</w:t>
                  </w:r>
                  <w:r w:rsidR="00F017E6">
                    <w:rPr>
                      <w:rFonts w:cs="Miriam" w:hint="cs"/>
                      <w:sz w:val="18"/>
                      <w:szCs w:val="18"/>
                      <w:rtl/>
                    </w:rPr>
                    <w:t xml:space="preserve"> </w:t>
                  </w:r>
                  <w:r>
                    <w:rPr>
                      <w:rFonts w:cs="Miriam"/>
                      <w:sz w:val="18"/>
                      <w:szCs w:val="18"/>
                      <w:rtl/>
                    </w:rPr>
                    <w:t>במ</w:t>
                  </w:r>
                  <w:r>
                    <w:rPr>
                      <w:rFonts w:cs="Miriam" w:hint="cs"/>
                      <w:sz w:val="18"/>
                      <w:szCs w:val="18"/>
                      <w:rtl/>
                    </w:rPr>
                    <w:t>ס</w:t>
                  </w:r>
                </w:p>
              </w:txbxContent>
            </v:textbox>
            <w10:anchorlock/>
          </v:rect>
        </w:pict>
      </w:r>
      <w:r w:rsidRPr="009E6E1D">
        <w:rPr>
          <w:rStyle w:val="big-number"/>
          <w:rFonts w:cs="Miriam"/>
          <w:rtl/>
        </w:rPr>
        <w:t>2</w:t>
      </w:r>
      <w:r w:rsidRPr="009E6E1D">
        <w:rPr>
          <w:rStyle w:val="big-number"/>
          <w:rFonts w:cs="FrankRuehl"/>
          <w:sz w:val="26"/>
          <w:szCs w:val="26"/>
          <w:rtl/>
        </w:rPr>
        <w:t>.</w:t>
      </w:r>
      <w:r w:rsidRPr="009E6E1D">
        <w:rPr>
          <w:rStyle w:val="big-number"/>
          <w:rFonts w:cs="FrankRuehl"/>
          <w:sz w:val="26"/>
          <w:szCs w:val="26"/>
          <w:rtl/>
        </w:rPr>
        <w:tab/>
      </w:r>
      <w:r w:rsidRPr="00585680">
        <w:rPr>
          <w:rStyle w:val="default"/>
          <w:rFonts w:cs="FrankRuehl"/>
          <w:rtl/>
        </w:rPr>
        <w:t>מעביד שהכנסתו פטורה ממס, המשלם כספים לקרן שלא אושרה או לקופת גמל שאישורה בוטל, חייב במס בשיעור של 25% על אותם כספים ששילם.</w:t>
      </w:r>
    </w:p>
    <w:p w:rsidR="00824F83" w:rsidRDefault="00824F83">
      <w:pPr>
        <w:pStyle w:val="P00"/>
        <w:spacing w:before="72"/>
        <w:ind w:left="0" w:right="1134"/>
        <w:rPr>
          <w:rStyle w:val="default"/>
          <w:rFonts w:cs="FrankRuehl" w:hint="cs"/>
          <w:rtl/>
        </w:rPr>
      </w:pPr>
      <w:bookmarkStart w:id="2" w:name="Seif2"/>
      <w:bookmarkEnd w:id="2"/>
      <w:r w:rsidRPr="009E6E1D">
        <w:rPr>
          <w:rFonts w:cs="Miriam"/>
          <w:lang w:val="he-IL"/>
        </w:rPr>
        <w:pict>
          <v:rect id="_x0000_s1028" style="position:absolute;left:0;text-align:left;margin-left:464.5pt;margin-top:8.05pt;width:75.05pt;height:23.8pt;z-index:251657216" o:allowincell="f" filled="f" stroked="f" strokecolor="lime" strokeweight=".25pt">
            <v:textbox inset="0,0,0,0">
              <w:txbxContent>
                <w:p w:rsidR="00824F83" w:rsidRDefault="00824F83" w:rsidP="00F017E6">
                  <w:pPr>
                    <w:spacing w:line="160" w:lineRule="exact"/>
                    <w:rPr>
                      <w:rFonts w:cs="Miriam"/>
                      <w:noProof/>
                      <w:sz w:val="18"/>
                      <w:szCs w:val="18"/>
                      <w:rtl/>
                    </w:rPr>
                  </w:pPr>
                  <w:r>
                    <w:rPr>
                      <w:rFonts w:cs="Miriam"/>
                      <w:sz w:val="18"/>
                      <w:szCs w:val="18"/>
                      <w:rtl/>
                    </w:rPr>
                    <w:t>חי</w:t>
                  </w:r>
                  <w:r>
                    <w:rPr>
                      <w:rFonts w:cs="Miriam" w:hint="cs"/>
                      <w:sz w:val="18"/>
                      <w:szCs w:val="18"/>
                      <w:rtl/>
                    </w:rPr>
                    <w:t>וב במס של</w:t>
                  </w:r>
                  <w:r w:rsidR="00F017E6">
                    <w:rPr>
                      <w:rFonts w:cs="Miriam" w:hint="cs"/>
                      <w:sz w:val="18"/>
                      <w:szCs w:val="18"/>
                      <w:rtl/>
                    </w:rPr>
                    <w:t xml:space="preserve"> </w:t>
                  </w:r>
                  <w:r>
                    <w:rPr>
                      <w:rFonts w:cs="Miriam"/>
                      <w:sz w:val="18"/>
                      <w:szCs w:val="18"/>
                      <w:rtl/>
                    </w:rPr>
                    <w:t>חב</w:t>
                  </w:r>
                  <w:r>
                    <w:rPr>
                      <w:rFonts w:cs="Miriam" w:hint="cs"/>
                      <w:sz w:val="18"/>
                      <w:szCs w:val="18"/>
                      <w:rtl/>
                    </w:rPr>
                    <w:t>ר בקופה</w:t>
                  </w:r>
                </w:p>
              </w:txbxContent>
            </v:textbox>
            <w10:anchorlock/>
          </v:rect>
        </w:pict>
      </w:r>
      <w:r w:rsidRPr="009E6E1D">
        <w:rPr>
          <w:rStyle w:val="big-number"/>
          <w:rFonts w:cs="Miriam"/>
          <w:rtl/>
        </w:rPr>
        <w:t>3</w:t>
      </w:r>
      <w:r w:rsidRPr="009E6E1D">
        <w:rPr>
          <w:rStyle w:val="big-number"/>
          <w:rFonts w:cs="FrankRuehl"/>
          <w:sz w:val="26"/>
          <w:szCs w:val="26"/>
          <w:rtl/>
        </w:rPr>
        <w:t>.</w:t>
      </w:r>
      <w:r w:rsidRPr="009E6E1D">
        <w:rPr>
          <w:rStyle w:val="big-number"/>
          <w:rFonts w:cs="FrankRuehl"/>
          <w:sz w:val="26"/>
          <w:szCs w:val="26"/>
          <w:rtl/>
        </w:rPr>
        <w:tab/>
      </w:r>
      <w:r w:rsidRPr="00585680">
        <w:rPr>
          <w:rStyle w:val="default"/>
          <w:rFonts w:cs="FrankRuehl"/>
          <w:rtl/>
        </w:rPr>
        <w:t>חבר בקופת גמל ששולמו לו כספים על יד</w:t>
      </w:r>
      <w:r w:rsidR="00F017E6">
        <w:rPr>
          <w:rStyle w:val="default"/>
          <w:rFonts w:cs="FrankRuehl"/>
          <w:rtl/>
        </w:rPr>
        <w:t>י הקופה חייב במס על אותם כספים –</w:t>
      </w:r>
    </w:p>
    <w:p w:rsidR="00824F83" w:rsidRPr="00585680" w:rsidRDefault="00824F83" w:rsidP="00F017E6">
      <w:pPr>
        <w:pStyle w:val="P22"/>
        <w:spacing w:before="72"/>
        <w:ind w:left="1021" w:right="1134"/>
        <w:rPr>
          <w:rStyle w:val="default"/>
          <w:rFonts w:cs="FrankRuehl"/>
          <w:rtl/>
        </w:rPr>
      </w:pPr>
      <w:r w:rsidRPr="00585680">
        <w:rPr>
          <w:rStyle w:val="default"/>
          <w:rFonts w:cs="FrankRuehl"/>
          <w:rtl/>
        </w:rPr>
        <w:t>(1)</w:t>
      </w:r>
      <w:r w:rsidRPr="00585680">
        <w:rPr>
          <w:rStyle w:val="default"/>
          <w:rFonts w:cs="FrankRuehl"/>
          <w:rtl/>
        </w:rPr>
        <w:tab/>
        <w:t xml:space="preserve">אם הכספים שולמו לו בניגוד לתקנות שהותקנו לענין אישורה וניהולה </w:t>
      </w:r>
      <w:r w:rsidR="00F017E6">
        <w:rPr>
          <w:rStyle w:val="default"/>
          <w:rFonts w:cs="FrankRuehl" w:hint="cs"/>
          <w:rtl/>
        </w:rPr>
        <w:t>-</w:t>
      </w:r>
      <w:r w:rsidRPr="00585680">
        <w:rPr>
          <w:rStyle w:val="default"/>
          <w:rFonts w:cs="FrankRuehl"/>
          <w:rtl/>
        </w:rPr>
        <w:t xml:space="preserve"> בשיעור של 35% גם אם הוא פטור ממס או ששיעור המס שהוא חייב בו נמוך מ-35%;</w:t>
      </w:r>
    </w:p>
    <w:p w:rsidR="00824F83" w:rsidRPr="00585680" w:rsidRDefault="00824F83" w:rsidP="00F017E6">
      <w:pPr>
        <w:pStyle w:val="P22"/>
        <w:spacing w:before="72"/>
        <w:ind w:left="1021" w:right="1134"/>
        <w:rPr>
          <w:rStyle w:val="default"/>
          <w:rFonts w:cs="FrankRuehl"/>
          <w:rtl/>
        </w:rPr>
      </w:pPr>
      <w:r w:rsidRPr="00585680">
        <w:rPr>
          <w:rStyle w:val="default"/>
          <w:rFonts w:cs="FrankRuehl"/>
          <w:rtl/>
        </w:rPr>
        <w:t>(2)</w:t>
      </w:r>
      <w:r w:rsidRPr="00585680">
        <w:rPr>
          <w:rStyle w:val="default"/>
          <w:rFonts w:cs="FrankRuehl"/>
          <w:rtl/>
        </w:rPr>
        <w:tab/>
        <w:t xml:space="preserve">אם הכספים שולמו לו עקב פירוק הקופה ולדעת הנציב לא היתה סיבה מוצדקת לפירוקה </w:t>
      </w:r>
      <w:r w:rsidR="00F017E6">
        <w:rPr>
          <w:rStyle w:val="default"/>
          <w:rFonts w:cs="FrankRuehl" w:hint="cs"/>
          <w:rtl/>
        </w:rPr>
        <w:t>-</w:t>
      </w:r>
      <w:r w:rsidRPr="00585680">
        <w:rPr>
          <w:rStyle w:val="default"/>
          <w:rFonts w:cs="FrankRuehl"/>
          <w:rtl/>
        </w:rPr>
        <w:t xml:space="preserve"> בשיעור החל עליו לפי הפקודה.</w:t>
      </w:r>
    </w:p>
    <w:p w:rsidR="00824F83" w:rsidRDefault="00824F83" w:rsidP="00F017E6">
      <w:pPr>
        <w:pStyle w:val="P00"/>
        <w:spacing w:before="72"/>
        <w:ind w:left="0" w:right="1134"/>
        <w:rPr>
          <w:rStyle w:val="default"/>
          <w:rFonts w:cs="FrankRuehl" w:hint="cs"/>
          <w:rtl/>
        </w:rPr>
      </w:pPr>
      <w:bookmarkStart w:id="3" w:name="Seif3"/>
      <w:bookmarkEnd w:id="3"/>
      <w:r w:rsidRPr="009E6E1D">
        <w:rPr>
          <w:rFonts w:cs="Miriam"/>
          <w:lang w:val="he-IL"/>
        </w:rPr>
        <w:pict>
          <v:rect id="_x0000_s1029" style="position:absolute;left:0;text-align:left;margin-left:464.5pt;margin-top:8.05pt;width:75.05pt;height:18.1pt;z-index:251658240" o:allowincell="f" filled="f" stroked="f" strokecolor="lime" strokeweight=".25pt">
            <v:textbox inset="0,0,0,0">
              <w:txbxContent>
                <w:p w:rsidR="00824F83" w:rsidRDefault="00824F83">
                  <w:pPr>
                    <w:spacing w:line="160" w:lineRule="exact"/>
                    <w:rPr>
                      <w:rFonts w:cs="Miriam"/>
                      <w:noProof/>
                      <w:sz w:val="18"/>
                      <w:szCs w:val="18"/>
                      <w:rtl/>
                    </w:rPr>
                  </w:pPr>
                  <w:r>
                    <w:rPr>
                      <w:rFonts w:cs="Miriam"/>
                      <w:sz w:val="18"/>
                      <w:szCs w:val="18"/>
                      <w:rtl/>
                    </w:rPr>
                    <w:t>ני</w:t>
                  </w:r>
                  <w:r>
                    <w:rPr>
                      <w:rFonts w:cs="Miriam" w:hint="cs"/>
                      <w:sz w:val="18"/>
                      <w:szCs w:val="18"/>
                      <w:rtl/>
                    </w:rPr>
                    <w:t>כוי מס</w:t>
                  </w:r>
                </w:p>
              </w:txbxContent>
            </v:textbox>
            <w10:anchorlock/>
          </v:rect>
        </w:pict>
      </w:r>
      <w:r w:rsidRPr="009E6E1D">
        <w:rPr>
          <w:rStyle w:val="big-number"/>
          <w:rFonts w:cs="Miriam"/>
          <w:rtl/>
        </w:rPr>
        <w:t>4</w:t>
      </w:r>
      <w:r w:rsidRPr="009E6E1D">
        <w:rPr>
          <w:rStyle w:val="big-number"/>
          <w:rFonts w:cs="FrankRuehl"/>
          <w:sz w:val="26"/>
          <w:szCs w:val="26"/>
          <w:rtl/>
        </w:rPr>
        <w:t>.</w:t>
      </w:r>
      <w:r w:rsidRPr="009E6E1D">
        <w:rPr>
          <w:rStyle w:val="big-number"/>
          <w:rFonts w:cs="FrankRuehl"/>
          <w:sz w:val="26"/>
          <w:szCs w:val="26"/>
          <w:rtl/>
        </w:rPr>
        <w:tab/>
      </w:r>
      <w:r w:rsidRPr="00585680">
        <w:rPr>
          <w:rStyle w:val="default"/>
          <w:rFonts w:cs="FrankRuehl"/>
          <w:rtl/>
        </w:rPr>
        <w:t>קופת גמל המשלמת לחבר קופה כספים שהוא חייב עליהם במס על</w:t>
      </w:r>
      <w:r w:rsidR="00F017E6">
        <w:rPr>
          <w:rStyle w:val="default"/>
          <w:rFonts w:cs="FrankRuehl" w:hint="cs"/>
          <w:rtl/>
        </w:rPr>
        <w:t>-</w:t>
      </w:r>
      <w:r w:rsidR="00F017E6">
        <w:rPr>
          <w:rStyle w:val="default"/>
          <w:rFonts w:cs="FrankRuehl"/>
          <w:rtl/>
        </w:rPr>
        <w:t>פי תקנה 3 תנכה מהם –</w:t>
      </w:r>
    </w:p>
    <w:p w:rsidR="00824F83" w:rsidRPr="00585680" w:rsidRDefault="00824F83" w:rsidP="00F017E6">
      <w:pPr>
        <w:pStyle w:val="P22"/>
        <w:spacing w:before="72"/>
        <w:ind w:left="1021" w:right="1134"/>
        <w:rPr>
          <w:rStyle w:val="default"/>
          <w:rFonts w:cs="FrankRuehl"/>
          <w:rtl/>
        </w:rPr>
      </w:pPr>
      <w:r w:rsidRPr="00585680">
        <w:rPr>
          <w:rStyle w:val="default"/>
          <w:rFonts w:cs="FrankRuehl"/>
          <w:rtl/>
        </w:rPr>
        <w:t>(1)</w:t>
      </w:r>
      <w:r w:rsidRPr="00585680">
        <w:rPr>
          <w:rStyle w:val="default"/>
          <w:rFonts w:cs="FrankRuehl"/>
          <w:rtl/>
        </w:rPr>
        <w:tab/>
        <w:t xml:space="preserve">35% </w:t>
      </w:r>
      <w:r w:rsidR="00F017E6">
        <w:rPr>
          <w:rStyle w:val="default"/>
          <w:rFonts w:cs="FrankRuehl" w:hint="cs"/>
          <w:rtl/>
        </w:rPr>
        <w:t>-</w:t>
      </w:r>
      <w:r w:rsidRPr="00585680">
        <w:rPr>
          <w:rStyle w:val="default"/>
          <w:rFonts w:cs="FrankRuehl"/>
          <w:rtl/>
        </w:rPr>
        <w:t xml:space="preserve"> אם התשלום חייב במס על פי תקנה 3(1);</w:t>
      </w:r>
    </w:p>
    <w:p w:rsidR="00824F83" w:rsidRPr="00585680" w:rsidRDefault="00824F83" w:rsidP="00F017E6">
      <w:pPr>
        <w:pStyle w:val="P22"/>
        <w:spacing w:before="72"/>
        <w:ind w:left="1021" w:right="1134"/>
        <w:rPr>
          <w:rStyle w:val="default"/>
          <w:rFonts w:cs="FrankRuehl"/>
          <w:rtl/>
        </w:rPr>
      </w:pPr>
      <w:r w:rsidRPr="00585680">
        <w:rPr>
          <w:rStyle w:val="default"/>
          <w:rFonts w:cs="FrankRuehl"/>
          <w:rtl/>
        </w:rPr>
        <w:t>(2)</w:t>
      </w:r>
      <w:r w:rsidRPr="00585680">
        <w:rPr>
          <w:rStyle w:val="default"/>
          <w:rFonts w:cs="FrankRuehl"/>
          <w:rtl/>
        </w:rPr>
        <w:tab/>
        <w:t xml:space="preserve">25% </w:t>
      </w:r>
      <w:r w:rsidR="00F017E6">
        <w:rPr>
          <w:rStyle w:val="default"/>
          <w:rFonts w:cs="FrankRuehl" w:hint="cs"/>
          <w:rtl/>
        </w:rPr>
        <w:t>-</w:t>
      </w:r>
      <w:r w:rsidRPr="00585680">
        <w:rPr>
          <w:rStyle w:val="default"/>
          <w:rFonts w:cs="FrankRuehl"/>
          <w:rtl/>
        </w:rPr>
        <w:t xml:space="preserve"> אם התשלום חייב במס על פי תקנה 3(2).</w:t>
      </w:r>
    </w:p>
    <w:p w:rsidR="00824F83" w:rsidRPr="00585680" w:rsidRDefault="00824F83">
      <w:pPr>
        <w:pStyle w:val="P00"/>
        <w:spacing w:before="72"/>
        <w:ind w:left="0" w:right="1134"/>
        <w:rPr>
          <w:rStyle w:val="default"/>
          <w:rFonts w:cs="FrankRuehl"/>
          <w:rtl/>
        </w:rPr>
      </w:pPr>
      <w:bookmarkStart w:id="4" w:name="Seif4"/>
      <w:bookmarkEnd w:id="4"/>
      <w:r w:rsidRPr="009E6E1D">
        <w:rPr>
          <w:rFonts w:cs="Miriam"/>
          <w:lang w:val="he-IL"/>
        </w:rPr>
        <w:pict>
          <v:rect id="_x0000_s1030" style="position:absolute;left:0;text-align:left;margin-left:464.5pt;margin-top:8.05pt;width:75.05pt;height:16pt;z-index:251659264" o:allowincell="f" filled="f" stroked="f" strokecolor="lime" strokeweight=".25pt">
            <v:textbox inset="0,0,0,0">
              <w:txbxContent>
                <w:p w:rsidR="00824F83" w:rsidRDefault="00824F83" w:rsidP="00F017E6">
                  <w:pPr>
                    <w:spacing w:line="160" w:lineRule="exact"/>
                    <w:rPr>
                      <w:rFonts w:cs="Miriam"/>
                      <w:noProof/>
                      <w:sz w:val="18"/>
                      <w:szCs w:val="18"/>
                      <w:rtl/>
                    </w:rPr>
                  </w:pPr>
                  <w:r>
                    <w:rPr>
                      <w:rFonts w:cs="Miriam"/>
                      <w:sz w:val="18"/>
                      <w:szCs w:val="18"/>
                      <w:rtl/>
                    </w:rPr>
                    <w:t>תש</w:t>
                  </w:r>
                  <w:r>
                    <w:rPr>
                      <w:rFonts w:cs="Miriam" w:hint="cs"/>
                      <w:sz w:val="18"/>
                      <w:szCs w:val="18"/>
                      <w:rtl/>
                    </w:rPr>
                    <w:t>לום לאוצר</w:t>
                  </w:r>
                  <w:r w:rsidR="00F017E6">
                    <w:rPr>
                      <w:rFonts w:cs="Miriam" w:hint="cs"/>
                      <w:sz w:val="18"/>
                      <w:szCs w:val="18"/>
                      <w:rtl/>
                    </w:rPr>
                    <w:t xml:space="preserve"> </w:t>
                  </w:r>
                  <w:r>
                    <w:rPr>
                      <w:rFonts w:cs="Miriam"/>
                      <w:sz w:val="18"/>
                      <w:szCs w:val="18"/>
                      <w:rtl/>
                    </w:rPr>
                    <w:t>וד</w:t>
                  </w:r>
                  <w:r>
                    <w:rPr>
                      <w:rFonts w:cs="Miriam" w:hint="cs"/>
                      <w:sz w:val="18"/>
                      <w:szCs w:val="18"/>
                      <w:rtl/>
                    </w:rPr>
                    <w:t>ו"ח</w:t>
                  </w:r>
                </w:p>
              </w:txbxContent>
            </v:textbox>
            <w10:anchorlock/>
          </v:rect>
        </w:pict>
      </w:r>
      <w:r w:rsidRPr="009E6E1D">
        <w:rPr>
          <w:rStyle w:val="big-number"/>
          <w:rFonts w:cs="Miriam"/>
          <w:rtl/>
        </w:rPr>
        <w:t>5</w:t>
      </w:r>
      <w:r w:rsidRPr="009E6E1D">
        <w:rPr>
          <w:rStyle w:val="big-number"/>
          <w:rFonts w:cs="FrankRuehl"/>
          <w:sz w:val="26"/>
          <w:szCs w:val="26"/>
          <w:rtl/>
        </w:rPr>
        <w:t>.</w:t>
      </w:r>
      <w:r w:rsidRPr="009E6E1D">
        <w:rPr>
          <w:rStyle w:val="big-number"/>
          <w:rFonts w:cs="FrankRuehl"/>
          <w:sz w:val="26"/>
          <w:szCs w:val="26"/>
          <w:rtl/>
        </w:rPr>
        <w:tab/>
      </w:r>
      <w:r w:rsidRPr="00585680">
        <w:rPr>
          <w:rStyle w:val="default"/>
          <w:rFonts w:cs="FrankRuehl"/>
          <w:rtl/>
        </w:rPr>
        <w:t>(א)</w:t>
      </w:r>
      <w:r w:rsidRPr="00585680">
        <w:rPr>
          <w:rStyle w:val="default"/>
          <w:rFonts w:cs="FrankRuehl"/>
          <w:rtl/>
        </w:rPr>
        <w:tab/>
        <w:t>מעביד ששילם כספים כאמור בתקנה 2, ישלם לפקיד השומה את המס המגיע ממנו תוך 30 יום מיום התשלום, או מהיום בו קיבל הודעה על ביטול האישור לקופת הגמל, הכל לפי התאריך המאוחר, ויגיש לו באותו מועד, בטופס שיקבע הנציב, דו"ח על הכספים ששילם כאמור.</w:t>
      </w:r>
    </w:p>
    <w:p w:rsidR="00824F83" w:rsidRPr="00585680" w:rsidRDefault="00824F83">
      <w:pPr>
        <w:pStyle w:val="P00"/>
        <w:spacing w:before="72"/>
        <w:ind w:left="0" w:right="1134"/>
        <w:rPr>
          <w:rStyle w:val="default"/>
          <w:rFonts w:cs="FrankRuehl"/>
          <w:rtl/>
        </w:rPr>
      </w:pPr>
      <w:r w:rsidRPr="00585680">
        <w:rPr>
          <w:rFonts w:cs="FrankRuehl"/>
          <w:sz w:val="26"/>
          <w:rtl/>
        </w:rPr>
        <w:tab/>
      </w:r>
      <w:r w:rsidRPr="00585680">
        <w:rPr>
          <w:rStyle w:val="default"/>
          <w:rFonts w:cs="FrankRuehl"/>
          <w:rtl/>
        </w:rPr>
        <w:t>(ב)</w:t>
      </w:r>
      <w:r w:rsidRPr="00585680">
        <w:rPr>
          <w:rStyle w:val="default"/>
          <w:rFonts w:cs="FrankRuehl"/>
          <w:rtl/>
        </w:rPr>
        <w:tab/>
        <w:t>קופת גמל תשלם לפקיד השומה את סך כל המס שנוכה לפי תקנה 4, תוך שבוע ימים מיום תשלום הכספים לחבר הקופה ותגיש לו באותו מועד, בטופס שיקבע הנציב, דו"ח על הכספים ששילמה ועל סכום המס שניכתה כאמור.</w:t>
      </w:r>
    </w:p>
    <w:p w:rsidR="00824F83" w:rsidRPr="00585680" w:rsidRDefault="00824F83" w:rsidP="00F017E6">
      <w:pPr>
        <w:pStyle w:val="P00"/>
        <w:spacing w:before="72"/>
        <w:ind w:left="0" w:right="1134"/>
        <w:rPr>
          <w:rStyle w:val="default"/>
          <w:rFonts w:cs="FrankRuehl"/>
          <w:rtl/>
        </w:rPr>
      </w:pPr>
      <w:bookmarkStart w:id="5" w:name="Seif5"/>
      <w:bookmarkEnd w:id="5"/>
      <w:r w:rsidRPr="009E6E1D">
        <w:rPr>
          <w:rFonts w:cs="Miriam"/>
          <w:lang w:val="he-IL"/>
        </w:rPr>
        <w:pict>
          <v:rect id="_x0000_s1031" style="position:absolute;left:0;text-align:left;margin-left:464.5pt;margin-top:8.05pt;width:75.05pt;height:11.25pt;z-index:251660288" o:allowincell="f" filled="f" stroked="f" strokecolor="lime" strokeweight=".25pt">
            <v:textbox inset="0,0,0,0">
              <w:txbxContent>
                <w:p w:rsidR="00824F83" w:rsidRDefault="00824F83">
                  <w:pPr>
                    <w:spacing w:line="160" w:lineRule="exac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sidRPr="009E6E1D">
        <w:rPr>
          <w:rStyle w:val="big-number"/>
          <w:rFonts w:cs="Miriam"/>
          <w:rtl/>
        </w:rPr>
        <w:t>6</w:t>
      </w:r>
      <w:r w:rsidRPr="009E6E1D">
        <w:rPr>
          <w:rStyle w:val="big-number"/>
          <w:rFonts w:cs="FrankRuehl"/>
          <w:sz w:val="26"/>
          <w:szCs w:val="26"/>
          <w:rtl/>
        </w:rPr>
        <w:t>.</w:t>
      </w:r>
      <w:r w:rsidRPr="009E6E1D">
        <w:rPr>
          <w:rStyle w:val="big-number"/>
          <w:rFonts w:cs="FrankRuehl"/>
          <w:sz w:val="26"/>
          <w:szCs w:val="26"/>
          <w:rtl/>
        </w:rPr>
        <w:tab/>
      </w:r>
      <w:r w:rsidRPr="00585680">
        <w:rPr>
          <w:rStyle w:val="default"/>
          <w:rFonts w:cs="FrankRuehl"/>
          <w:rtl/>
        </w:rPr>
        <w:t>לתקנות אלה ייקרא "תקנות מס הכנסה (כללים בדבר חיוב במס על תשלומים לקרן שלא אושרה ותשלומים שלא כדין), תשכ"ב</w:t>
      </w:r>
      <w:r w:rsidR="00F017E6">
        <w:rPr>
          <w:rStyle w:val="default"/>
          <w:rFonts w:cs="FrankRuehl" w:hint="cs"/>
          <w:rtl/>
        </w:rPr>
        <w:t>-</w:t>
      </w:r>
      <w:r w:rsidRPr="00585680">
        <w:rPr>
          <w:rStyle w:val="default"/>
          <w:rFonts w:cs="FrankRuehl"/>
          <w:rtl/>
        </w:rPr>
        <w:t>1962".</w:t>
      </w:r>
    </w:p>
    <w:p w:rsidR="00824F83" w:rsidRDefault="00824F83">
      <w:pPr>
        <w:pStyle w:val="P00"/>
        <w:spacing w:before="72"/>
        <w:ind w:left="0" w:right="1134"/>
        <w:rPr>
          <w:rStyle w:val="default"/>
          <w:rFonts w:cs="FrankRuehl" w:hint="cs"/>
          <w:rtl/>
        </w:rPr>
      </w:pPr>
    </w:p>
    <w:p w:rsidR="00824F83" w:rsidRPr="00585680" w:rsidRDefault="00824F83">
      <w:pPr>
        <w:pStyle w:val="sig-0"/>
        <w:ind w:left="0" w:right="1134"/>
        <w:rPr>
          <w:rFonts w:cs="FrankRuehl"/>
          <w:sz w:val="26"/>
          <w:rtl/>
        </w:rPr>
      </w:pPr>
      <w:r w:rsidRPr="00585680">
        <w:rPr>
          <w:rFonts w:cs="FrankRuehl"/>
          <w:sz w:val="26"/>
          <w:rtl/>
        </w:rPr>
        <w:t>כ"</w:t>
      </w:r>
      <w:r w:rsidRPr="00585680">
        <w:rPr>
          <w:rFonts w:cs="FrankRuehl" w:hint="cs"/>
          <w:sz w:val="26"/>
          <w:rtl/>
        </w:rPr>
        <w:t>ג באייר תשכ"ב (27 במאי 1962)</w:t>
      </w:r>
      <w:r w:rsidRPr="00585680">
        <w:rPr>
          <w:rFonts w:cs="FrankRuehl"/>
          <w:sz w:val="26"/>
          <w:rtl/>
        </w:rPr>
        <w:tab/>
        <w:t>ל</w:t>
      </w:r>
      <w:r w:rsidRPr="00585680">
        <w:rPr>
          <w:rFonts w:cs="FrankRuehl" w:hint="cs"/>
          <w:sz w:val="26"/>
          <w:rtl/>
        </w:rPr>
        <w:t>וי אשכול</w:t>
      </w:r>
    </w:p>
    <w:p w:rsidR="00824F83" w:rsidRPr="00585680" w:rsidRDefault="00824F83">
      <w:pPr>
        <w:pStyle w:val="sig-1"/>
        <w:widowControl/>
        <w:ind w:left="0" w:right="1134"/>
        <w:rPr>
          <w:rFonts w:cs="FrankRuehl"/>
          <w:sz w:val="22"/>
          <w:rtl/>
        </w:rPr>
      </w:pPr>
      <w:r w:rsidRPr="00585680">
        <w:rPr>
          <w:rFonts w:cs="FrankRuehl"/>
          <w:sz w:val="22"/>
          <w:rtl/>
        </w:rPr>
        <w:tab/>
      </w:r>
      <w:r w:rsidRPr="00585680">
        <w:rPr>
          <w:rFonts w:cs="FrankRuehl"/>
          <w:sz w:val="22"/>
          <w:rtl/>
        </w:rPr>
        <w:tab/>
      </w:r>
      <w:r w:rsidRPr="00585680">
        <w:rPr>
          <w:rFonts w:cs="FrankRuehl"/>
          <w:sz w:val="22"/>
          <w:rtl/>
        </w:rPr>
        <w:tab/>
        <w:t>ש</w:t>
      </w:r>
      <w:r w:rsidRPr="00585680">
        <w:rPr>
          <w:rFonts w:cs="FrankRuehl" w:hint="cs"/>
          <w:sz w:val="22"/>
          <w:rtl/>
        </w:rPr>
        <w:t>ר האוצר</w:t>
      </w:r>
    </w:p>
    <w:p w:rsidR="00824F83" w:rsidRPr="00F017E6" w:rsidRDefault="00824F83" w:rsidP="00F017E6">
      <w:pPr>
        <w:pStyle w:val="P00"/>
        <w:spacing w:before="72"/>
        <w:ind w:left="0" w:right="1134"/>
        <w:rPr>
          <w:rStyle w:val="default"/>
          <w:rFonts w:cs="FrankRuehl"/>
          <w:rtl/>
        </w:rPr>
      </w:pPr>
    </w:p>
    <w:p w:rsidR="00824F83" w:rsidRPr="00F017E6" w:rsidRDefault="00824F83" w:rsidP="00F017E6">
      <w:pPr>
        <w:pStyle w:val="P00"/>
        <w:spacing w:before="72"/>
        <w:ind w:left="0" w:right="1134"/>
        <w:rPr>
          <w:rStyle w:val="default"/>
          <w:rFonts w:cs="FrankRuehl"/>
          <w:rtl/>
        </w:rPr>
      </w:pPr>
      <w:bookmarkStart w:id="6" w:name="LawPartEnd"/>
    </w:p>
    <w:bookmarkEnd w:id="6"/>
    <w:p w:rsidR="00824F83" w:rsidRPr="00F017E6" w:rsidRDefault="00824F83" w:rsidP="00F017E6">
      <w:pPr>
        <w:pStyle w:val="P00"/>
        <w:spacing w:before="72"/>
        <w:ind w:left="0" w:right="1134"/>
        <w:rPr>
          <w:rStyle w:val="default"/>
          <w:rFonts w:cs="FrankRuehl"/>
          <w:rtl/>
        </w:rPr>
      </w:pPr>
    </w:p>
    <w:sectPr w:rsidR="00824F83" w:rsidRPr="00F017E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408D" w:rsidRDefault="0004408D">
      <w:r>
        <w:separator/>
      </w:r>
    </w:p>
  </w:endnote>
  <w:endnote w:type="continuationSeparator" w:id="0">
    <w:p w:rsidR="0004408D" w:rsidRDefault="00044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F83" w:rsidRDefault="00824F8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rsidR="00824F83" w:rsidRDefault="00824F8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24F83" w:rsidRDefault="00824F8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17E6">
      <w:rPr>
        <w:rFonts w:cs="TopType Jerushalmi"/>
        <w:noProof/>
        <w:color w:val="000000"/>
        <w:sz w:val="14"/>
        <w:szCs w:val="14"/>
      </w:rPr>
      <w:t>C:\Yael\hakika\Revadim\255_207.doc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F83" w:rsidRDefault="00824F83">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9908E6">
      <w:rPr>
        <w:rFonts w:hAnsi="FrankRuehl" w:cs="FrankRuehl"/>
        <w:noProof/>
        <w:rtl/>
      </w:rPr>
      <w:t>2</w:t>
    </w:r>
    <w:r>
      <w:rPr>
        <w:rFonts w:hAnsi="FrankRuehl" w:cs="FrankRuehl"/>
        <w:rtl/>
      </w:rPr>
      <w:fldChar w:fldCharType="end"/>
    </w:r>
  </w:p>
  <w:p w:rsidR="00824F83" w:rsidRDefault="00824F83">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24F83" w:rsidRDefault="00824F83">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017E6">
      <w:rPr>
        <w:rFonts w:cs="TopType Jerushalmi"/>
        <w:noProof/>
        <w:color w:val="000000"/>
        <w:sz w:val="14"/>
        <w:szCs w:val="14"/>
      </w:rPr>
      <w:t>C:\Yael\hakika\Revadim\255_207.doc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408D" w:rsidRDefault="0004408D" w:rsidP="00F017E6">
      <w:pPr>
        <w:spacing w:before="60"/>
        <w:ind w:right="1134"/>
      </w:pPr>
      <w:r>
        <w:separator/>
      </w:r>
    </w:p>
  </w:footnote>
  <w:footnote w:type="continuationSeparator" w:id="0">
    <w:p w:rsidR="0004408D" w:rsidRDefault="0004408D">
      <w:r>
        <w:continuationSeparator/>
      </w:r>
    </w:p>
  </w:footnote>
  <w:footnote w:id="1">
    <w:p w:rsidR="00F017E6" w:rsidRPr="00F017E6" w:rsidRDefault="00F017E6" w:rsidP="00F017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F017E6">
        <w:rPr>
          <w:rFonts w:cs="FrankRuehl"/>
          <w:rtl/>
        </w:rPr>
        <w:t xml:space="preserve">* </w:t>
      </w:r>
      <w:r w:rsidRPr="00585680">
        <w:rPr>
          <w:rFonts w:cs="FrankRuehl"/>
          <w:rtl/>
        </w:rPr>
        <w:t>פו</w:t>
      </w:r>
      <w:r w:rsidRPr="00585680">
        <w:rPr>
          <w:rFonts w:cs="FrankRuehl" w:hint="cs"/>
          <w:rtl/>
        </w:rPr>
        <w:t xml:space="preserve">רסמו </w:t>
      </w:r>
      <w:hyperlink r:id="rId1" w:history="1">
        <w:r w:rsidRPr="00585680">
          <w:rPr>
            <w:rStyle w:val="Hyperlink"/>
            <w:rFonts w:cs="FrankRuehl" w:hint="cs"/>
            <w:rtl/>
          </w:rPr>
          <w:t>ק"ת תשכ"ב מס' 1317</w:t>
        </w:r>
      </w:hyperlink>
      <w:r w:rsidRPr="00585680">
        <w:rPr>
          <w:rFonts w:cs="FrankRuehl" w:hint="cs"/>
          <w:rtl/>
        </w:rPr>
        <w:t xml:space="preserve"> מיום </w:t>
      </w:r>
      <w:r>
        <w:rPr>
          <w:rFonts w:cs="FrankRuehl" w:hint="cs"/>
          <w:rtl/>
        </w:rPr>
        <w:t>31.5.1962</w:t>
      </w:r>
      <w:r w:rsidRPr="00585680">
        <w:rPr>
          <w:rFonts w:cs="FrankRuehl" w:hint="cs"/>
          <w:rtl/>
        </w:rPr>
        <w:t xml:space="preserve"> עמ' 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F83" w:rsidRDefault="00824F8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בדבר חיוב במס על תשלומים לקרן שלא אושרה ותשלומים שלא כדין), תשכ"ב–1962</w:t>
    </w:r>
  </w:p>
  <w:p w:rsidR="00824F83" w:rsidRDefault="00824F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4F83" w:rsidRDefault="00824F8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4F83" w:rsidRDefault="00824F83" w:rsidP="00F017E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(כללים בדבר חיוב במס על תשלומים לקרן שלא אושרה ותשלומים שלא כדין), תשכ"ב</w:t>
    </w:r>
    <w:r w:rsidR="00F017E6">
      <w:rPr>
        <w:rFonts w:hAnsi="FrankRuehl" w:cs="FrankRuehl" w:hint="cs"/>
        <w:color w:val="000000"/>
        <w:sz w:val="28"/>
        <w:szCs w:val="28"/>
        <w:rtl/>
      </w:rPr>
      <w:t>-</w:t>
    </w:r>
    <w:r>
      <w:rPr>
        <w:rFonts w:hAnsi="FrankRuehl" w:cs="FrankRuehl"/>
        <w:color w:val="000000"/>
        <w:sz w:val="28"/>
        <w:szCs w:val="28"/>
        <w:rtl/>
      </w:rPr>
      <w:t>1962</w:t>
    </w:r>
  </w:p>
  <w:p w:rsidR="00824F83" w:rsidRDefault="00824F8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24F83" w:rsidRDefault="00824F8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5680"/>
    <w:rsid w:val="0004408D"/>
    <w:rsid w:val="0010335B"/>
    <w:rsid w:val="00585680"/>
    <w:rsid w:val="00686D26"/>
    <w:rsid w:val="00824F83"/>
    <w:rsid w:val="009908E6"/>
    <w:rsid w:val="009E6E1D"/>
    <w:rsid w:val="00B970C8"/>
    <w:rsid w:val="00BF7D49"/>
    <w:rsid w:val="00CF310B"/>
    <w:rsid w:val="00F017E6"/>
    <w:rsid w:val="00FC0C9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4A3E23F-7958-435E-9AC5-742DDF1E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F017E6"/>
    <w:rPr>
      <w:sz w:val="20"/>
      <w:szCs w:val="20"/>
    </w:rPr>
  </w:style>
  <w:style w:type="character" w:styleId="a6">
    <w:name w:val="footnote reference"/>
    <w:basedOn w:val="a0"/>
    <w:semiHidden/>
    <w:rsid w:val="00F017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31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2482</CharactersWithSpaces>
  <SharedDoc>false</SharedDoc>
  <HLinks>
    <vt:vector size="42" baseType="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7929868</vt:i4>
      </vt:variant>
      <vt:variant>
        <vt:i4>0</vt:i4>
      </vt:variant>
      <vt:variant>
        <vt:i4>0</vt:i4>
      </vt:variant>
      <vt:variant>
        <vt:i4>5</vt:i4>
      </vt:variant>
      <vt:variant>
        <vt:lpwstr>http://www.nevo.co.il/Law_word/law06/tak-1317.pdf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2023-06-05T20:34:00Z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(כללים בדבר חיוב במס על תשלומים לקרן שלא אושרה ותשלומים שלא כדין), תשכ"ב-1962</vt:lpwstr>
  </property>
  <property fmtid="{D5CDD505-2E9C-101B-9397-08002B2CF9AE}" pid="5" name="LAWNUMBER">
    <vt:lpwstr>0207</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87X;164X;243X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קביעות וכללים</vt:lpwstr>
  </property>
  <property fmtid="{D5CDD505-2E9C-101B-9397-08002B2CF9AE}" pid="12" name="NOSE41">
    <vt:lpwstr/>
  </property>
  <property fmtid="{D5CDD505-2E9C-101B-9397-08002B2CF9AE}" pid="13" name="NOSE12">
    <vt:lpwstr>מסים</vt:lpwstr>
  </property>
  <property fmtid="{D5CDD505-2E9C-101B-9397-08002B2CF9AE}" pid="14" name="NOSE22">
    <vt:lpwstr>מס הכנסה</vt:lpwstr>
  </property>
  <property fmtid="{D5CDD505-2E9C-101B-9397-08002B2CF9AE}" pid="15" name="NOSE32">
    <vt:lpwstr>קופות גמל</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