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D063" w14:textId="77777777" w:rsidR="001020ED" w:rsidRDefault="001020ED" w:rsidP="00A67093">
      <w:pPr>
        <w:pStyle w:val="big-header"/>
        <w:ind w:left="0" w:right="1134"/>
        <w:rPr>
          <w:rFonts w:cs="FrankRuehl" w:hint="cs"/>
          <w:sz w:val="32"/>
          <w:rtl/>
        </w:rPr>
      </w:pPr>
      <w:r>
        <w:rPr>
          <w:rFonts w:cs="FrankRuehl"/>
          <w:sz w:val="32"/>
          <w:rtl/>
        </w:rPr>
        <w:t>תקנות מס הכנסה (כללים בדבר ניהול פנקסי חשבונות של יהלומן וקביעת הכנסתו החייבת), תשמ"א</w:t>
      </w:r>
      <w:r w:rsidR="00A67093">
        <w:rPr>
          <w:rFonts w:cs="FrankRuehl" w:hint="cs"/>
          <w:sz w:val="32"/>
          <w:rtl/>
        </w:rPr>
        <w:t>-</w:t>
      </w:r>
      <w:r>
        <w:rPr>
          <w:rFonts w:cs="FrankRuehl"/>
          <w:sz w:val="32"/>
          <w:rtl/>
        </w:rPr>
        <w:t>1980</w:t>
      </w:r>
    </w:p>
    <w:p w14:paraId="76AC7334" w14:textId="77777777" w:rsidR="00EE2C16" w:rsidRDefault="00EE2C16" w:rsidP="00EE2C16">
      <w:pPr>
        <w:spacing w:line="320" w:lineRule="auto"/>
        <w:rPr>
          <w:rFonts w:hint="cs"/>
          <w:rtl/>
        </w:rPr>
      </w:pPr>
    </w:p>
    <w:p w14:paraId="50CC7ADD" w14:textId="77777777" w:rsidR="007F1DC1" w:rsidRDefault="007F1DC1" w:rsidP="00EE2C16">
      <w:pPr>
        <w:spacing w:line="320" w:lineRule="auto"/>
        <w:rPr>
          <w:rFonts w:hint="cs"/>
          <w:rtl/>
        </w:rPr>
      </w:pPr>
    </w:p>
    <w:p w14:paraId="4F925C8E" w14:textId="77777777" w:rsidR="00EE2C16" w:rsidRDefault="00EE2C16" w:rsidP="00EE2C16">
      <w:pPr>
        <w:spacing w:line="320" w:lineRule="auto"/>
        <w:rPr>
          <w:rFonts w:cs="FrankRuehl"/>
          <w:szCs w:val="26"/>
          <w:rtl/>
        </w:rPr>
      </w:pPr>
      <w:r w:rsidRPr="00EE2C16">
        <w:rPr>
          <w:rFonts w:cs="Miriam"/>
          <w:szCs w:val="22"/>
          <w:rtl/>
        </w:rPr>
        <w:t>מסים</w:t>
      </w:r>
      <w:r w:rsidRPr="00EE2C16">
        <w:rPr>
          <w:rFonts w:cs="FrankRuehl"/>
          <w:szCs w:val="26"/>
          <w:rtl/>
        </w:rPr>
        <w:t xml:space="preserve"> – מס הכנסה – קביעות וכללים – קביעה כהכנסה</w:t>
      </w:r>
    </w:p>
    <w:p w14:paraId="3CF59F7C" w14:textId="77777777" w:rsidR="00EE2C16" w:rsidRDefault="00EE2C16" w:rsidP="00EE2C16">
      <w:pPr>
        <w:spacing w:line="320" w:lineRule="auto"/>
        <w:rPr>
          <w:rFonts w:cs="FrankRuehl"/>
          <w:szCs w:val="26"/>
          <w:rtl/>
        </w:rPr>
      </w:pPr>
      <w:r w:rsidRPr="00EE2C16">
        <w:rPr>
          <w:rFonts w:cs="Miriam"/>
          <w:szCs w:val="22"/>
          <w:rtl/>
        </w:rPr>
        <w:t>מסים</w:t>
      </w:r>
      <w:r w:rsidRPr="00EE2C16">
        <w:rPr>
          <w:rFonts w:cs="FrankRuehl"/>
          <w:szCs w:val="26"/>
          <w:rtl/>
        </w:rPr>
        <w:t xml:space="preserve"> – מס הכנסה – ניהול – פנקסי חשבונות</w:t>
      </w:r>
    </w:p>
    <w:p w14:paraId="35F4211A" w14:textId="77777777" w:rsidR="0036044B" w:rsidRPr="00EE2C16" w:rsidRDefault="00EE2C16" w:rsidP="00EE2C16">
      <w:pPr>
        <w:spacing w:line="320" w:lineRule="auto"/>
        <w:rPr>
          <w:rFonts w:cs="Miriam"/>
          <w:szCs w:val="22"/>
          <w:rtl/>
        </w:rPr>
      </w:pPr>
      <w:r w:rsidRPr="00EE2C16">
        <w:rPr>
          <w:rFonts w:cs="Miriam"/>
          <w:szCs w:val="22"/>
          <w:rtl/>
        </w:rPr>
        <w:t>מסים</w:t>
      </w:r>
      <w:r w:rsidRPr="00EE2C16">
        <w:rPr>
          <w:rFonts w:cs="FrankRuehl"/>
          <w:szCs w:val="26"/>
          <w:rtl/>
        </w:rPr>
        <w:t xml:space="preserve"> – מס הכנסה – יהלומנים</w:t>
      </w:r>
    </w:p>
    <w:p w14:paraId="71A6C01A" w14:textId="77777777" w:rsidR="001020ED" w:rsidRDefault="001020E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3577" w:rsidRPr="00803577" w14:paraId="79478504" w14:textId="77777777" w:rsidTr="00803577">
        <w:tblPrEx>
          <w:tblCellMar>
            <w:top w:w="0" w:type="dxa"/>
            <w:bottom w:w="0" w:type="dxa"/>
          </w:tblCellMar>
        </w:tblPrEx>
        <w:tc>
          <w:tcPr>
            <w:tcW w:w="1247" w:type="dxa"/>
          </w:tcPr>
          <w:p w14:paraId="2524A799" w14:textId="77777777" w:rsidR="00803577" w:rsidRPr="00803577" w:rsidRDefault="00803577" w:rsidP="00803577">
            <w:pPr>
              <w:rPr>
                <w:rFonts w:cs="Frankruhel"/>
                <w:rtl/>
              </w:rPr>
            </w:pPr>
            <w:r>
              <w:rPr>
                <w:rtl/>
              </w:rPr>
              <w:t xml:space="preserve">סעיף 1 </w:t>
            </w:r>
          </w:p>
        </w:tc>
        <w:tc>
          <w:tcPr>
            <w:tcW w:w="5669" w:type="dxa"/>
          </w:tcPr>
          <w:p w14:paraId="0A3E5FB1" w14:textId="77777777" w:rsidR="00803577" w:rsidRPr="00803577" w:rsidRDefault="00803577" w:rsidP="00803577">
            <w:pPr>
              <w:rPr>
                <w:rFonts w:cs="Frankruhel"/>
                <w:rtl/>
              </w:rPr>
            </w:pPr>
            <w:r>
              <w:rPr>
                <w:rtl/>
              </w:rPr>
              <w:t>הגדרות</w:t>
            </w:r>
          </w:p>
        </w:tc>
        <w:tc>
          <w:tcPr>
            <w:tcW w:w="567" w:type="dxa"/>
          </w:tcPr>
          <w:p w14:paraId="15E9CB3E" w14:textId="77777777" w:rsidR="00803577" w:rsidRPr="00803577" w:rsidRDefault="00803577" w:rsidP="00803577">
            <w:pPr>
              <w:rPr>
                <w:rStyle w:val="Hyperlink"/>
                <w:rtl/>
              </w:rPr>
            </w:pPr>
            <w:hyperlink w:anchor="Seif1" w:tooltip="הגדרות" w:history="1">
              <w:r w:rsidRPr="00803577">
                <w:rPr>
                  <w:rStyle w:val="Hyperlink"/>
                </w:rPr>
                <w:t>Go</w:t>
              </w:r>
            </w:hyperlink>
          </w:p>
        </w:tc>
        <w:tc>
          <w:tcPr>
            <w:tcW w:w="850" w:type="dxa"/>
          </w:tcPr>
          <w:p w14:paraId="4526B701"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03577" w:rsidRPr="00803577" w14:paraId="23FBC118" w14:textId="77777777" w:rsidTr="00803577">
        <w:tblPrEx>
          <w:tblCellMar>
            <w:top w:w="0" w:type="dxa"/>
            <w:bottom w:w="0" w:type="dxa"/>
          </w:tblCellMar>
        </w:tblPrEx>
        <w:tc>
          <w:tcPr>
            <w:tcW w:w="1247" w:type="dxa"/>
          </w:tcPr>
          <w:p w14:paraId="47C6DA9F" w14:textId="77777777" w:rsidR="00803577" w:rsidRPr="00803577" w:rsidRDefault="00803577" w:rsidP="00803577">
            <w:pPr>
              <w:rPr>
                <w:rFonts w:cs="Frankruhel"/>
                <w:rtl/>
              </w:rPr>
            </w:pPr>
            <w:r>
              <w:rPr>
                <w:rtl/>
              </w:rPr>
              <w:t xml:space="preserve">סעיף 2 </w:t>
            </w:r>
          </w:p>
        </w:tc>
        <w:tc>
          <w:tcPr>
            <w:tcW w:w="5669" w:type="dxa"/>
          </w:tcPr>
          <w:p w14:paraId="32BDDC74" w14:textId="77777777" w:rsidR="00803577" w:rsidRPr="00803577" w:rsidRDefault="00803577" w:rsidP="00803577">
            <w:pPr>
              <w:rPr>
                <w:rFonts w:cs="Frankruhel"/>
                <w:rtl/>
              </w:rPr>
            </w:pPr>
            <w:r>
              <w:rPr>
                <w:rtl/>
              </w:rPr>
              <w:t>רישום נכסים והתחייבויות עם תחילת ניהול הפנקסים על פי התקנות</w:t>
            </w:r>
          </w:p>
        </w:tc>
        <w:tc>
          <w:tcPr>
            <w:tcW w:w="567" w:type="dxa"/>
          </w:tcPr>
          <w:p w14:paraId="38BF2E0D" w14:textId="77777777" w:rsidR="00803577" w:rsidRPr="00803577" w:rsidRDefault="00803577" w:rsidP="00803577">
            <w:pPr>
              <w:rPr>
                <w:rStyle w:val="Hyperlink"/>
                <w:rtl/>
              </w:rPr>
            </w:pPr>
            <w:hyperlink w:anchor="Seif2" w:tooltip="רישום נכסים והתחייבויות עם תחילת ניהול הפנקסים על פי התקנות" w:history="1">
              <w:r w:rsidRPr="00803577">
                <w:rPr>
                  <w:rStyle w:val="Hyperlink"/>
                </w:rPr>
                <w:t>Go</w:t>
              </w:r>
            </w:hyperlink>
          </w:p>
        </w:tc>
        <w:tc>
          <w:tcPr>
            <w:tcW w:w="850" w:type="dxa"/>
          </w:tcPr>
          <w:p w14:paraId="19566F62"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03577" w:rsidRPr="00803577" w14:paraId="6F6D80A3" w14:textId="77777777" w:rsidTr="00803577">
        <w:tblPrEx>
          <w:tblCellMar>
            <w:top w:w="0" w:type="dxa"/>
            <w:bottom w:w="0" w:type="dxa"/>
          </w:tblCellMar>
        </w:tblPrEx>
        <w:tc>
          <w:tcPr>
            <w:tcW w:w="1247" w:type="dxa"/>
          </w:tcPr>
          <w:p w14:paraId="0C2B7BEE" w14:textId="77777777" w:rsidR="00803577" w:rsidRPr="00803577" w:rsidRDefault="00803577" w:rsidP="00803577">
            <w:pPr>
              <w:rPr>
                <w:rFonts w:cs="Frankruhel"/>
                <w:rtl/>
              </w:rPr>
            </w:pPr>
            <w:r>
              <w:rPr>
                <w:rtl/>
              </w:rPr>
              <w:t xml:space="preserve">סעיף 3 </w:t>
            </w:r>
          </w:p>
        </w:tc>
        <w:tc>
          <w:tcPr>
            <w:tcW w:w="5669" w:type="dxa"/>
          </w:tcPr>
          <w:p w14:paraId="7B3E1480" w14:textId="77777777" w:rsidR="00803577" w:rsidRPr="00803577" w:rsidRDefault="00803577" w:rsidP="00803577">
            <w:pPr>
              <w:rPr>
                <w:rFonts w:cs="Frankruhel"/>
                <w:rtl/>
              </w:rPr>
            </w:pPr>
            <w:r>
              <w:rPr>
                <w:rtl/>
              </w:rPr>
              <w:t>רישום ותרגום</w:t>
            </w:r>
          </w:p>
        </w:tc>
        <w:tc>
          <w:tcPr>
            <w:tcW w:w="567" w:type="dxa"/>
          </w:tcPr>
          <w:p w14:paraId="17A577CD" w14:textId="77777777" w:rsidR="00803577" w:rsidRPr="00803577" w:rsidRDefault="00803577" w:rsidP="00803577">
            <w:pPr>
              <w:rPr>
                <w:rStyle w:val="Hyperlink"/>
                <w:rtl/>
              </w:rPr>
            </w:pPr>
            <w:hyperlink w:anchor="Seif3" w:tooltip="רישום ותרגום" w:history="1">
              <w:r w:rsidRPr="00803577">
                <w:rPr>
                  <w:rStyle w:val="Hyperlink"/>
                </w:rPr>
                <w:t>Go</w:t>
              </w:r>
            </w:hyperlink>
          </w:p>
        </w:tc>
        <w:tc>
          <w:tcPr>
            <w:tcW w:w="850" w:type="dxa"/>
          </w:tcPr>
          <w:p w14:paraId="41F1AC58"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03577" w:rsidRPr="00803577" w14:paraId="7573214C" w14:textId="77777777" w:rsidTr="00803577">
        <w:tblPrEx>
          <w:tblCellMar>
            <w:top w:w="0" w:type="dxa"/>
            <w:bottom w:w="0" w:type="dxa"/>
          </w:tblCellMar>
        </w:tblPrEx>
        <w:tc>
          <w:tcPr>
            <w:tcW w:w="1247" w:type="dxa"/>
          </w:tcPr>
          <w:p w14:paraId="56ECD0CB" w14:textId="77777777" w:rsidR="00803577" w:rsidRPr="00803577" w:rsidRDefault="00803577" w:rsidP="00803577">
            <w:pPr>
              <w:rPr>
                <w:rFonts w:cs="Frankruhel"/>
                <w:rtl/>
              </w:rPr>
            </w:pPr>
            <w:r>
              <w:rPr>
                <w:rtl/>
              </w:rPr>
              <w:t xml:space="preserve">סעיף 4 </w:t>
            </w:r>
          </w:p>
        </w:tc>
        <w:tc>
          <w:tcPr>
            <w:tcW w:w="5669" w:type="dxa"/>
          </w:tcPr>
          <w:p w14:paraId="5612E505" w14:textId="77777777" w:rsidR="00803577" w:rsidRPr="00803577" w:rsidRDefault="00803577" w:rsidP="00803577">
            <w:pPr>
              <w:rPr>
                <w:rFonts w:cs="Frankruhel"/>
                <w:rtl/>
              </w:rPr>
            </w:pPr>
            <w:r>
              <w:rPr>
                <w:rtl/>
              </w:rPr>
              <w:t>דין הכנסות והוצאות הנובעות מתרגום</w:t>
            </w:r>
          </w:p>
        </w:tc>
        <w:tc>
          <w:tcPr>
            <w:tcW w:w="567" w:type="dxa"/>
          </w:tcPr>
          <w:p w14:paraId="2DE8D286" w14:textId="77777777" w:rsidR="00803577" w:rsidRPr="00803577" w:rsidRDefault="00803577" w:rsidP="00803577">
            <w:pPr>
              <w:rPr>
                <w:rStyle w:val="Hyperlink"/>
                <w:rtl/>
              </w:rPr>
            </w:pPr>
            <w:hyperlink w:anchor="Seif4" w:tooltip="דין הכנסות והוצאות הנובעות מתרגום" w:history="1">
              <w:r w:rsidRPr="00803577">
                <w:rPr>
                  <w:rStyle w:val="Hyperlink"/>
                </w:rPr>
                <w:t>Go</w:t>
              </w:r>
            </w:hyperlink>
          </w:p>
        </w:tc>
        <w:tc>
          <w:tcPr>
            <w:tcW w:w="850" w:type="dxa"/>
          </w:tcPr>
          <w:p w14:paraId="57E1331F"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03577" w:rsidRPr="00803577" w14:paraId="7D4CE263" w14:textId="77777777" w:rsidTr="00803577">
        <w:tblPrEx>
          <w:tblCellMar>
            <w:top w:w="0" w:type="dxa"/>
            <w:bottom w:w="0" w:type="dxa"/>
          </w:tblCellMar>
        </w:tblPrEx>
        <w:tc>
          <w:tcPr>
            <w:tcW w:w="1247" w:type="dxa"/>
          </w:tcPr>
          <w:p w14:paraId="5CD1562C" w14:textId="77777777" w:rsidR="00803577" w:rsidRPr="00803577" w:rsidRDefault="00803577" w:rsidP="00803577">
            <w:pPr>
              <w:rPr>
                <w:rFonts w:cs="Frankruhel"/>
                <w:rtl/>
              </w:rPr>
            </w:pPr>
            <w:r>
              <w:rPr>
                <w:rtl/>
              </w:rPr>
              <w:t xml:space="preserve">סעיף 5 </w:t>
            </w:r>
          </w:p>
        </w:tc>
        <w:tc>
          <w:tcPr>
            <w:tcW w:w="5669" w:type="dxa"/>
          </w:tcPr>
          <w:p w14:paraId="65E3AFAC" w14:textId="77777777" w:rsidR="00803577" w:rsidRPr="00803577" w:rsidRDefault="00803577" w:rsidP="00803577">
            <w:pPr>
              <w:rPr>
                <w:rFonts w:cs="Frankruhel"/>
                <w:rtl/>
              </w:rPr>
            </w:pPr>
            <w:r>
              <w:rPr>
                <w:rtl/>
              </w:rPr>
              <w:t>תרגום הוצאות</w:t>
            </w:r>
          </w:p>
        </w:tc>
        <w:tc>
          <w:tcPr>
            <w:tcW w:w="567" w:type="dxa"/>
          </w:tcPr>
          <w:p w14:paraId="6AD74395" w14:textId="77777777" w:rsidR="00803577" w:rsidRPr="00803577" w:rsidRDefault="00803577" w:rsidP="00803577">
            <w:pPr>
              <w:rPr>
                <w:rStyle w:val="Hyperlink"/>
                <w:rtl/>
              </w:rPr>
            </w:pPr>
            <w:hyperlink w:anchor="Seif5" w:tooltip="תרגום הוצאות" w:history="1">
              <w:r w:rsidRPr="00803577">
                <w:rPr>
                  <w:rStyle w:val="Hyperlink"/>
                </w:rPr>
                <w:t>Go</w:t>
              </w:r>
            </w:hyperlink>
          </w:p>
        </w:tc>
        <w:tc>
          <w:tcPr>
            <w:tcW w:w="850" w:type="dxa"/>
          </w:tcPr>
          <w:p w14:paraId="5F488CC2"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03577" w:rsidRPr="00803577" w14:paraId="6A3677D6" w14:textId="77777777" w:rsidTr="00803577">
        <w:tblPrEx>
          <w:tblCellMar>
            <w:top w:w="0" w:type="dxa"/>
            <w:bottom w:w="0" w:type="dxa"/>
          </w:tblCellMar>
        </w:tblPrEx>
        <w:tc>
          <w:tcPr>
            <w:tcW w:w="1247" w:type="dxa"/>
          </w:tcPr>
          <w:p w14:paraId="0995F019" w14:textId="77777777" w:rsidR="00803577" w:rsidRPr="00803577" w:rsidRDefault="00803577" w:rsidP="00803577">
            <w:pPr>
              <w:rPr>
                <w:rFonts w:cs="Frankruhel"/>
                <w:rtl/>
              </w:rPr>
            </w:pPr>
            <w:r>
              <w:rPr>
                <w:rtl/>
              </w:rPr>
              <w:t xml:space="preserve">סעיף 6 </w:t>
            </w:r>
          </w:p>
        </w:tc>
        <w:tc>
          <w:tcPr>
            <w:tcW w:w="5669" w:type="dxa"/>
          </w:tcPr>
          <w:p w14:paraId="58289392" w14:textId="77777777" w:rsidR="00803577" w:rsidRPr="00803577" w:rsidRDefault="00803577" w:rsidP="00803577">
            <w:pPr>
              <w:rPr>
                <w:rFonts w:cs="Frankruhel"/>
                <w:rtl/>
              </w:rPr>
            </w:pPr>
            <w:r>
              <w:rPr>
                <w:rtl/>
              </w:rPr>
              <w:t>קביעת מחיר מקורי לענין פחת וריווח הון</w:t>
            </w:r>
          </w:p>
        </w:tc>
        <w:tc>
          <w:tcPr>
            <w:tcW w:w="567" w:type="dxa"/>
          </w:tcPr>
          <w:p w14:paraId="27B2337D" w14:textId="77777777" w:rsidR="00803577" w:rsidRPr="00803577" w:rsidRDefault="00803577" w:rsidP="00803577">
            <w:pPr>
              <w:rPr>
                <w:rStyle w:val="Hyperlink"/>
                <w:rtl/>
              </w:rPr>
            </w:pPr>
            <w:hyperlink w:anchor="Seif6" w:tooltip="קביעת מחיר מקורי לענין פחת וריווח הון" w:history="1">
              <w:r w:rsidRPr="00803577">
                <w:rPr>
                  <w:rStyle w:val="Hyperlink"/>
                </w:rPr>
                <w:t>Go</w:t>
              </w:r>
            </w:hyperlink>
          </w:p>
        </w:tc>
        <w:tc>
          <w:tcPr>
            <w:tcW w:w="850" w:type="dxa"/>
          </w:tcPr>
          <w:p w14:paraId="7A6E0804"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03577" w:rsidRPr="00803577" w14:paraId="74E520CA" w14:textId="77777777" w:rsidTr="00803577">
        <w:tblPrEx>
          <w:tblCellMar>
            <w:top w:w="0" w:type="dxa"/>
            <w:bottom w:w="0" w:type="dxa"/>
          </w:tblCellMar>
        </w:tblPrEx>
        <w:tc>
          <w:tcPr>
            <w:tcW w:w="1247" w:type="dxa"/>
          </w:tcPr>
          <w:p w14:paraId="46A04CA5" w14:textId="77777777" w:rsidR="00803577" w:rsidRPr="00803577" w:rsidRDefault="00803577" w:rsidP="00803577">
            <w:pPr>
              <w:rPr>
                <w:rFonts w:cs="Frankruhel"/>
                <w:rtl/>
              </w:rPr>
            </w:pPr>
            <w:r>
              <w:rPr>
                <w:rtl/>
              </w:rPr>
              <w:t xml:space="preserve">סעיף 7 </w:t>
            </w:r>
          </w:p>
        </w:tc>
        <w:tc>
          <w:tcPr>
            <w:tcW w:w="5669" w:type="dxa"/>
          </w:tcPr>
          <w:p w14:paraId="0EA9321B" w14:textId="77777777" w:rsidR="00803577" w:rsidRPr="00803577" w:rsidRDefault="00803577" w:rsidP="00803577">
            <w:pPr>
              <w:rPr>
                <w:rFonts w:cs="Frankruhel"/>
                <w:rtl/>
              </w:rPr>
            </w:pPr>
            <w:r>
              <w:rPr>
                <w:rtl/>
              </w:rPr>
              <w:t>הפסדים</w:t>
            </w:r>
          </w:p>
        </w:tc>
        <w:tc>
          <w:tcPr>
            <w:tcW w:w="567" w:type="dxa"/>
          </w:tcPr>
          <w:p w14:paraId="0BF3F953" w14:textId="77777777" w:rsidR="00803577" w:rsidRPr="00803577" w:rsidRDefault="00803577" w:rsidP="00803577">
            <w:pPr>
              <w:rPr>
                <w:rStyle w:val="Hyperlink"/>
                <w:rtl/>
              </w:rPr>
            </w:pPr>
            <w:hyperlink w:anchor="Seif7" w:tooltip="הפסדים" w:history="1">
              <w:r w:rsidRPr="00803577">
                <w:rPr>
                  <w:rStyle w:val="Hyperlink"/>
                </w:rPr>
                <w:t>Go</w:t>
              </w:r>
            </w:hyperlink>
          </w:p>
        </w:tc>
        <w:tc>
          <w:tcPr>
            <w:tcW w:w="850" w:type="dxa"/>
          </w:tcPr>
          <w:p w14:paraId="29B08B84"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03577" w:rsidRPr="00803577" w14:paraId="35230558" w14:textId="77777777" w:rsidTr="00803577">
        <w:tblPrEx>
          <w:tblCellMar>
            <w:top w:w="0" w:type="dxa"/>
            <w:bottom w:w="0" w:type="dxa"/>
          </w:tblCellMar>
        </w:tblPrEx>
        <w:tc>
          <w:tcPr>
            <w:tcW w:w="1247" w:type="dxa"/>
          </w:tcPr>
          <w:p w14:paraId="1527DD6C" w14:textId="77777777" w:rsidR="00803577" w:rsidRPr="00803577" w:rsidRDefault="00803577" w:rsidP="00803577">
            <w:pPr>
              <w:rPr>
                <w:rFonts w:cs="Frankruhel"/>
                <w:rtl/>
              </w:rPr>
            </w:pPr>
            <w:r>
              <w:rPr>
                <w:rtl/>
              </w:rPr>
              <w:t xml:space="preserve">סעיף 8 </w:t>
            </w:r>
          </w:p>
        </w:tc>
        <w:tc>
          <w:tcPr>
            <w:tcW w:w="5669" w:type="dxa"/>
          </w:tcPr>
          <w:p w14:paraId="35662B69" w14:textId="77777777" w:rsidR="00803577" w:rsidRPr="00803577" w:rsidRDefault="00803577" w:rsidP="00803577">
            <w:pPr>
              <w:rPr>
                <w:rFonts w:cs="Frankruhel"/>
                <w:rtl/>
              </w:rPr>
            </w:pPr>
            <w:r>
              <w:rPr>
                <w:rtl/>
              </w:rPr>
              <w:t>קביעת ההכנסה החייבת</w:t>
            </w:r>
          </w:p>
        </w:tc>
        <w:tc>
          <w:tcPr>
            <w:tcW w:w="567" w:type="dxa"/>
          </w:tcPr>
          <w:p w14:paraId="2B9C374F" w14:textId="77777777" w:rsidR="00803577" w:rsidRPr="00803577" w:rsidRDefault="00803577" w:rsidP="00803577">
            <w:pPr>
              <w:rPr>
                <w:rStyle w:val="Hyperlink"/>
                <w:rtl/>
              </w:rPr>
            </w:pPr>
            <w:hyperlink w:anchor="Seif8" w:tooltip="קביעת ההכנסה החייבת" w:history="1">
              <w:r w:rsidRPr="00803577">
                <w:rPr>
                  <w:rStyle w:val="Hyperlink"/>
                </w:rPr>
                <w:t>Go</w:t>
              </w:r>
            </w:hyperlink>
          </w:p>
        </w:tc>
        <w:tc>
          <w:tcPr>
            <w:tcW w:w="850" w:type="dxa"/>
          </w:tcPr>
          <w:p w14:paraId="23029536"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03577" w:rsidRPr="00803577" w14:paraId="13003AB2" w14:textId="77777777" w:rsidTr="00803577">
        <w:tblPrEx>
          <w:tblCellMar>
            <w:top w:w="0" w:type="dxa"/>
            <w:bottom w:w="0" w:type="dxa"/>
          </w:tblCellMar>
        </w:tblPrEx>
        <w:tc>
          <w:tcPr>
            <w:tcW w:w="1247" w:type="dxa"/>
          </w:tcPr>
          <w:p w14:paraId="1B90DACF" w14:textId="77777777" w:rsidR="00803577" w:rsidRPr="00803577" w:rsidRDefault="00803577" w:rsidP="00803577">
            <w:pPr>
              <w:rPr>
                <w:rFonts w:cs="Frankruhel"/>
                <w:rtl/>
              </w:rPr>
            </w:pPr>
            <w:r>
              <w:rPr>
                <w:rtl/>
              </w:rPr>
              <w:t xml:space="preserve">סעיף 9 </w:t>
            </w:r>
          </w:p>
        </w:tc>
        <w:tc>
          <w:tcPr>
            <w:tcW w:w="5669" w:type="dxa"/>
          </w:tcPr>
          <w:p w14:paraId="1F2708E0" w14:textId="77777777" w:rsidR="00803577" w:rsidRPr="00803577" w:rsidRDefault="00803577" w:rsidP="00803577">
            <w:pPr>
              <w:rPr>
                <w:rFonts w:cs="Frankruhel"/>
                <w:rtl/>
              </w:rPr>
            </w:pPr>
            <w:r>
              <w:rPr>
                <w:rtl/>
              </w:rPr>
              <w:t>קיזוז מקדמות ותשלומים</w:t>
            </w:r>
          </w:p>
        </w:tc>
        <w:tc>
          <w:tcPr>
            <w:tcW w:w="567" w:type="dxa"/>
          </w:tcPr>
          <w:p w14:paraId="378C2C67" w14:textId="77777777" w:rsidR="00803577" w:rsidRPr="00803577" w:rsidRDefault="00803577" w:rsidP="00803577">
            <w:pPr>
              <w:rPr>
                <w:rStyle w:val="Hyperlink"/>
                <w:rtl/>
              </w:rPr>
            </w:pPr>
            <w:hyperlink w:anchor="Seif9" w:tooltip="קיזוז מקדמות ותשלומים" w:history="1">
              <w:r w:rsidRPr="00803577">
                <w:rPr>
                  <w:rStyle w:val="Hyperlink"/>
                </w:rPr>
                <w:t>Go</w:t>
              </w:r>
            </w:hyperlink>
          </w:p>
        </w:tc>
        <w:tc>
          <w:tcPr>
            <w:tcW w:w="850" w:type="dxa"/>
          </w:tcPr>
          <w:p w14:paraId="179039A5"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03577" w:rsidRPr="00803577" w14:paraId="3EE913C0" w14:textId="77777777" w:rsidTr="00803577">
        <w:tblPrEx>
          <w:tblCellMar>
            <w:top w:w="0" w:type="dxa"/>
            <w:bottom w:w="0" w:type="dxa"/>
          </w:tblCellMar>
        </w:tblPrEx>
        <w:tc>
          <w:tcPr>
            <w:tcW w:w="1247" w:type="dxa"/>
          </w:tcPr>
          <w:p w14:paraId="0AD88AA5" w14:textId="77777777" w:rsidR="00803577" w:rsidRPr="00803577" w:rsidRDefault="00803577" w:rsidP="00803577">
            <w:pPr>
              <w:rPr>
                <w:rFonts w:cs="Frankruhel"/>
                <w:rtl/>
              </w:rPr>
            </w:pPr>
            <w:r>
              <w:rPr>
                <w:rtl/>
              </w:rPr>
              <w:t xml:space="preserve">סעיף 10 </w:t>
            </w:r>
          </w:p>
        </w:tc>
        <w:tc>
          <w:tcPr>
            <w:tcW w:w="5669" w:type="dxa"/>
          </w:tcPr>
          <w:p w14:paraId="304B9676" w14:textId="77777777" w:rsidR="00803577" w:rsidRPr="00803577" w:rsidRDefault="00803577" w:rsidP="00803577">
            <w:pPr>
              <w:rPr>
                <w:rFonts w:cs="Frankruhel"/>
                <w:rtl/>
              </w:rPr>
            </w:pPr>
            <w:r>
              <w:rPr>
                <w:rtl/>
              </w:rPr>
              <w:t>תרגום הצהרות הון</w:t>
            </w:r>
          </w:p>
        </w:tc>
        <w:tc>
          <w:tcPr>
            <w:tcW w:w="567" w:type="dxa"/>
          </w:tcPr>
          <w:p w14:paraId="5ED80162" w14:textId="77777777" w:rsidR="00803577" w:rsidRPr="00803577" w:rsidRDefault="00803577" w:rsidP="00803577">
            <w:pPr>
              <w:rPr>
                <w:rStyle w:val="Hyperlink"/>
                <w:rtl/>
              </w:rPr>
            </w:pPr>
            <w:hyperlink w:anchor="Seif10" w:tooltip="תרגום הצהרות הון" w:history="1">
              <w:r w:rsidRPr="00803577">
                <w:rPr>
                  <w:rStyle w:val="Hyperlink"/>
                </w:rPr>
                <w:t>Go</w:t>
              </w:r>
            </w:hyperlink>
          </w:p>
        </w:tc>
        <w:tc>
          <w:tcPr>
            <w:tcW w:w="850" w:type="dxa"/>
          </w:tcPr>
          <w:p w14:paraId="1FBA089C"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803577" w:rsidRPr="00803577" w14:paraId="51E19FB6" w14:textId="77777777" w:rsidTr="00803577">
        <w:tblPrEx>
          <w:tblCellMar>
            <w:top w:w="0" w:type="dxa"/>
            <w:bottom w:w="0" w:type="dxa"/>
          </w:tblCellMar>
        </w:tblPrEx>
        <w:tc>
          <w:tcPr>
            <w:tcW w:w="1247" w:type="dxa"/>
          </w:tcPr>
          <w:p w14:paraId="0EA786BE" w14:textId="77777777" w:rsidR="00803577" w:rsidRPr="00803577" w:rsidRDefault="00803577" w:rsidP="00803577">
            <w:pPr>
              <w:rPr>
                <w:rFonts w:cs="Frankruhel"/>
                <w:rtl/>
              </w:rPr>
            </w:pPr>
            <w:r>
              <w:rPr>
                <w:rtl/>
              </w:rPr>
              <w:t xml:space="preserve">סעיף 11 </w:t>
            </w:r>
          </w:p>
        </w:tc>
        <w:tc>
          <w:tcPr>
            <w:tcW w:w="5669" w:type="dxa"/>
          </w:tcPr>
          <w:p w14:paraId="4BE8E045" w14:textId="77777777" w:rsidR="00803577" w:rsidRPr="00803577" w:rsidRDefault="00803577" w:rsidP="00803577">
            <w:pPr>
              <w:rPr>
                <w:rFonts w:cs="Frankruhel"/>
                <w:rtl/>
              </w:rPr>
            </w:pPr>
            <w:r>
              <w:rPr>
                <w:rtl/>
              </w:rPr>
              <w:t>תנאים לתחולת התקנות</w:t>
            </w:r>
          </w:p>
        </w:tc>
        <w:tc>
          <w:tcPr>
            <w:tcW w:w="567" w:type="dxa"/>
          </w:tcPr>
          <w:p w14:paraId="3FF08837" w14:textId="77777777" w:rsidR="00803577" w:rsidRPr="00803577" w:rsidRDefault="00803577" w:rsidP="00803577">
            <w:pPr>
              <w:rPr>
                <w:rStyle w:val="Hyperlink"/>
                <w:rtl/>
              </w:rPr>
            </w:pPr>
            <w:hyperlink w:anchor="Seif11" w:tooltip="תנאים לתחולת התקנות" w:history="1">
              <w:r w:rsidRPr="00803577">
                <w:rPr>
                  <w:rStyle w:val="Hyperlink"/>
                </w:rPr>
                <w:t>Go</w:t>
              </w:r>
            </w:hyperlink>
          </w:p>
        </w:tc>
        <w:tc>
          <w:tcPr>
            <w:tcW w:w="850" w:type="dxa"/>
          </w:tcPr>
          <w:p w14:paraId="09A674F5"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803577" w:rsidRPr="00803577" w14:paraId="6E4F0D19" w14:textId="77777777" w:rsidTr="00803577">
        <w:tblPrEx>
          <w:tblCellMar>
            <w:top w:w="0" w:type="dxa"/>
            <w:bottom w:w="0" w:type="dxa"/>
          </w:tblCellMar>
        </w:tblPrEx>
        <w:tc>
          <w:tcPr>
            <w:tcW w:w="1247" w:type="dxa"/>
          </w:tcPr>
          <w:p w14:paraId="57B8F89C" w14:textId="77777777" w:rsidR="00803577" w:rsidRPr="00803577" w:rsidRDefault="00803577" w:rsidP="00803577">
            <w:pPr>
              <w:rPr>
                <w:rFonts w:cs="Frankruhel"/>
                <w:rtl/>
              </w:rPr>
            </w:pPr>
            <w:r>
              <w:rPr>
                <w:rtl/>
              </w:rPr>
              <w:t xml:space="preserve">סעיף 12 </w:t>
            </w:r>
          </w:p>
        </w:tc>
        <w:tc>
          <w:tcPr>
            <w:tcW w:w="5669" w:type="dxa"/>
          </w:tcPr>
          <w:p w14:paraId="6E265D4C" w14:textId="77777777" w:rsidR="00803577" w:rsidRPr="00803577" w:rsidRDefault="00803577" w:rsidP="00803577">
            <w:pPr>
              <w:rPr>
                <w:rFonts w:cs="Frankruhel"/>
                <w:rtl/>
              </w:rPr>
            </w:pPr>
            <w:r>
              <w:rPr>
                <w:rtl/>
              </w:rPr>
              <w:t>תחילה</w:t>
            </w:r>
          </w:p>
        </w:tc>
        <w:tc>
          <w:tcPr>
            <w:tcW w:w="567" w:type="dxa"/>
          </w:tcPr>
          <w:p w14:paraId="50D62AA3" w14:textId="77777777" w:rsidR="00803577" w:rsidRPr="00803577" w:rsidRDefault="00803577" w:rsidP="00803577">
            <w:pPr>
              <w:rPr>
                <w:rStyle w:val="Hyperlink"/>
                <w:rtl/>
              </w:rPr>
            </w:pPr>
            <w:hyperlink w:anchor="Seif12" w:tooltip="תחילה" w:history="1">
              <w:r w:rsidRPr="00803577">
                <w:rPr>
                  <w:rStyle w:val="Hyperlink"/>
                </w:rPr>
                <w:t>Go</w:t>
              </w:r>
            </w:hyperlink>
          </w:p>
        </w:tc>
        <w:tc>
          <w:tcPr>
            <w:tcW w:w="850" w:type="dxa"/>
          </w:tcPr>
          <w:p w14:paraId="432E9D23" w14:textId="77777777" w:rsidR="00803577" w:rsidRPr="00803577" w:rsidRDefault="00803577" w:rsidP="0080357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bl>
    <w:p w14:paraId="69B65990" w14:textId="77777777" w:rsidR="001020ED" w:rsidRDefault="001020ED">
      <w:pPr>
        <w:pStyle w:val="big-header"/>
        <w:ind w:left="0" w:right="1134"/>
        <w:rPr>
          <w:rFonts w:cs="FrankRuehl"/>
          <w:sz w:val="32"/>
          <w:rtl/>
        </w:rPr>
      </w:pPr>
    </w:p>
    <w:p w14:paraId="1396CF4B" w14:textId="77777777" w:rsidR="001020ED" w:rsidRPr="00900411" w:rsidRDefault="001020ED" w:rsidP="0036044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מס הכנסה (כללים בדבר ניהול פנקסי חשבונות של יהלומן</w:t>
      </w:r>
      <w:r>
        <w:rPr>
          <w:rFonts w:cs="FrankRuehl"/>
          <w:sz w:val="32"/>
          <w:rtl/>
        </w:rPr>
        <w:t xml:space="preserve"> ו</w:t>
      </w:r>
      <w:r>
        <w:rPr>
          <w:rFonts w:cs="FrankRuehl" w:hint="cs"/>
          <w:sz w:val="32"/>
          <w:rtl/>
        </w:rPr>
        <w:t xml:space="preserve">קביעת </w:t>
      </w:r>
      <w:r w:rsidRPr="00900411">
        <w:rPr>
          <w:rFonts w:cs="FrankRuehl" w:hint="cs"/>
          <w:sz w:val="32"/>
          <w:rtl/>
        </w:rPr>
        <w:t>הכנסתו החייבת), תשמ"א</w:t>
      </w:r>
      <w:r w:rsidR="00A67093">
        <w:rPr>
          <w:rFonts w:cs="FrankRuehl" w:hint="cs"/>
          <w:sz w:val="32"/>
          <w:rtl/>
        </w:rPr>
        <w:t>-</w:t>
      </w:r>
      <w:r w:rsidRPr="00900411">
        <w:rPr>
          <w:rFonts w:cs="FrankRuehl"/>
          <w:sz w:val="32"/>
          <w:rtl/>
        </w:rPr>
        <w:t>1980</w:t>
      </w:r>
      <w:r w:rsidR="00A67093">
        <w:rPr>
          <w:rStyle w:val="a6"/>
          <w:rFonts w:cs="FrankRuehl"/>
          <w:sz w:val="32"/>
          <w:rtl/>
        </w:rPr>
        <w:footnoteReference w:customMarkFollows="1" w:id="1"/>
        <w:t>*</w:t>
      </w:r>
    </w:p>
    <w:p w14:paraId="1B9B2BE4"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בתוקף סמכותי לפי סעיף 130א לפקודת מס הכנסה, ובאישור ועדת הכספים של הכנסת, אני מתקין תקנות אלה:</w:t>
      </w:r>
    </w:p>
    <w:p w14:paraId="2AEF93C9" w14:textId="77777777" w:rsidR="001020ED" w:rsidRDefault="001020ED">
      <w:pPr>
        <w:pStyle w:val="P00"/>
        <w:spacing w:before="72"/>
        <w:ind w:left="0" w:right="1134"/>
        <w:rPr>
          <w:rStyle w:val="default"/>
          <w:rFonts w:cs="FrankRuehl" w:hint="cs"/>
          <w:rtl/>
        </w:rPr>
      </w:pPr>
      <w:bookmarkStart w:id="0" w:name="Seif1"/>
      <w:bookmarkEnd w:id="0"/>
      <w:r w:rsidRPr="00900411">
        <w:rPr>
          <w:rFonts w:cs="Miriam"/>
          <w:lang w:val="he-IL"/>
        </w:rPr>
        <w:pict w14:anchorId="7B50793D">
          <v:rect id="_x0000_s1026" style="position:absolute;left:0;text-align:left;margin-left:464.5pt;margin-top:8.05pt;width:75.05pt;height:14.2pt;z-index:251652096" o:allowincell="f" filled="f" stroked="f" strokecolor="lime" strokeweight=".25pt">
            <v:textbox style="mso-next-textbox:#_x0000_s1026" inset="0,0,0,0">
              <w:txbxContent>
                <w:p w14:paraId="23108BB5" w14:textId="77777777" w:rsidR="001020ED" w:rsidRDefault="001020ED">
                  <w:pPr>
                    <w:spacing w:line="160" w:lineRule="exac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sidRPr="00900411">
        <w:rPr>
          <w:rStyle w:val="big-number"/>
          <w:rFonts w:cs="Miriam"/>
          <w:rtl/>
        </w:rPr>
        <w:t>1</w:t>
      </w:r>
      <w:r w:rsidRPr="00900411">
        <w:rPr>
          <w:rStyle w:val="big-number"/>
          <w:rFonts w:cs="FrankRuehl"/>
          <w:rtl/>
        </w:rPr>
        <w:t>.</w:t>
      </w:r>
      <w:r w:rsidRPr="00900411">
        <w:rPr>
          <w:rStyle w:val="big-number"/>
          <w:rFonts w:cs="FrankRuehl"/>
          <w:rtl/>
        </w:rPr>
        <w:tab/>
      </w:r>
      <w:r w:rsidR="00A67093">
        <w:rPr>
          <w:rStyle w:val="default"/>
          <w:rFonts w:cs="FrankRuehl"/>
          <w:rtl/>
        </w:rPr>
        <w:t>בתקנות אלה –</w:t>
      </w:r>
    </w:p>
    <w:p w14:paraId="44054436"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"יהלומן" </w:t>
      </w:r>
      <w:r w:rsidR="007F1DC1">
        <w:rPr>
          <w:rStyle w:val="default"/>
          <w:rFonts w:cs="FrankRuehl"/>
          <w:rtl/>
        </w:rPr>
        <w:t>–</w:t>
      </w:r>
      <w:r w:rsidRPr="00900411">
        <w:rPr>
          <w:rStyle w:val="default"/>
          <w:rFonts w:cs="FrankRuehl"/>
          <w:rtl/>
        </w:rPr>
        <w:t xml:space="preserve"> יהלומן שבחר להחיל על עסקו ביהלומים את הוראותיהן של תקנות אלה;</w:t>
      </w:r>
    </w:p>
    <w:p w14:paraId="19169C51"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"פעולה" </w:t>
      </w:r>
      <w:r w:rsidR="007F1DC1">
        <w:rPr>
          <w:rStyle w:val="default"/>
          <w:rFonts w:cs="FrankRuehl"/>
          <w:rtl/>
        </w:rPr>
        <w:t>–</w:t>
      </w:r>
      <w:r w:rsidR="00A67093">
        <w:rPr>
          <w:rStyle w:val="default"/>
          <w:rFonts w:cs="FrankRuehl" w:hint="cs"/>
          <w:rtl/>
        </w:rPr>
        <w:t xml:space="preserve"> </w:t>
      </w:r>
      <w:r w:rsidRPr="00900411">
        <w:rPr>
          <w:rStyle w:val="default"/>
          <w:rFonts w:cs="FrankRuehl"/>
          <w:rtl/>
        </w:rPr>
        <w:t>פעולה המשפיעה על הרכוש, ההתחייבויות, ההון או התוצאות העסקיות בעסקו ביהלומים של יהלומן והטעונה רישום לפי הוראות מס הכנסה (ניהול פנקסי חשבונות) (מס' 2), תשל"ג</w:t>
      </w:r>
      <w:r w:rsidR="00A67093">
        <w:rPr>
          <w:rStyle w:val="default"/>
          <w:rFonts w:cs="FrankRuehl" w:hint="cs"/>
          <w:rtl/>
        </w:rPr>
        <w:t>-</w:t>
      </w:r>
      <w:r w:rsidRPr="00900411">
        <w:rPr>
          <w:rStyle w:val="default"/>
          <w:rFonts w:cs="FrankRuehl"/>
          <w:rtl/>
        </w:rPr>
        <w:t>1973;</w:t>
      </w:r>
    </w:p>
    <w:p w14:paraId="13779AF5"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"פעולת מימון עסקית" </w:t>
      </w:r>
      <w:r w:rsidR="007F1DC1">
        <w:rPr>
          <w:rStyle w:val="default"/>
          <w:rFonts w:cs="FrankRuehl"/>
          <w:rtl/>
        </w:rPr>
        <w:t>–</w:t>
      </w:r>
      <w:r w:rsidR="00A67093">
        <w:rPr>
          <w:rStyle w:val="default"/>
          <w:rFonts w:cs="FrankRuehl" w:hint="cs"/>
          <w:rtl/>
        </w:rPr>
        <w:t xml:space="preserve"> </w:t>
      </w:r>
      <w:r w:rsidRPr="00900411">
        <w:rPr>
          <w:rStyle w:val="default"/>
          <w:rFonts w:cs="FrankRuehl"/>
          <w:rtl/>
        </w:rPr>
        <w:t>חובה, התחייבות, הלוואה, פקדון ואשראי עסקי בין של חובה ובין של זכות, בעסקו ביהלומים של יהלומן;</w:t>
      </w:r>
    </w:p>
    <w:p w14:paraId="6E806013"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"דולר" </w:t>
      </w:r>
      <w:r w:rsidR="007F1DC1">
        <w:rPr>
          <w:rStyle w:val="default"/>
          <w:rFonts w:cs="FrankRuehl"/>
          <w:rtl/>
        </w:rPr>
        <w:t>–</w:t>
      </w:r>
      <w:r w:rsidR="00A67093">
        <w:rPr>
          <w:rStyle w:val="default"/>
          <w:rFonts w:cs="FrankRuehl" w:hint="cs"/>
          <w:rtl/>
        </w:rPr>
        <w:t xml:space="preserve"> </w:t>
      </w:r>
      <w:r w:rsidRPr="00900411">
        <w:rPr>
          <w:rStyle w:val="default"/>
          <w:rFonts w:cs="FrankRuehl"/>
          <w:rtl/>
        </w:rPr>
        <w:t>דולר של ארצות הברית של אמריקה;</w:t>
      </w:r>
    </w:p>
    <w:p w14:paraId="4DF2A626"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"מטבע אחר" </w:t>
      </w:r>
      <w:r w:rsidR="007F1DC1">
        <w:rPr>
          <w:rStyle w:val="default"/>
          <w:rFonts w:cs="FrankRuehl"/>
          <w:rtl/>
        </w:rPr>
        <w:t>–</w:t>
      </w:r>
      <w:r w:rsidR="00A67093">
        <w:rPr>
          <w:rStyle w:val="default"/>
          <w:rFonts w:cs="FrankRuehl" w:hint="cs"/>
          <w:rtl/>
        </w:rPr>
        <w:t xml:space="preserve"> </w:t>
      </w:r>
      <w:r w:rsidRPr="00900411">
        <w:rPr>
          <w:rStyle w:val="default"/>
          <w:rFonts w:cs="FrankRuehl"/>
          <w:rtl/>
        </w:rPr>
        <w:t>מטבע שאיננו דולר;</w:t>
      </w:r>
    </w:p>
    <w:p w14:paraId="70DCD359"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"שער" </w:t>
      </w:r>
      <w:r w:rsidR="007F1DC1">
        <w:rPr>
          <w:rStyle w:val="default"/>
          <w:rFonts w:cs="FrankRuehl"/>
          <w:rtl/>
        </w:rPr>
        <w:t>–</w:t>
      </w:r>
      <w:r w:rsidR="00A67093">
        <w:rPr>
          <w:rStyle w:val="default"/>
          <w:rFonts w:cs="FrankRuehl" w:hint="cs"/>
          <w:rtl/>
        </w:rPr>
        <w:t xml:space="preserve"> </w:t>
      </w:r>
      <w:r w:rsidRPr="00900411">
        <w:rPr>
          <w:rStyle w:val="default"/>
          <w:rFonts w:cs="FrankRuehl"/>
          <w:rtl/>
        </w:rPr>
        <w:t>השער היציג של מטבע כפי שקבע בנק ישראל או שער החליפין הרשמי, לפי הענין;</w:t>
      </w:r>
    </w:p>
    <w:p w14:paraId="62A4EB7A" w14:textId="77777777" w:rsidR="001020ED" w:rsidRPr="00900411" w:rsidRDefault="001020ED" w:rsidP="00A67093">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 xml:space="preserve">"תרגום" </w:t>
      </w:r>
      <w:r w:rsidR="007F1DC1">
        <w:rPr>
          <w:rStyle w:val="default"/>
          <w:rFonts w:cs="FrankRuehl"/>
          <w:rtl/>
        </w:rPr>
        <w:t>–</w:t>
      </w:r>
      <w:r w:rsidR="00A67093">
        <w:rPr>
          <w:rStyle w:val="default"/>
          <w:rFonts w:cs="FrankRuehl" w:hint="cs"/>
          <w:rtl/>
        </w:rPr>
        <w:t xml:space="preserve"> </w:t>
      </w:r>
      <w:r w:rsidRPr="00900411">
        <w:rPr>
          <w:rStyle w:val="default"/>
          <w:rFonts w:cs="FrankRuehl"/>
          <w:rtl/>
        </w:rPr>
        <w:t>רישומה בדולרים של פעולה שנעשתה במטבע אחר, ולהיפך.</w:t>
      </w:r>
    </w:p>
    <w:p w14:paraId="6BEA81C2" w14:textId="77777777" w:rsidR="001020ED" w:rsidRPr="00900411" w:rsidRDefault="001020ED">
      <w:pPr>
        <w:pStyle w:val="P00"/>
        <w:spacing w:before="72"/>
        <w:ind w:left="0" w:right="1134"/>
        <w:rPr>
          <w:rStyle w:val="default"/>
          <w:rFonts w:cs="FrankRuehl"/>
          <w:rtl/>
        </w:rPr>
      </w:pPr>
      <w:bookmarkStart w:id="1" w:name="Seif2"/>
      <w:bookmarkEnd w:id="1"/>
      <w:r w:rsidRPr="00900411">
        <w:rPr>
          <w:rFonts w:cs="Miriam"/>
          <w:lang w:val="he-IL"/>
        </w:rPr>
        <w:pict w14:anchorId="594808E1">
          <v:rect id="_x0000_s1027" style="position:absolute;left:0;text-align:left;margin-left:464.5pt;margin-top:8.05pt;width:75.05pt;height:46.2pt;z-index:251653120" o:allowincell="f" filled="f" stroked="f" strokecolor="lime" strokeweight=".25pt">
            <v:textbox style="mso-next-textbox:#_x0000_s1027" inset="0,0,0,0">
              <w:txbxContent>
                <w:p w14:paraId="599A63A4" w14:textId="77777777" w:rsidR="001020ED" w:rsidRDefault="001020ED">
                  <w:pPr>
                    <w:spacing w:line="160" w:lineRule="exact"/>
                    <w:rPr>
                      <w:rFonts w:cs="Miriam"/>
                      <w:noProof/>
                      <w:sz w:val="18"/>
                      <w:szCs w:val="18"/>
                      <w:rtl/>
                    </w:rPr>
                  </w:pPr>
                  <w:r>
                    <w:rPr>
                      <w:rFonts w:cs="Miriam"/>
                      <w:sz w:val="18"/>
                      <w:szCs w:val="18"/>
                      <w:rtl/>
                    </w:rPr>
                    <w:t>רי</w:t>
                  </w:r>
                  <w:r>
                    <w:rPr>
                      <w:rFonts w:cs="Miriam" w:hint="cs"/>
                      <w:sz w:val="18"/>
                      <w:szCs w:val="18"/>
                      <w:rtl/>
                    </w:rPr>
                    <w:t>שום נכסים והתחייבויות עם תחילת ניהול הפנקסים על פי התקנות</w:t>
                  </w:r>
                </w:p>
              </w:txbxContent>
            </v:textbox>
            <w10:anchorlock/>
          </v:rect>
        </w:pict>
      </w:r>
      <w:r w:rsidRPr="00900411">
        <w:rPr>
          <w:rStyle w:val="big-number"/>
          <w:rFonts w:cs="Miriam"/>
          <w:rtl/>
        </w:rPr>
        <w:t>2</w:t>
      </w:r>
      <w:r w:rsidRPr="00900411">
        <w:rPr>
          <w:rStyle w:val="big-number"/>
          <w:rFonts w:cs="FrankRuehl"/>
          <w:rtl/>
        </w:rPr>
        <w:t>.</w:t>
      </w:r>
      <w:r w:rsidRPr="00900411">
        <w:rPr>
          <w:rStyle w:val="big-number"/>
          <w:rFonts w:cs="FrankRuehl"/>
          <w:rtl/>
        </w:rPr>
        <w:tab/>
      </w:r>
      <w:r w:rsidRPr="00900411">
        <w:rPr>
          <w:rStyle w:val="default"/>
          <w:rFonts w:cs="FrankRuehl"/>
          <w:rtl/>
        </w:rPr>
        <w:t>יהלומן המתחיל בניהול פנקסי החשבונות על פי תקנות אלה ירשום את הנכסים ואת ההתחייבויות ביום תחילת ניהול הפנקסים על פי תקנות אלה, בעסקו ביהלומים, כך:</w:t>
      </w:r>
    </w:p>
    <w:p w14:paraId="1E80D289" w14:textId="77777777" w:rsidR="001020ED" w:rsidRDefault="001020ED" w:rsidP="007F1DC1">
      <w:pPr>
        <w:pStyle w:val="P22"/>
        <w:tabs>
          <w:tab w:val="left" w:pos="624"/>
          <w:tab w:val="left" w:pos="1021"/>
        </w:tabs>
        <w:spacing w:before="72"/>
        <w:ind w:left="624" w:right="1134"/>
        <w:rPr>
          <w:rStyle w:val="default"/>
          <w:rFonts w:cs="FrankRuehl" w:hint="cs"/>
          <w:rtl/>
        </w:rPr>
      </w:pPr>
      <w:r w:rsidRPr="00900411">
        <w:rPr>
          <w:rStyle w:val="default"/>
          <w:rFonts w:cs="FrankRuehl"/>
          <w:rtl/>
        </w:rPr>
        <w:t>(1)</w:t>
      </w:r>
      <w:r w:rsidRPr="00900411">
        <w:rPr>
          <w:rStyle w:val="default"/>
          <w:rFonts w:cs="FrankRuehl"/>
          <w:rtl/>
        </w:rPr>
        <w:tab/>
        <w:t>נכסים או התחי</w:t>
      </w:r>
      <w:r w:rsidR="00A67093">
        <w:rPr>
          <w:rStyle w:val="default"/>
          <w:rFonts w:cs="FrankRuehl"/>
          <w:rtl/>
        </w:rPr>
        <w:t>יבויות שנרכשו או נוצרו בדולרים –</w:t>
      </w:r>
    </w:p>
    <w:p w14:paraId="4F198A57"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(א)</w:t>
      </w:r>
      <w:r w:rsidRPr="00900411">
        <w:rPr>
          <w:rStyle w:val="default"/>
          <w:rFonts w:cs="FrankRuehl"/>
          <w:rtl/>
        </w:rPr>
        <w:tab/>
        <w:t xml:space="preserve">נכסים </w:t>
      </w:r>
      <w:r w:rsidR="007F1DC1">
        <w:rPr>
          <w:rStyle w:val="default"/>
          <w:rFonts w:cs="FrankRuehl"/>
          <w:rtl/>
        </w:rPr>
        <w:t>–</w:t>
      </w:r>
      <w:r w:rsidR="00A67093">
        <w:rPr>
          <w:rStyle w:val="default"/>
          <w:rFonts w:cs="FrankRuehl" w:hint="cs"/>
          <w:rtl/>
        </w:rPr>
        <w:t xml:space="preserve"> </w:t>
      </w:r>
      <w:r w:rsidRPr="00900411">
        <w:rPr>
          <w:rStyle w:val="default"/>
          <w:rFonts w:cs="FrankRuehl"/>
          <w:rtl/>
        </w:rPr>
        <w:t>לפי מחיר העלות שלהם בדולרים;</w:t>
      </w:r>
    </w:p>
    <w:p w14:paraId="21DD0AC4"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(ב)</w:t>
      </w:r>
      <w:r w:rsidRPr="00900411">
        <w:rPr>
          <w:rStyle w:val="default"/>
          <w:rFonts w:cs="FrankRuehl"/>
          <w:rtl/>
        </w:rPr>
        <w:tab/>
        <w:t xml:space="preserve">התחייבויות </w:t>
      </w:r>
      <w:r w:rsidR="007F1DC1">
        <w:rPr>
          <w:rStyle w:val="default"/>
          <w:rFonts w:cs="FrankRuehl"/>
          <w:rtl/>
        </w:rPr>
        <w:t>–</w:t>
      </w:r>
      <w:r w:rsidR="00A67093">
        <w:rPr>
          <w:rStyle w:val="default"/>
          <w:rFonts w:cs="FrankRuehl" w:hint="cs"/>
          <w:rtl/>
        </w:rPr>
        <w:t xml:space="preserve"> </w:t>
      </w:r>
      <w:r w:rsidRPr="00900411">
        <w:rPr>
          <w:rStyle w:val="default"/>
          <w:rFonts w:cs="FrankRuehl"/>
          <w:rtl/>
        </w:rPr>
        <w:t>על יסוד סכומם המקורי בדולרים;</w:t>
      </w:r>
    </w:p>
    <w:p w14:paraId="37F2CEE8" w14:textId="77777777" w:rsidR="001020ED" w:rsidRDefault="001020ED" w:rsidP="007F1DC1">
      <w:pPr>
        <w:pStyle w:val="P22"/>
        <w:tabs>
          <w:tab w:val="left" w:pos="624"/>
          <w:tab w:val="left" w:pos="1021"/>
        </w:tabs>
        <w:spacing w:before="72"/>
        <w:ind w:left="624" w:right="1134"/>
        <w:rPr>
          <w:rStyle w:val="default"/>
          <w:rFonts w:cs="FrankRuehl" w:hint="cs"/>
          <w:rtl/>
        </w:rPr>
      </w:pPr>
      <w:r w:rsidRPr="00900411">
        <w:rPr>
          <w:rStyle w:val="default"/>
          <w:rFonts w:cs="FrankRuehl"/>
          <w:rtl/>
        </w:rPr>
        <w:t>(2)</w:t>
      </w:r>
      <w:r w:rsidRPr="00900411">
        <w:rPr>
          <w:rStyle w:val="default"/>
          <w:rFonts w:cs="FrankRuehl"/>
          <w:rtl/>
        </w:rPr>
        <w:tab/>
        <w:t>נכסים והתחייב</w:t>
      </w:r>
      <w:r w:rsidR="00A67093">
        <w:rPr>
          <w:rStyle w:val="default"/>
          <w:rFonts w:cs="FrankRuehl"/>
          <w:rtl/>
        </w:rPr>
        <w:t>ויות שנרכשו או נוצרו במטבע אחר –</w:t>
      </w:r>
    </w:p>
    <w:p w14:paraId="78F85B9E"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(א)</w:t>
      </w:r>
      <w:r w:rsidRPr="00900411">
        <w:rPr>
          <w:rStyle w:val="default"/>
          <w:rFonts w:cs="FrankRuehl"/>
          <w:rtl/>
        </w:rPr>
        <w:tab/>
        <w:t xml:space="preserve">נכסים קבועים, השקעות ומלאי עסקי </w:t>
      </w:r>
      <w:r w:rsidR="007F1DC1">
        <w:rPr>
          <w:rStyle w:val="default"/>
          <w:rFonts w:cs="FrankRuehl"/>
          <w:rtl/>
        </w:rPr>
        <w:t>–</w:t>
      </w:r>
      <w:r w:rsidR="00A67093">
        <w:rPr>
          <w:rStyle w:val="default"/>
          <w:rFonts w:cs="FrankRuehl" w:hint="cs"/>
          <w:rtl/>
        </w:rPr>
        <w:t xml:space="preserve"> </w:t>
      </w:r>
      <w:r w:rsidRPr="00900411">
        <w:rPr>
          <w:rStyle w:val="default"/>
          <w:rFonts w:cs="FrankRuehl"/>
          <w:rtl/>
        </w:rPr>
        <w:t>לפי מחיר העלות שלהם במטבע אחר כשהוא מתורגם לפי שער הדולר ביום רכישתם או היווצרם;</w:t>
      </w:r>
    </w:p>
    <w:p w14:paraId="6ADFA539"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(ב)</w:t>
      </w:r>
      <w:r w:rsidRPr="00900411">
        <w:rPr>
          <w:rStyle w:val="default"/>
          <w:rFonts w:cs="FrankRuehl"/>
          <w:rtl/>
        </w:rPr>
        <w:tab/>
        <w:t xml:space="preserve">נכסים והתחייבויות אחרים </w:t>
      </w:r>
      <w:r w:rsidR="007F1DC1">
        <w:rPr>
          <w:rStyle w:val="default"/>
          <w:rFonts w:cs="FrankRuehl"/>
          <w:rtl/>
        </w:rPr>
        <w:t>–</w:t>
      </w:r>
      <w:r w:rsidR="00A67093">
        <w:rPr>
          <w:rStyle w:val="default"/>
          <w:rFonts w:cs="FrankRuehl" w:hint="cs"/>
          <w:rtl/>
        </w:rPr>
        <w:t xml:space="preserve"> </w:t>
      </w:r>
      <w:r w:rsidRPr="00900411">
        <w:rPr>
          <w:rStyle w:val="default"/>
          <w:rFonts w:cs="FrankRuehl"/>
          <w:rtl/>
        </w:rPr>
        <w:t>לפי שער הדולר ביום תחילת ניהול הפנקסים;</w:t>
      </w:r>
    </w:p>
    <w:p w14:paraId="20D25A0B" w14:textId="77777777" w:rsidR="001020ED" w:rsidRPr="00900411" w:rsidRDefault="001020ED" w:rsidP="007F1DC1">
      <w:pPr>
        <w:pStyle w:val="P22"/>
        <w:tabs>
          <w:tab w:val="left" w:pos="624"/>
          <w:tab w:val="left" w:pos="1021"/>
        </w:tabs>
        <w:spacing w:before="72"/>
        <w:ind w:left="624" w:right="1134"/>
        <w:rPr>
          <w:rStyle w:val="default"/>
          <w:rFonts w:cs="FrankRuehl"/>
          <w:rtl/>
        </w:rPr>
      </w:pPr>
      <w:r w:rsidRPr="00900411">
        <w:rPr>
          <w:rStyle w:val="default"/>
          <w:rFonts w:cs="FrankRuehl"/>
          <w:rtl/>
        </w:rPr>
        <w:t>(3)</w:t>
      </w:r>
      <w:r w:rsidRPr="00900411">
        <w:rPr>
          <w:rStyle w:val="default"/>
          <w:rFonts w:cs="FrankRuehl"/>
          <w:rtl/>
        </w:rPr>
        <w:tab/>
        <w:t xml:space="preserve">לענין תקנה זו, "מחיר העלות" </w:t>
      </w:r>
      <w:r w:rsidR="007F1DC1">
        <w:rPr>
          <w:rStyle w:val="default"/>
          <w:rFonts w:cs="FrankRuehl"/>
          <w:rtl/>
        </w:rPr>
        <w:t>–</w:t>
      </w:r>
      <w:r w:rsidR="00A67093">
        <w:rPr>
          <w:rStyle w:val="default"/>
          <w:rFonts w:cs="FrankRuehl" w:hint="cs"/>
          <w:rtl/>
        </w:rPr>
        <w:t xml:space="preserve"> </w:t>
      </w:r>
      <w:r w:rsidRPr="00900411">
        <w:rPr>
          <w:rStyle w:val="default"/>
          <w:rFonts w:cs="FrankRuehl"/>
          <w:rtl/>
        </w:rPr>
        <w:t>המחיר האמור לפי מסמכי הקניה; לא ניתן לקבוע את המחיר כאמור, יירשם מחיר העלות לפי הערכת היהלומן.</w:t>
      </w:r>
    </w:p>
    <w:p w14:paraId="40D525D9" w14:textId="77777777" w:rsidR="001020ED" w:rsidRPr="00900411" w:rsidRDefault="001020ED" w:rsidP="00A67093">
      <w:pPr>
        <w:pStyle w:val="P00"/>
        <w:spacing w:before="72"/>
        <w:ind w:left="0" w:right="1134"/>
        <w:rPr>
          <w:rStyle w:val="default"/>
          <w:rFonts w:cs="FrankRuehl"/>
          <w:rtl/>
        </w:rPr>
      </w:pPr>
      <w:bookmarkStart w:id="2" w:name="Seif3"/>
      <w:bookmarkEnd w:id="2"/>
      <w:r w:rsidRPr="00900411">
        <w:rPr>
          <w:rFonts w:cs="Miriam"/>
          <w:lang w:val="he-IL"/>
        </w:rPr>
        <w:pict w14:anchorId="3B8972FC">
          <v:rect id="_x0000_s1028" style="position:absolute;left:0;text-align:left;margin-left:464.5pt;margin-top:8.05pt;width:75.05pt;height:15.2pt;z-index:251654144" o:allowincell="f" filled="f" stroked="f" strokecolor="lime" strokeweight=".25pt">
            <v:textbox style="mso-next-textbox:#_x0000_s1028" inset="0,0,0,0">
              <w:txbxContent>
                <w:p w14:paraId="3B70E92B" w14:textId="77777777" w:rsidR="001020ED" w:rsidRDefault="001020ED">
                  <w:pPr>
                    <w:spacing w:line="160" w:lineRule="exact"/>
                    <w:rPr>
                      <w:rFonts w:cs="Miriam"/>
                      <w:noProof/>
                      <w:sz w:val="18"/>
                      <w:szCs w:val="18"/>
                      <w:rtl/>
                    </w:rPr>
                  </w:pPr>
                  <w:r>
                    <w:rPr>
                      <w:rFonts w:cs="Miriam"/>
                      <w:sz w:val="18"/>
                      <w:szCs w:val="18"/>
                      <w:rtl/>
                    </w:rPr>
                    <w:t>רי</w:t>
                  </w:r>
                  <w:r>
                    <w:rPr>
                      <w:rFonts w:cs="Miriam" w:hint="cs"/>
                      <w:sz w:val="18"/>
                      <w:szCs w:val="18"/>
                      <w:rtl/>
                    </w:rPr>
                    <w:t>שום ותרגום</w:t>
                  </w:r>
                </w:p>
              </w:txbxContent>
            </v:textbox>
            <w10:anchorlock/>
          </v:rect>
        </w:pict>
      </w:r>
      <w:r w:rsidRPr="00900411">
        <w:rPr>
          <w:rStyle w:val="big-number"/>
          <w:rFonts w:cs="Miriam"/>
          <w:rtl/>
        </w:rPr>
        <w:t>3</w:t>
      </w:r>
      <w:r w:rsidRPr="00900411">
        <w:rPr>
          <w:rStyle w:val="big-number"/>
          <w:rFonts w:cs="FrankRuehl"/>
          <w:rtl/>
        </w:rPr>
        <w:t>.</w:t>
      </w:r>
      <w:r w:rsidRPr="00900411">
        <w:rPr>
          <w:rStyle w:val="big-number"/>
          <w:rFonts w:cs="FrankRuehl"/>
          <w:rtl/>
        </w:rPr>
        <w:tab/>
      </w:r>
      <w:r w:rsidRPr="00900411">
        <w:rPr>
          <w:rStyle w:val="default"/>
          <w:rFonts w:cs="FrankRuehl"/>
          <w:rtl/>
        </w:rPr>
        <w:t>יהלומן ינהל את פנקסי חשבונות עסקו ביהלומים בדולרים, ובכפוף לאמור בתקנות אלה תירשם כל פעולה שנעשתה במטבע אחר כשהיא מתורגמת לשער הדולר של היום שבו נעשתה.</w:t>
      </w:r>
    </w:p>
    <w:p w14:paraId="4C19C51B" w14:textId="77777777" w:rsidR="001020ED" w:rsidRPr="00900411" w:rsidRDefault="001020ED">
      <w:pPr>
        <w:pStyle w:val="P00"/>
        <w:spacing w:before="72"/>
        <w:ind w:left="0" w:right="1134"/>
        <w:rPr>
          <w:rStyle w:val="default"/>
          <w:rFonts w:cs="FrankRuehl"/>
          <w:rtl/>
        </w:rPr>
      </w:pPr>
      <w:bookmarkStart w:id="3" w:name="Seif4"/>
      <w:bookmarkEnd w:id="3"/>
      <w:r w:rsidRPr="00900411">
        <w:rPr>
          <w:rFonts w:cs="Miriam"/>
          <w:lang w:val="he-IL"/>
        </w:rPr>
        <w:pict w14:anchorId="230CFFD2">
          <v:rect id="_x0000_s1029" style="position:absolute;left:0;text-align:left;margin-left:464.5pt;margin-top:8.05pt;width:75.05pt;height:27.1pt;z-index:251655168" o:allowincell="f" filled="f" stroked="f" strokecolor="lime" strokeweight=".25pt">
            <v:textbox style="mso-next-textbox:#_x0000_s1029" inset="0,0,0,0">
              <w:txbxContent>
                <w:p w14:paraId="2C9B544A" w14:textId="77777777" w:rsidR="001020ED" w:rsidRDefault="001020ED">
                  <w:pPr>
                    <w:spacing w:line="160" w:lineRule="exact"/>
                    <w:rPr>
                      <w:rFonts w:cs="Miriam"/>
                      <w:noProof/>
                      <w:sz w:val="18"/>
                      <w:szCs w:val="18"/>
                      <w:rtl/>
                    </w:rPr>
                  </w:pPr>
                  <w:r>
                    <w:rPr>
                      <w:rFonts w:cs="Miriam"/>
                      <w:sz w:val="18"/>
                      <w:szCs w:val="18"/>
                      <w:rtl/>
                    </w:rPr>
                    <w:t>די</w:t>
                  </w:r>
                  <w:r>
                    <w:rPr>
                      <w:rFonts w:cs="Miriam" w:hint="cs"/>
                      <w:sz w:val="18"/>
                      <w:szCs w:val="18"/>
                      <w:rtl/>
                    </w:rPr>
                    <w:t>ן הכנסות והוצאות הנובעות מתרגום</w:t>
                  </w:r>
                </w:p>
              </w:txbxContent>
            </v:textbox>
            <w10:anchorlock/>
          </v:rect>
        </w:pict>
      </w:r>
      <w:r w:rsidRPr="00900411">
        <w:rPr>
          <w:rStyle w:val="big-number"/>
          <w:rFonts w:cs="Miriam"/>
          <w:rtl/>
        </w:rPr>
        <w:t>4</w:t>
      </w:r>
      <w:r w:rsidRPr="00900411">
        <w:rPr>
          <w:rStyle w:val="big-number"/>
          <w:rFonts w:cs="FrankRuehl"/>
          <w:rtl/>
        </w:rPr>
        <w:t>.</w:t>
      </w:r>
      <w:r w:rsidRPr="00900411">
        <w:rPr>
          <w:rStyle w:val="big-number"/>
          <w:rFonts w:cs="FrankRuehl"/>
          <w:rtl/>
        </w:rPr>
        <w:tab/>
      </w:r>
      <w:r w:rsidRPr="00900411">
        <w:rPr>
          <w:rStyle w:val="default"/>
          <w:rFonts w:cs="FrankRuehl"/>
          <w:rtl/>
        </w:rPr>
        <w:t>(א)</w:t>
      </w:r>
      <w:r w:rsidRPr="00900411">
        <w:rPr>
          <w:rStyle w:val="default"/>
          <w:rFonts w:cs="FrankRuehl"/>
          <w:rtl/>
        </w:rPr>
        <w:tab/>
        <w:t>יתרות של פעולות מימון עסקיות שנעשו במטבע אחר יתורגמו לפי שער הדולר של היום האחרון של שנת המס שבה נעשו.</w:t>
      </w:r>
    </w:p>
    <w:p w14:paraId="13AB7D65"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(ב)</w:t>
      </w:r>
      <w:r w:rsidRPr="00900411">
        <w:rPr>
          <w:rStyle w:val="default"/>
          <w:rFonts w:cs="FrankRuehl"/>
          <w:rtl/>
        </w:rPr>
        <w:tab/>
        <w:t>עודף בדולרים הנובע מתרגום פעולות מימון עסקיות, יראוהו כהכנסה, וגרעון בדולרים הנובע מתרגום כאמור, יראוהו כהוצאה.</w:t>
      </w:r>
    </w:p>
    <w:p w14:paraId="34F64457"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(ג)</w:t>
      </w:r>
      <w:r w:rsidRPr="00900411">
        <w:rPr>
          <w:rStyle w:val="default"/>
          <w:rFonts w:cs="FrankRuehl"/>
          <w:rtl/>
        </w:rPr>
        <w:tab/>
        <w:t>הפרשי הצמדה מפעולות מימון עסקיות בגובה השינויים בשער הדולר לעומת השקל, לא ייחשבו כהכנסה או כהוצאה.</w:t>
      </w:r>
    </w:p>
    <w:p w14:paraId="66A87D5E" w14:textId="77777777" w:rsidR="001020ED" w:rsidRPr="00900411" w:rsidRDefault="001020ED">
      <w:pPr>
        <w:pStyle w:val="P00"/>
        <w:spacing w:before="72"/>
        <w:ind w:left="0" w:right="1134"/>
        <w:rPr>
          <w:rStyle w:val="default"/>
          <w:rFonts w:cs="FrankRuehl"/>
          <w:rtl/>
        </w:rPr>
      </w:pPr>
      <w:bookmarkStart w:id="4" w:name="Seif5"/>
      <w:bookmarkEnd w:id="4"/>
      <w:r w:rsidRPr="00900411">
        <w:rPr>
          <w:rFonts w:cs="Miriam"/>
          <w:lang w:val="he-IL"/>
        </w:rPr>
        <w:pict w14:anchorId="44BEDFB3">
          <v:rect id="_x0000_s1030" style="position:absolute;left:0;text-align:left;margin-left:464.5pt;margin-top:8.05pt;width:75.05pt;height:24.4pt;z-index:251656192" o:allowincell="f" filled="f" stroked="f" strokecolor="lime" strokeweight=".25pt">
            <v:textbox style="mso-next-textbox:#_x0000_s1030" inset="0,0,0,0">
              <w:txbxContent>
                <w:p w14:paraId="600EE7E5" w14:textId="77777777" w:rsidR="001020ED" w:rsidRDefault="001020ED">
                  <w:pPr>
                    <w:spacing w:line="160" w:lineRule="exact"/>
                    <w:rPr>
                      <w:rFonts w:cs="Miriam"/>
                      <w:noProof/>
                      <w:sz w:val="18"/>
                      <w:szCs w:val="18"/>
                      <w:rtl/>
                    </w:rPr>
                  </w:pPr>
                  <w:r>
                    <w:rPr>
                      <w:rFonts w:cs="Miriam"/>
                      <w:sz w:val="18"/>
                      <w:szCs w:val="18"/>
                      <w:rtl/>
                    </w:rPr>
                    <w:t>תר</w:t>
                  </w:r>
                  <w:r>
                    <w:rPr>
                      <w:rFonts w:cs="Miriam" w:hint="cs"/>
                      <w:sz w:val="18"/>
                      <w:szCs w:val="18"/>
                      <w:rtl/>
                    </w:rPr>
                    <w:t>גום הוצאות</w:t>
                  </w:r>
                </w:p>
                <w:p w14:paraId="36E31D39" w14:textId="77777777" w:rsidR="001020ED" w:rsidRDefault="001020ED">
                  <w:pPr>
                    <w:spacing w:line="160" w:lineRule="exact"/>
                    <w:rPr>
                      <w:rFonts w:cs="Miriam" w:hint="cs"/>
                      <w:noProof/>
                      <w:sz w:val="18"/>
                      <w:szCs w:val="18"/>
                      <w:rtl/>
                    </w:rPr>
                  </w:pPr>
                  <w:r>
                    <w:rPr>
                      <w:rFonts w:cs="Miriam"/>
                      <w:sz w:val="18"/>
                      <w:szCs w:val="18"/>
                      <w:rtl/>
                    </w:rPr>
                    <w:t>תק</w:t>
                  </w:r>
                  <w:r>
                    <w:rPr>
                      <w:rFonts w:cs="Miriam" w:hint="cs"/>
                      <w:sz w:val="18"/>
                      <w:szCs w:val="18"/>
                      <w:rtl/>
                    </w:rPr>
                    <w:t>'</w:t>
                  </w:r>
                  <w:r w:rsidR="00A67093">
                    <w:rPr>
                      <w:rFonts w:cs="Miriam" w:hint="cs"/>
                      <w:sz w:val="18"/>
                      <w:szCs w:val="18"/>
                      <w:rtl/>
                    </w:rPr>
                    <w:t xml:space="preserve"> </w:t>
                  </w:r>
                  <w:r>
                    <w:rPr>
                      <w:rFonts w:cs="Miriam" w:hint="cs"/>
                      <w:sz w:val="18"/>
                      <w:szCs w:val="18"/>
                      <w:rtl/>
                    </w:rPr>
                    <w:t>תשמ"ב</w:t>
                  </w:r>
                  <w:r w:rsidR="00A67093">
                    <w:rPr>
                      <w:rFonts w:cs="Miriam" w:hint="cs"/>
                      <w:sz w:val="18"/>
                      <w:szCs w:val="18"/>
                      <w:rtl/>
                    </w:rPr>
                    <w:t>-</w:t>
                  </w:r>
                  <w:r w:rsidR="00A67093">
                    <w:rPr>
                      <w:rFonts w:cs="Miriam"/>
                      <w:sz w:val="18"/>
                      <w:szCs w:val="18"/>
                      <w:rtl/>
                    </w:rPr>
                    <w:t>1982</w:t>
                  </w:r>
                </w:p>
              </w:txbxContent>
            </v:textbox>
            <w10:anchorlock/>
          </v:rect>
        </w:pict>
      </w:r>
      <w:r w:rsidRPr="00900411">
        <w:rPr>
          <w:rStyle w:val="big-number"/>
          <w:rFonts w:cs="Miriam"/>
          <w:rtl/>
        </w:rPr>
        <w:t>5</w:t>
      </w:r>
      <w:r w:rsidRPr="00900411">
        <w:rPr>
          <w:rStyle w:val="big-number"/>
          <w:rFonts w:cs="FrankRuehl"/>
          <w:rtl/>
        </w:rPr>
        <w:t>.</w:t>
      </w:r>
      <w:r w:rsidRPr="00900411">
        <w:rPr>
          <w:rStyle w:val="big-number"/>
          <w:rFonts w:cs="FrankRuehl"/>
          <w:rtl/>
        </w:rPr>
        <w:tab/>
      </w:r>
      <w:r w:rsidRPr="00900411">
        <w:rPr>
          <w:rStyle w:val="default"/>
          <w:rFonts w:cs="FrankRuehl"/>
          <w:rtl/>
        </w:rPr>
        <w:t>(א)</w:t>
      </w:r>
      <w:r w:rsidRPr="00900411">
        <w:rPr>
          <w:rStyle w:val="default"/>
          <w:rFonts w:cs="FrankRuehl"/>
          <w:rtl/>
        </w:rPr>
        <w:tab/>
        <w:t xml:space="preserve">הוצאה בעסקו של יהלומן, ששולמה במטבע אחר, גם אם מקורו של אותו מטבע בדולרים שהומרו, רשאי הוא לתרגמה לשער הדולר של יום ד' בשבוע שבו נעשתה, או לפי בחירתו, לתרגמה לשער הדולר של היום שבו נעשתה, ובלבד שמשבחר באחת הדרכים יהא חייב </w:t>
      </w:r>
      <w:r w:rsidRPr="00900411">
        <w:rPr>
          <w:rStyle w:val="default"/>
          <w:rFonts w:cs="FrankRuehl"/>
          <w:rtl/>
        </w:rPr>
        <w:lastRenderedPageBreak/>
        <w:t>לתרגם את ההוצאות על פיה עד תום אותה שנת מס.</w:t>
      </w:r>
    </w:p>
    <w:p w14:paraId="68DE6F17" w14:textId="77777777" w:rsidR="001020ED" w:rsidRDefault="001020ED">
      <w:pPr>
        <w:pStyle w:val="P00"/>
        <w:spacing w:before="72"/>
        <w:ind w:left="0" w:right="1134"/>
        <w:rPr>
          <w:rStyle w:val="default"/>
          <w:rFonts w:cs="FrankRuehl" w:hint="cs"/>
          <w:rtl/>
        </w:rPr>
      </w:pPr>
      <w:r w:rsidRPr="00900411">
        <w:rPr>
          <w:rFonts w:cs="FrankRuehl"/>
          <w:sz w:val="26"/>
          <w:rtl/>
        </w:rPr>
        <w:tab/>
      </w:r>
      <w:r w:rsidRPr="00900411">
        <w:rPr>
          <w:rStyle w:val="default"/>
          <w:rFonts w:cs="FrankRuehl"/>
          <w:rtl/>
        </w:rPr>
        <w:t>(ב)</w:t>
      </w:r>
      <w:r w:rsidRPr="00900411">
        <w:rPr>
          <w:rStyle w:val="default"/>
          <w:rFonts w:cs="FrankRuehl"/>
          <w:rtl/>
        </w:rPr>
        <w:tab/>
        <w:t>הפרשים כתוצאה מתרגום כאמור בתקנת משנה (א) לא ייחשבו כהכנסה או כהוצאה.</w:t>
      </w:r>
    </w:p>
    <w:p w14:paraId="3858AD6F" w14:textId="77777777" w:rsidR="00900411" w:rsidRPr="007F1DC1" w:rsidRDefault="00900411" w:rsidP="00900411">
      <w:pPr>
        <w:pStyle w:val="P00"/>
        <w:tabs>
          <w:tab w:val="clear" w:pos="6259"/>
        </w:tabs>
        <w:spacing w:before="0"/>
        <w:ind w:left="0" w:right="1134"/>
        <w:rPr>
          <w:rFonts w:cs="FrankRuehl" w:hint="cs"/>
          <w:vanish/>
          <w:szCs w:val="20"/>
          <w:shd w:val="clear" w:color="auto" w:fill="FFFF99"/>
          <w:rtl/>
        </w:rPr>
      </w:pPr>
      <w:bookmarkStart w:id="5" w:name="Rov15"/>
      <w:r w:rsidRPr="007F1DC1">
        <w:rPr>
          <w:rFonts w:cs="FrankRuehl" w:hint="cs"/>
          <w:vanish/>
          <w:color w:val="FF0000"/>
          <w:szCs w:val="20"/>
          <w:shd w:val="clear" w:color="auto" w:fill="FFFF99"/>
          <w:rtl/>
        </w:rPr>
        <w:t>מיום 1.11.1980</w:t>
      </w:r>
    </w:p>
    <w:p w14:paraId="3D023A44" w14:textId="77777777" w:rsidR="00900411" w:rsidRPr="007F1DC1" w:rsidRDefault="00900411" w:rsidP="00900411">
      <w:pPr>
        <w:pStyle w:val="P00"/>
        <w:spacing w:before="0"/>
        <w:ind w:left="0" w:right="1134"/>
        <w:rPr>
          <w:rFonts w:cs="FrankRuehl" w:hint="cs"/>
          <w:b/>
          <w:bCs/>
          <w:vanish/>
          <w:szCs w:val="20"/>
          <w:shd w:val="clear" w:color="auto" w:fill="FFFF99"/>
          <w:rtl/>
        </w:rPr>
      </w:pPr>
      <w:r w:rsidRPr="007F1DC1">
        <w:rPr>
          <w:rFonts w:cs="FrankRuehl" w:hint="cs"/>
          <w:b/>
          <w:bCs/>
          <w:vanish/>
          <w:szCs w:val="20"/>
          <w:shd w:val="clear" w:color="auto" w:fill="FFFF99"/>
          <w:rtl/>
        </w:rPr>
        <w:t>תק' תשמ"ב-1982</w:t>
      </w:r>
    </w:p>
    <w:p w14:paraId="19820C5C" w14:textId="77777777" w:rsidR="00900411" w:rsidRPr="007F1DC1" w:rsidRDefault="00900411" w:rsidP="00900411">
      <w:pPr>
        <w:pStyle w:val="P00"/>
        <w:spacing w:before="0"/>
        <w:ind w:left="0" w:right="1134"/>
        <w:rPr>
          <w:rFonts w:cs="FrankRuehl" w:hint="cs"/>
          <w:vanish/>
          <w:szCs w:val="20"/>
          <w:shd w:val="clear" w:color="auto" w:fill="FFFF99"/>
          <w:rtl/>
        </w:rPr>
      </w:pPr>
      <w:hyperlink r:id="rId7" w:history="1">
        <w:r w:rsidRPr="007F1DC1">
          <w:rPr>
            <w:rStyle w:val="Hyperlink"/>
            <w:rFonts w:cs="FrankRuehl" w:hint="cs"/>
            <w:vanish/>
            <w:szCs w:val="20"/>
            <w:shd w:val="clear" w:color="auto" w:fill="FFFF99"/>
            <w:rtl/>
          </w:rPr>
          <w:t>ק"ת תשמ"ב מס' 4336</w:t>
        </w:r>
      </w:hyperlink>
      <w:r w:rsidRPr="007F1DC1">
        <w:rPr>
          <w:rFonts w:cs="FrankRuehl" w:hint="cs"/>
          <w:vanish/>
          <w:szCs w:val="20"/>
          <w:shd w:val="clear" w:color="auto" w:fill="FFFF99"/>
          <w:rtl/>
        </w:rPr>
        <w:t xml:space="preserve"> מיום 15.4.1982 עמ' 846</w:t>
      </w:r>
    </w:p>
    <w:p w14:paraId="2D20EE1B" w14:textId="77777777" w:rsidR="00900411" w:rsidRPr="00900411" w:rsidRDefault="00900411" w:rsidP="00900411">
      <w:pPr>
        <w:pStyle w:val="P00"/>
        <w:ind w:left="0" w:right="1134"/>
        <w:rPr>
          <w:rStyle w:val="default"/>
          <w:rFonts w:cs="FrankRuehl"/>
          <w:sz w:val="2"/>
          <w:szCs w:val="2"/>
          <w:rtl/>
        </w:rPr>
      </w:pPr>
      <w:r w:rsidRPr="007F1DC1">
        <w:rPr>
          <w:rStyle w:val="big-number"/>
          <w:rFonts w:cs="FrankRuehl"/>
          <w:vanish/>
          <w:sz w:val="22"/>
          <w:szCs w:val="22"/>
          <w:shd w:val="clear" w:color="auto" w:fill="FFFF99"/>
          <w:rtl/>
        </w:rPr>
        <w:tab/>
      </w:r>
      <w:r w:rsidRPr="007F1DC1">
        <w:rPr>
          <w:rStyle w:val="default"/>
          <w:rFonts w:cs="FrankRuehl"/>
          <w:vanish/>
          <w:sz w:val="22"/>
          <w:szCs w:val="22"/>
          <w:shd w:val="clear" w:color="auto" w:fill="FFFF99"/>
          <w:rtl/>
        </w:rPr>
        <w:t>(א)</w:t>
      </w:r>
      <w:r w:rsidRPr="007F1DC1">
        <w:rPr>
          <w:rStyle w:val="default"/>
          <w:rFonts w:cs="FrankRuehl"/>
          <w:vanish/>
          <w:sz w:val="22"/>
          <w:szCs w:val="22"/>
          <w:shd w:val="clear" w:color="auto" w:fill="FFFF99"/>
          <w:rtl/>
        </w:rPr>
        <w:tab/>
        <w:t>הוצאה בעסקו של יהלומן, ששולמה במטבע אחר, גם אם מקורו של אותו מטבע בדולרים שהומרו,</w:t>
      </w:r>
      <w:r w:rsidRPr="007F1DC1">
        <w:rPr>
          <w:rStyle w:val="default"/>
          <w:rFonts w:cs="FrankRuehl" w:hint="cs"/>
          <w:vanish/>
          <w:sz w:val="22"/>
          <w:szCs w:val="22"/>
          <w:shd w:val="clear" w:color="auto" w:fill="FFFF99"/>
          <w:rtl/>
        </w:rPr>
        <w:t xml:space="preserve"> </w:t>
      </w:r>
      <w:r w:rsidRPr="007F1DC1">
        <w:rPr>
          <w:rStyle w:val="default"/>
          <w:rFonts w:cs="FrankRuehl" w:hint="cs"/>
          <w:strike/>
          <w:vanish/>
          <w:sz w:val="22"/>
          <w:szCs w:val="22"/>
          <w:shd w:val="clear" w:color="auto" w:fill="FFFF99"/>
          <w:rtl/>
        </w:rPr>
        <w:t>תתורגם</w:t>
      </w:r>
      <w:r w:rsidRPr="007F1DC1">
        <w:rPr>
          <w:rStyle w:val="default"/>
          <w:rFonts w:cs="FrankRuehl"/>
          <w:vanish/>
          <w:sz w:val="22"/>
          <w:szCs w:val="22"/>
          <w:shd w:val="clear" w:color="auto" w:fill="FFFF99"/>
          <w:rtl/>
        </w:rPr>
        <w:t xml:space="preserve"> </w:t>
      </w:r>
      <w:r w:rsidRPr="007F1DC1">
        <w:rPr>
          <w:rStyle w:val="default"/>
          <w:rFonts w:cs="FrankRuehl"/>
          <w:vanish/>
          <w:sz w:val="22"/>
          <w:szCs w:val="22"/>
          <w:u w:val="single"/>
          <w:shd w:val="clear" w:color="auto" w:fill="FFFF99"/>
          <w:rtl/>
        </w:rPr>
        <w:t>רשאי הוא לתרגמה</w:t>
      </w:r>
      <w:r w:rsidRPr="007F1DC1">
        <w:rPr>
          <w:rStyle w:val="default"/>
          <w:rFonts w:cs="FrankRuehl"/>
          <w:vanish/>
          <w:sz w:val="22"/>
          <w:szCs w:val="22"/>
          <w:shd w:val="clear" w:color="auto" w:fill="FFFF99"/>
          <w:rtl/>
        </w:rPr>
        <w:t xml:space="preserve"> לשער הדולר של יום ד' בשבוע שבו נעשתה</w:t>
      </w:r>
      <w:r w:rsidRPr="007F1DC1">
        <w:rPr>
          <w:rStyle w:val="default"/>
          <w:rFonts w:cs="FrankRuehl"/>
          <w:vanish/>
          <w:sz w:val="22"/>
          <w:szCs w:val="22"/>
          <w:u w:val="single"/>
          <w:shd w:val="clear" w:color="auto" w:fill="FFFF99"/>
          <w:rtl/>
        </w:rPr>
        <w:t>, או לפי בחירתו, לתרגמה לשער הדולר של היום שבו נעשתה, ובלבד שמשבחר באחת הדרכים יהא חייב לתרגם את ההוצאות על פיה עד תום אותה שנת מס</w:t>
      </w:r>
      <w:r w:rsidRPr="007F1DC1">
        <w:rPr>
          <w:rStyle w:val="default"/>
          <w:rFonts w:cs="FrankRuehl"/>
          <w:vanish/>
          <w:sz w:val="22"/>
          <w:szCs w:val="22"/>
          <w:shd w:val="clear" w:color="auto" w:fill="FFFF99"/>
          <w:rtl/>
        </w:rPr>
        <w:t>.</w:t>
      </w:r>
      <w:bookmarkEnd w:id="5"/>
    </w:p>
    <w:p w14:paraId="635B3CA0" w14:textId="77777777" w:rsidR="001020ED" w:rsidRPr="00900411" w:rsidRDefault="001020ED">
      <w:pPr>
        <w:pStyle w:val="P00"/>
        <w:spacing w:before="72"/>
        <w:ind w:left="0" w:right="1134"/>
        <w:rPr>
          <w:rStyle w:val="default"/>
          <w:rFonts w:cs="FrankRuehl"/>
          <w:rtl/>
        </w:rPr>
      </w:pPr>
      <w:bookmarkStart w:id="6" w:name="Seif6"/>
      <w:bookmarkEnd w:id="6"/>
      <w:r w:rsidRPr="00900411">
        <w:rPr>
          <w:rFonts w:cs="Miriam"/>
          <w:lang w:val="he-IL"/>
        </w:rPr>
        <w:pict w14:anchorId="6998A9A5">
          <v:rect id="_x0000_s1031" style="position:absolute;left:0;text-align:left;margin-left:464.5pt;margin-top:8.05pt;width:75.05pt;height:26.65pt;z-index:251657216" o:allowincell="f" filled="f" stroked="f" strokecolor="lime" strokeweight=".25pt">
            <v:textbox style="mso-next-textbox:#_x0000_s1031" inset="0,0,0,0">
              <w:txbxContent>
                <w:p w14:paraId="07C476AA" w14:textId="77777777" w:rsidR="001020ED" w:rsidRDefault="001020ED">
                  <w:pPr>
                    <w:spacing w:line="160" w:lineRule="exact"/>
                    <w:rPr>
                      <w:rFonts w:cs="Miriam"/>
                      <w:noProof/>
                      <w:sz w:val="18"/>
                      <w:szCs w:val="18"/>
                      <w:rtl/>
                    </w:rPr>
                  </w:pPr>
                  <w:r>
                    <w:rPr>
                      <w:rFonts w:cs="Miriam"/>
                      <w:sz w:val="18"/>
                      <w:szCs w:val="18"/>
                      <w:rtl/>
                    </w:rPr>
                    <w:t>קב</w:t>
                  </w:r>
                  <w:r>
                    <w:rPr>
                      <w:rFonts w:cs="Miriam" w:hint="cs"/>
                      <w:sz w:val="18"/>
                      <w:szCs w:val="18"/>
                      <w:rtl/>
                    </w:rPr>
                    <w:t>יעת מחיר מקורי לענין פחת וריווח הון</w:t>
                  </w:r>
                </w:p>
              </w:txbxContent>
            </v:textbox>
            <w10:anchorlock/>
          </v:rect>
        </w:pict>
      </w:r>
      <w:r w:rsidRPr="00900411">
        <w:rPr>
          <w:rStyle w:val="big-number"/>
          <w:rFonts w:cs="Miriam"/>
          <w:rtl/>
        </w:rPr>
        <w:t>6</w:t>
      </w:r>
      <w:r w:rsidRPr="00900411">
        <w:rPr>
          <w:rStyle w:val="big-number"/>
          <w:rFonts w:cs="FrankRuehl"/>
          <w:rtl/>
        </w:rPr>
        <w:t>.</w:t>
      </w:r>
      <w:r w:rsidRPr="00900411">
        <w:rPr>
          <w:rStyle w:val="big-number"/>
          <w:rFonts w:cs="FrankRuehl"/>
          <w:rtl/>
        </w:rPr>
        <w:tab/>
      </w:r>
      <w:r w:rsidRPr="00900411">
        <w:rPr>
          <w:rStyle w:val="default"/>
          <w:rFonts w:cs="FrankRuehl"/>
          <w:rtl/>
        </w:rPr>
        <w:t>(א)</w:t>
      </w:r>
      <w:r w:rsidRPr="00900411">
        <w:rPr>
          <w:rStyle w:val="default"/>
          <w:rFonts w:cs="FrankRuehl"/>
          <w:rtl/>
        </w:rPr>
        <w:tab/>
        <w:t>לענין קביעת סכום פחת וריווח הון מנכסים המשמשים לצרכי ייצור הכנסתו של יהלומן מעסקו ביהלומים, יחושב המחיר המקורי של אותם נכסים בדולרים לפי שער הדולר ביום רכישתם.</w:t>
      </w:r>
    </w:p>
    <w:p w14:paraId="3E31B685"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(ב)</w:t>
      </w:r>
      <w:r w:rsidRPr="00900411">
        <w:rPr>
          <w:rStyle w:val="default"/>
          <w:rFonts w:cs="FrankRuehl"/>
          <w:rtl/>
        </w:rPr>
        <w:tab/>
        <w:t>בחישוב ריווח ההון של יהלומן בעסקו ביהלומים, יראו כל סכום שבו עולה התמורה המתורגמת לדולרים על יתרת המחיר המקורי כאמור בתקנת משנה (א), כריווח הון ריאלי.</w:t>
      </w:r>
    </w:p>
    <w:p w14:paraId="1433D17A"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(ג)</w:t>
      </w:r>
      <w:r w:rsidRPr="00900411">
        <w:rPr>
          <w:rStyle w:val="default"/>
          <w:rFonts w:cs="FrankRuehl"/>
          <w:rtl/>
        </w:rPr>
        <w:tab/>
        <w:t>הוראות תקנת משנה (א) יחולו גם על נכסים שנרכשו לפני תחילתן של תקנות אלה, ולענין זה יראו כאילו נוכה בעדם עד יום תחילתן של תקנות אלה סכום הפחת לפי השיעורים הקבועים על פי הפקודה מהמחיר המקורי כאמור בתקנת משנה (א).</w:t>
      </w:r>
    </w:p>
    <w:p w14:paraId="22F801E6" w14:textId="77777777" w:rsidR="001020ED" w:rsidRPr="00900411" w:rsidRDefault="001020ED" w:rsidP="00A67093">
      <w:pPr>
        <w:pStyle w:val="P00"/>
        <w:spacing w:before="72"/>
        <w:ind w:left="0" w:right="1134"/>
        <w:rPr>
          <w:rStyle w:val="default"/>
          <w:rFonts w:cs="FrankRuehl"/>
          <w:rtl/>
        </w:rPr>
      </w:pPr>
      <w:bookmarkStart w:id="7" w:name="Seif7"/>
      <w:bookmarkEnd w:id="7"/>
      <w:r w:rsidRPr="00900411">
        <w:rPr>
          <w:rFonts w:cs="Miriam"/>
          <w:lang w:val="he-IL"/>
        </w:rPr>
        <w:pict w14:anchorId="20B1140E">
          <v:rect id="_x0000_s1032" style="position:absolute;left:0;text-align:left;margin-left:464.5pt;margin-top:8.05pt;width:75.05pt;height:16.3pt;z-index:251658240" o:allowincell="f" filled="f" stroked="f" strokecolor="lime" strokeweight=".25pt">
            <v:textbox style="mso-next-textbox:#_x0000_s1032" inset="0,0,0,0">
              <w:txbxContent>
                <w:p w14:paraId="4EE746A7" w14:textId="77777777" w:rsidR="001020ED" w:rsidRDefault="001020ED">
                  <w:pPr>
                    <w:spacing w:line="160" w:lineRule="exact"/>
                    <w:rPr>
                      <w:rFonts w:cs="Miriam"/>
                      <w:noProof/>
                      <w:sz w:val="18"/>
                      <w:szCs w:val="18"/>
                      <w:rtl/>
                    </w:rPr>
                  </w:pPr>
                  <w:r>
                    <w:rPr>
                      <w:rFonts w:cs="Miriam"/>
                      <w:sz w:val="18"/>
                      <w:szCs w:val="18"/>
                      <w:rtl/>
                    </w:rPr>
                    <w:t>הפ</w:t>
                  </w:r>
                  <w:r>
                    <w:rPr>
                      <w:rFonts w:cs="Miriam" w:hint="cs"/>
                      <w:sz w:val="18"/>
                      <w:szCs w:val="18"/>
                      <w:rtl/>
                    </w:rPr>
                    <w:t>סדים</w:t>
                  </w:r>
                </w:p>
              </w:txbxContent>
            </v:textbox>
            <w10:anchorlock/>
          </v:rect>
        </w:pict>
      </w:r>
      <w:r w:rsidRPr="00900411">
        <w:rPr>
          <w:rStyle w:val="big-number"/>
          <w:rFonts w:cs="Miriam"/>
          <w:rtl/>
        </w:rPr>
        <w:t>7</w:t>
      </w:r>
      <w:r w:rsidRPr="00900411">
        <w:rPr>
          <w:rStyle w:val="big-number"/>
          <w:rFonts w:cs="FrankRuehl"/>
          <w:rtl/>
        </w:rPr>
        <w:t>.</w:t>
      </w:r>
      <w:r w:rsidRPr="00900411">
        <w:rPr>
          <w:rStyle w:val="big-number"/>
          <w:rFonts w:cs="FrankRuehl"/>
          <w:rtl/>
        </w:rPr>
        <w:tab/>
      </w:r>
      <w:r w:rsidRPr="00900411">
        <w:rPr>
          <w:rStyle w:val="default"/>
          <w:rFonts w:cs="FrankRuehl"/>
          <w:rtl/>
        </w:rPr>
        <w:t>היתה התוצאה מהפעולות בעסקו ביהלומים של היהלומן מורה על הפסד, לא יתורגם הסכום המתקבל לשקלים כאמור בתקנה 8, ויחולו, בכפוף לאמור בסעיפים 28 ו</w:t>
      </w:r>
      <w:r w:rsidR="00A67093">
        <w:rPr>
          <w:rStyle w:val="default"/>
          <w:rFonts w:cs="FrankRuehl" w:hint="cs"/>
          <w:rtl/>
        </w:rPr>
        <w:t>-</w:t>
      </w:r>
      <w:r w:rsidRPr="00900411">
        <w:rPr>
          <w:rStyle w:val="default"/>
          <w:rFonts w:cs="FrankRuehl"/>
          <w:rtl/>
        </w:rPr>
        <w:t>92 לפקודה, לפי הענין, הוראות אלה:</w:t>
      </w:r>
    </w:p>
    <w:p w14:paraId="1F6DA076" w14:textId="77777777" w:rsidR="001020ED" w:rsidRDefault="00A67093" w:rsidP="007F1DC1">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לגבי הפסד מפעולות עסקיות –</w:t>
      </w:r>
    </w:p>
    <w:p w14:paraId="4BB1826B"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(א)</w:t>
      </w:r>
      <w:r w:rsidRPr="00900411">
        <w:rPr>
          <w:rStyle w:val="default"/>
          <w:rFonts w:cs="FrankRuehl"/>
          <w:rtl/>
        </w:rPr>
        <w:tab/>
        <w:t>אם קוזז סכום ההפסד כנגד הכנסה מעסק ביהלומים בשנת מס פלונית, ייכלל סכום ההפסד הרשום בדולרים באותה שנת מס כהוצאה בחישוב הפעולות העסקיות כאמור בתקנה 8;</w:t>
      </w:r>
    </w:p>
    <w:p w14:paraId="73E51B82"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(ב)</w:t>
      </w:r>
      <w:r w:rsidRPr="00900411">
        <w:rPr>
          <w:rStyle w:val="default"/>
          <w:rFonts w:cs="FrankRuehl"/>
          <w:rtl/>
        </w:rPr>
        <w:tab/>
        <w:t xml:space="preserve">אם קוזז סכום ההפסד כנגד הכנסה שלא מעסק ביהלומים, יחושב ההפסד בשקלים לפי השער הממוצע של הדולר בשנת המס שבה נעשה הקיזוז; לענין זה, שער ממוצע </w:t>
      </w:r>
      <w:r w:rsidR="007F1DC1">
        <w:rPr>
          <w:rStyle w:val="default"/>
          <w:rFonts w:cs="FrankRuehl"/>
          <w:rtl/>
        </w:rPr>
        <w:t>–</w:t>
      </w:r>
      <w:r w:rsidRPr="00900411">
        <w:rPr>
          <w:rStyle w:val="default"/>
          <w:rFonts w:cs="FrankRuehl"/>
          <w:rtl/>
        </w:rPr>
        <w:t xml:space="preserve"> סכום שער הדולר ביחס לשקל בתחילת שנת המס בצירוף סכומו בסופה, מחולק בשניים;</w:t>
      </w:r>
    </w:p>
    <w:p w14:paraId="375D45DC" w14:textId="77777777" w:rsidR="001020ED" w:rsidRDefault="001020ED" w:rsidP="007F1DC1">
      <w:pPr>
        <w:pStyle w:val="P22"/>
        <w:tabs>
          <w:tab w:val="left" w:pos="624"/>
          <w:tab w:val="left" w:pos="1021"/>
        </w:tabs>
        <w:spacing w:before="72"/>
        <w:ind w:left="624" w:right="1134"/>
        <w:rPr>
          <w:rStyle w:val="default"/>
          <w:rFonts w:cs="FrankRuehl" w:hint="cs"/>
          <w:rtl/>
        </w:rPr>
      </w:pPr>
      <w:r w:rsidRPr="00900411">
        <w:rPr>
          <w:rStyle w:val="default"/>
          <w:rFonts w:cs="FrankRuehl"/>
          <w:rtl/>
        </w:rPr>
        <w:t>(</w:t>
      </w:r>
      <w:r w:rsidR="00A67093">
        <w:rPr>
          <w:rStyle w:val="default"/>
          <w:rFonts w:cs="FrankRuehl"/>
          <w:rtl/>
        </w:rPr>
        <w:t>2)</w:t>
      </w:r>
      <w:r w:rsidR="00A67093">
        <w:rPr>
          <w:rStyle w:val="default"/>
          <w:rFonts w:cs="FrankRuehl"/>
          <w:rtl/>
        </w:rPr>
        <w:tab/>
        <w:t>לגבי הפסד הון בעסק ביהלומים –</w:t>
      </w:r>
    </w:p>
    <w:p w14:paraId="104DD7AD"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(א)</w:t>
      </w:r>
      <w:r w:rsidRPr="00900411">
        <w:rPr>
          <w:rStyle w:val="default"/>
          <w:rFonts w:cs="FrankRuehl"/>
          <w:rtl/>
        </w:rPr>
        <w:tab/>
        <w:t>אם קוזז סכום ההפסד כנגד ריווח הון בעסק ביהלומים, ייעשה הקיזוז בדולרים;</w:t>
      </w:r>
    </w:p>
    <w:p w14:paraId="1557B7A8" w14:textId="77777777" w:rsidR="001020ED" w:rsidRPr="00900411" w:rsidRDefault="001020ED" w:rsidP="007F1DC1">
      <w:pPr>
        <w:pStyle w:val="P33"/>
        <w:tabs>
          <w:tab w:val="left" w:pos="624"/>
          <w:tab w:val="left" w:pos="1021"/>
          <w:tab w:val="left" w:pos="1474"/>
        </w:tabs>
        <w:spacing w:before="72"/>
        <w:ind w:left="1021" w:right="1134"/>
        <w:rPr>
          <w:rStyle w:val="default"/>
          <w:rFonts w:cs="FrankRuehl"/>
          <w:rtl/>
        </w:rPr>
      </w:pPr>
      <w:r w:rsidRPr="00900411">
        <w:rPr>
          <w:rStyle w:val="default"/>
          <w:rFonts w:cs="FrankRuehl"/>
          <w:rtl/>
        </w:rPr>
        <w:t>(ב)</w:t>
      </w:r>
      <w:r w:rsidRPr="00900411">
        <w:rPr>
          <w:rStyle w:val="default"/>
          <w:rFonts w:cs="FrankRuehl"/>
          <w:rtl/>
        </w:rPr>
        <w:tab/>
        <w:t xml:space="preserve">אם קוזז סכום ההפסד כנגד ריווח הון שלא מעסק ביהלומים, יחושב ההפסד בשקלים לפי שער הדולר ביום שבו נוצר ההפסד </w:t>
      </w:r>
      <w:r w:rsidR="007F1DC1">
        <w:rPr>
          <w:rStyle w:val="default"/>
          <w:rFonts w:cs="FrankRuehl"/>
          <w:rtl/>
        </w:rPr>
        <w:t>–</w:t>
      </w:r>
      <w:r w:rsidRPr="00900411">
        <w:rPr>
          <w:rStyle w:val="default"/>
          <w:rFonts w:cs="FrankRuehl"/>
          <w:rtl/>
        </w:rPr>
        <w:t xml:space="preserve"> אם הקיזוז נעשה בשנת המס שבה נוצר ההפסד, ולפי השער הממוצע כמשמעותו בפסקה (1)(ב) </w:t>
      </w:r>
      <w:r w:rsidR="007F1DC1">
        <w:rPr>
          <w:rStyle w:val="default"/>
          <w:rFonts w:cs="FrankRuehl"/>
          <w:rtl/>
        </w:rPr>
        <w:t>–</w:t>
      </w:r>
      <w:r w:rsidRPr="00900411">
        <w:rPr>
          <w:rStyle w:val="default"/>
          <w:rFonts w:cs="FrankRuehl"/>
          <w:rtl/>
        </w:rPr>
        <w:t xml:space="preserve"> אם הקיזוז נעשה בשנת מס אחרת.</w:t>
      </w:r>
    </w:p>
    <w:p w14:paraId="612D5729" w14:textId="77777777" w:rsidR="001020ED" w:rsidRPr="00900411" w:rsidRDefault="001020ED">
      <w:pPr>
        <w:pStyle w:val="P00"/>
        <w:spacing w:before="72"/>
        <w:ind w:left="0" w:right="1134"/>
        <w:rPr>
          <w:rStyle w:val="default"/>
          <w:rFonts w:cs="FrankRuehl"/>
          <w:rtl/>
        </w:rPr>
      </w:pPr>
      <w:bookmarkStart w:id="8" w:name="Seif8"/>
      <w:bookmarkEnd w:id="8"/>
      <w:r w:rsidRPr="00900411">
        <w:rPr>
          <w:rFonts w:cs="Miriam"/>
          <w:lang w:val="he-IL"/>
        </w:rPr>
        <w:pict w14:anchorId="445B3341">
          <v:rect id="_x0000_s1033" style="position:absolute;left:0;text-align:left;margin-left:464.5pt;margin-top:8.05pt;width:75.05pt;height:22.8pt;z-index:251659264" o:allowincell="f" filled="f" stroked="f" strokecolor="lime" strokeweight=".25pt">
            <v:textbox style="mso-next-textbox:#_x0000_s1033" inset="0,0,0,0">
              <w:txbxContent>
                <w:p w14:paraId="03D6BDDC" w14:textId="77777777" w:rsidR="001020ED" w:rsidRDefault="001020ED">
                  <w:pPr>
                    <w:spacing w:line="160" w:lineRule="exact"/>
                    <w:rPr>
                      <w:rFonts w:cs="Miriam"/>
                      <w:noProof/>
                      <w:sz w:val="18"/>
                      <w:szCs w:val="18"/>
                      <w:rtl/>
                    </w:rPr>
                  </w:pPr>
                  <w:r>
                    <w:rPr>
                      <w:rFonts w:cs="Miriam"/>
                      <w:sz w:val="18"/>
                      <w:szCs w:val="18"/>
                      <w:rtl/>
                    </w:rPr>
                    <w:t>קב</w:t>
                  </w:r>
                  <w:r>
                    <w:rPr>
                      <w:rFonts w:cs="Miriam" w:hint="cs"/>
                      <w:sz w:val="18"/>
                      <w:szCs w:val="18"/>
                      <w:rtl/>
                    </w:rPr>
                    <w:t>יעת ההכנסה החייבת</w:t>
                  </w:r>
                </w:p>
              </w:txbxContent>
            </v:textbox>
            <w10:anchorlock/>
          </v:rect>
        </w:pict>
      </w:r>
      <w:r w:rsidRPr="00900411">
        <w:rPr>
          <w:rStyle w:val="big-number"/>
          <w:rFonts w:cs="Miriam"/>
          <w:rtl/>
        </w:rPr>
        <w:t>8</w:t>
      </w:r>
      <w:r w:rsidRPr="00900411">
        <w:rPr>
          <w:rStyle w:val="big-number"/>
          <w:rFonts w:cs="FrankRuehl"/>
          <w:rtl/>
        </w:rPr>
        <w:t>.</w:t>
      </w:r>
      <w:r w:rsidRPr="00900411">
        <w:rPr>
          <w:rStyle w:val="big-number"/>
          <w:rFonts w:cs="FrankRuehl"/>
          <w:rtl/>
        </w:rPr>
        <w:tab/>
      </w:r>
      <w:r w:rsidRPr="00900411">
        <w:rPr>
          <w:rStyle w:val="default"/>
          <w:rFonts w:cs="FrankRuehl"/>
          <w:rtl/>
        </w:rPr>
        <w:t>הכנסתו החייבת של יהלומן שניהל את חשבונותיו בדולרים על פי תקנות אלה, תיקבע בדולרים ותתורגם לשקלים, לצורך חישוב המס, לפי שער הדולר ביום האחרון של שנת המס.</w:t>
      </w:r>
    </w:p>
    <w:p w14:paraId="2375A367" w14:textId="77777777" w:rsidR="001020ED" w:rsidRPr="00900411" w:rsidRDefault="001020ED">
      <w:pPr>
        <w:pStyle w:val="P00"/>
        <w:spacing w:before="72"/>
        <w:ind w:left="0" w:right="1134"/>
        <w:rPr>
          <w:rStyle w:val="default"/>
          <w:rFonts w:cs="FrankRuehl"/>
          <w:rtl/>
        </w:rPr>
      </w:pPr>
      <w:bookmarkStart w:id="9" w:name="Seif9"/>
      <w:bookmarkEnd w:id="9"/>
      <w:r w:rsidRPr="00900411">
        <w:rPr>
          <w:rFonts w:cs="Miriam"/>
          <w:lang w:val="he-IL"/>
        </w:rPr>
        <w:pict w14:anchorId="79CA1A1A">
          <v:rect id="_x0000_s1034" style="position:absolute;left:0;text-align:left;margin-left:464.5pt;margin-top:8.05pt;width:75.05pt;height:25.65pt;z-index:251660288" o:allowincell="f" filled="f" stroked="f" strokecolor="lime" strokeweight=".25pt">
            <v:textbox style="mso-next-textbox:#_x0000_s1034" inset="0,0,0,0">
              <w:txbxContent>
                <w:p w14:paraId="51108C0C" w14:textId="77777777" w:rsidR="001020ED" w:rsidRDefault="001020ED">
                  <w:pPr>
                    <w:spacing w:line="160" w:lineRule="exact"/>
                    <w:rPr>
                      <w:rFonts w:cs="Miriam"/>
                      <w:noProof/>
                      <w:sz w:val="18"/>
                      <w:szCs w:val="18"/>
                      <w:rtl/>
                    </w:rPr>
                  </w:pPr>
                  <w:r>
                    <w:rPr>
                      <w:rFonts w:cs="Miriam"/>
                      <w:sz w:val="18"/>
                      <w:szCs w:val="18"/>
                      <w:rtl/>
                    </w:rPr>
                    <w:t>קי</w:t>
                  </w:r>
                  <w:r>
                    <w:rPr>
                      <w:rFonts w:cs="Miriam" w:hint="cs"/>
                      <w:sz w:val="18"/>
                      <w:szCs w:val="18"/>
                      <w:rtl/>
                    </w:rPr>
                    <w:t>זוז מקדמות ותשלומים</w:t>
                  </w:r>
                </w:p>
              </w:txbxContent>
            </v:textbox>
            <w10:anchorlock/>
          </v:rect>
        </w:pict>
      </w:r>
      <w:r w:rsidRPr="00900411">
        <w:rPr>
          <w:rStyle w:val="big-number"/>
          <w:rFonts w:cs="Miriam"/>
          <w:rtl/>
        </w:rPr>
        <w:t>9</w:t>
      </w:r>
      <w:r w:rsidRPr="00900411">
        <w:rPr>
          <w:rStyle w:val="big-number"/>
          <w:rFonts w:cs="FrankRuehl"/>
          <w:rtl/>
        </w:rPr>
        <w:t>.</w:t>
      </w:r>
      <w:r w:rsidRPr="00900411">
        <w:rPr>
          <w:rStyle w:val="big-number"/>
          <w:rFonts w:cs="FrankRuehl"/>
          <w:rtl/>
        </w:rPr>
        <w:tab/>
      </w:r>
      <w:r w:rsidRPr="00900411">
        <w:rPr>
          <w:rStyle w:val="default"/>
          <w:rFonts w:cs="FrankRuehl"/>
          <w:rtl/>
        </w:rPr>
        <w:t>(א)</w:t>
      </w:r>
      <w:r w:rsidRPr="00900411">
        <w:rPr>
          <w:rStyle w:val="default"/>
          <w:rFonts w:cs="FrankRuehl"/>
          <w:rtl/>
        </w:rPr>
        <w:tab/>
        <w:t>סכומים ששילם יהלומן בתוך שנת המס על חשבון המס לאותה שנה מעסקו ביהלומים, בדרך של מקדמות או בדרך אחרת, יתורגמו לשער הדולר ביום התשלום או ביום שבו נוכה הסכום במקור.</w:t>
      </w:r>
    </w:p>
    <w:p w14:paraId="730A6248"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(ב)</w:t>
      </w:r>
      <w:r w:rsidRPr="00900411">
        <w:rPr>
          <w:rStyle w:val="default"/>
          <w:rFonts w:cs="FrankRuehl"/>
          <w:rtl/>
        </w:rPr>
        <w:tab/>
        <w:t>סכומים ששולמו ותורגמו כאמור בתקנת משנה (א) יתורגמו בסוף שנת המס לשקלים לפי שער הדולר ביום האחרון לשנת המס ויופחתו מסכום המס המגיע.</w:t>
      </w:r>
    </w:p>
    <w:p w14:paraId="70696960"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(ג)</w:t>
      </w:r>
      <w:r w:rsidRPr="00900411">
        <w:rPr>
          <w:rStyle w:val="default"/>
          <w:rFonts w:cs="FrankRuehl"/>
          <w:rtl/>
        </w:rPr>
        <w:tab/>
        <w:t>פקיד השומה רשאי לקבוע את שיעור המקדמות של יהלומן שעליהן תחול תקנה זו אם היו לו גם הכנסות שלא מעסקו ביהלומים; שיעור המקדמות ייקבע על בסיס היחס שבין ההכנסות של היהלומן מעסקו ביהלומים להכנסתו ממקורות אחרים ובהתחשב במס שנוכה ממנו במקור.</w:t>
      </w:r>
    </w:p>
    <w:p w14:paraId="16FC8695" w14:textId="77777777" w:rsidR="001020ED" w:rsidRPr="00900411" w:rsidRDefault="001020ED" w:rsidP="00A67093">
      <w:pPr>
        <w:pStyle w:val="P00"/>
        <w:spacing w:before="72"/>
        <w:ind w:left="0" w:right="1134"/>
        <w:rPr>
          <w:rStyle w:val="default"/>
          <w:rFonts w:cs="FrankRuehl"/>
          <w:rtl/>
        </w:rPr>
      </w:pPr>
      <w:bookmarkStart w:id="10" w:name="Seif10"/>
      <w:bookmarkEnd w:id="10"/>
      <w:r w:rsidRPr="00900411">
        <w:rPr>
          <w:rFonts w:cs="Miriam"/>
          <w:lang w:val="he-IL"/>
        </w:rPr>
        <w:pict w14:anchorId="59586150">
          <v:rect id="_x0000_s1035" style="position:absolute;left:0;text-align:left;margin-left:464.5pt;margin-top:8.05pt;width:75.05pt;height:16.4pt;z-index:251661312" o:allowincell="f" filled="f" stroked="f" strokecolor="lime" strokeweight=".25pt">
            <v:textbox style="mso-next-textbox:#_x0000_s1035" inset="0,0,0,0">
              <w:txbxContent>
                <w:p w14:paraId="6DB24CB4" w14:textId="77777777" w:rsidR="001020ED" w:rsidRDefault="001020ED">
                  <w:pPr>
                    <w:spacing w:line="160" w:lineRule="exact"/>
                    <w:rPr>
                      <w:rFonts w:cs="Miriam"/>
                      <w:noProof/>
                      <w:sz w:val="18"/>
                      <w:szCs w:val="18"/>
                      <w:rtl/>
                    </w:rPr>
                  </w:pPr>
                  <w:r>
                    <w:rPr>
                      <w:rFonts w:cs="Miriam"/>
                      <w:sz w:val="18"/>
                      <w:szCs w:val="18"/>
                      <w:rtl/>
                    </w:rPr>
                    <w:t>תר</w:t>
                  </w:r>
                  <w:r>
                    <w:rPr>
                      <w:rFonts w:cs="Miriam" w:hint="cs"/>
                      <w:sz w:val="18"/>
                      <w:szCs w:val="18"/>
                      <w:rtl/>
                    </w:rPr>
                    <w:t>גום הצהרות הון</w:t>
                  </w:r>
                </w:p>
              </w:txbxContent>
            </v:textbox>
            <w10:anchorlock/>
          </v:rect>
        </w:pict>
      </w:r>
      <w:r w:rsidRPr="00900411">
        <w:rPr>
          <w:rStyle w:val="big-number"/>
          <w:rFonts w:cs="Miriam"/>
          <w:rtl/>
        </w:rPr>
        <w:t>10</w:t>
      </w:r>
      <w:r w:rsidRPr="00900411">
        <w:rPr>
          <w:rStyle w:val="big-number"/>
          <w:rFonts w:cs="FrankRuehl"/>
          <w:rtl/>
        </w:rPr>
        <w:t>.</w:t>
      </w:r>
      <w:r w:rsidRPr="00900411">
        <w:rPr>
          <w:rStyle w:val="big-number"/>
          <w:rFonts w:cs="FrankRuehl"/>
          <w:rtl/>
        </w:rPr>
        <w:tab/>
      </w:r>
      <w:r w:rsidRPr="00900411">
        <w:rPr>
          <w:rStyle w:val="default"/>
          <w:rFonts w:cs="FrankRuehl"/>
          <w:rtl/>
        </w:rPr>
        <w:t>(א)</w:t>
      </w:r>
      <w:r w:rsidRPr="00900411">
        <w:rPr>
          <w:rStyle w:val="default"/>
          <w:rFonts w:cs="FrankRuehl"/>
          <w:rtl/>
        </w:rPr>
        <w:tab/>
        <w:t xml:space="preserve">השוואת הון על פי דו"ח שהגיש יהלומן מכוח סעיף 135 לפקודה לתאריך שלאחר תחילתן של תקנות אלה (להלן </w:t>
      </w:r>
      <w:r w:rsidR="007F1DC1">
        <w:rPr>
          <w:rStyle w:val="default"/>
          <w:rFonts w:cs="FrankRuehl"/>
          <w:rtl/>
        </w:rPr>
        <w:t>–</w:t>
      </w:r>
      <w:r w:rsidRPr="00900411">
        <w:rPr>
          <w:rStyle w:val="default"/>
          <w:rFonts w:cs="FrankRuehl"/>
          <w:rtl/>
        </w:rPr>
        <w:t xml:space="preserve"> הצהרת הון) תיערך ותחושב בדולרים; הנציב יקבע כללים בדבר אופן החישוב האמור.</w:t>
      </w:r>
    </w:p>
    <w:p w14:paraId="70C3BB99" w14:textId="77777777" w:rsidR="001020ED" w:rsidRPr="00900411" w:rsidRDefault="001020ED">
      <w:pPr>
        <w:pStyle w:val="P00"/>
        <w:spacing w:before="72"/>
        <w:ind w:left="0" w:right="1134"/>
        <w:rPr>
          <w:rStyle w:val="default"/>
          <w:rFonts w:cs="FrankRuehl"/>
          <w:rtl/>
        </w:rPr>
      </w:pPr>
      <w:r w:rsidRPr="00900411">
        <w:rPr>
          <w:rFonts w:cs="FrankRuehl"/>
          <w:sz w:val="26"/>
          <w:rtl/>
        </w:rPr>
        <w:tab/>
      </w:r>
      <w:r w:rsidRPr="00900411">
        <w:rPr>
          <w:rStyle w:val="default"/>
          <w:rFonts w:cs="FrankRuehl"/>
          <w:rtl/>
        </w:rPr>
        <w:t>(ב)</w:t>
      </w:r>
      <w:r w:rsidRPr="00900411">
        <w:rPr>
          <w:rStyle w:val="default"/>
          <w:rFonts w:cs="FrankRuehl"/>
          <w:rtl/>
        </w:rPr>
        <w:tab/>
        <w:t>נמצאו הפרשי הון בלתי מוסברים בהשוואת ההון שנערכה על פי הצהרת הון, יתורגמו הפרשי ההון כאמור לשקלים לפי שער הדולר ליום האחרון של כל שנת מס שאליה יוחסו הפרשי ההון.</w:t>
      </w:r>
    </w:p>
    <w:p w14:paraId="2000C2A3" w14:textId="77777777" w:rsidR="001020ED" w:rsidRPr="00900411" w:rsidRDefault="001020ED">
      <w:pPr>
        <w:pStyle w:val="P00"/>
        <w:spacing w:before="72"/>
        <w:ind w:left="0" w:right="1134"/>
        <w:rPr>
          <w:rStyle w:val="default"/>
          <w:rFonts w:cs="FrankRuehl"/>
          <w:rtl/>
        </w:rPr>
      </w:pPr>
      <w:bookmarkStart w:id="11" w:name="Seif11"/>
      <w:bookmarkEnd w:id="11"/>
      <w:r w:rsidRPr="00900411">
        <w:rPr>
          <w:rFonts w:cs="Miriam"/>
          <w:lang w:val="he-IL"/>
        </w:rPr>
        <w:pict w14:anchorId="2E9A1C4B">
          <v:rect id="_x0000_s1036" style="position:absolute;left:0;text-align:left;margin-left:464.5pt;margin-top:8.05pt;width:75.05pt;height:18pt;z-index:251662336" o:allowincell="f" filled="f" stroked="f" strokecolor="lime" strokeweight=".25pt">
            <v:textbox style="mso-next-textbox:#_x0000_s1036" inset="0,0,0,0">
              <w:txbxContent>
                <w:p w14:paraId="5F3A2B26" w14:textId="77777777" w:rsidR="001020ED" w:rsidRDefault="001020ED">
                  <w:pPr>
                    <w:spacing w:line="160" w:lineRule="exact"/>
                    <w:rPr>
                      <w:rFonts w:cs="Miriam"/>
                      <w:noProof/>
                      <w:sz w:val="18"/>
                      <w:szCs w:val="18"/>
                      <w:rtl/>
                    </w:rPr>
                  </w:pPr>
                  <w:r>
                    <w:rPr>
                      <w:rFonts w:cs="Miriam"/>
                      <w:sz w:val="18"/>
                      <w:szCs w:val="18"/>
                      <w:rtl/>
                    </w:rPr>
                    <w:t>תנ</w:t>
                  </w:r>
                  <w:r>
                    <w:rPr>
                      <w:rFonts w:cs="Miriam" w:hint="cs"/>
                      <w:sz w:val="18"/>
                      <w:szCs w:val="18"/>
                      <w:rtl/>
                    </w:rPr>
                    <w:t>אים</w:t>
                  </w:r>
                  <w:r>
                    <w:rPr>
                      <w:rFonts w:cs="Miriam"/>
                      <w:sz w:val="18"/>
                      <w:szCs w:val="18"/>
                      <w:rtl/>
                    </w:rPr>
                    <w:t xml:space="preserve"> </w:t>
                  </w:r>
                  <w:r>
                    <w:rPr>
                      <w:rFonts w:cs="Miriam" w:hint="cs"/>
                      <w:sz w:val="18"/>
                      <w:szCs w:val="18"/>
                      <w:rtl/>
                    </w:rPr>
                    <w:t>לתחולת התקנות</w:t>
                  </w:r>
                </w:p>
              </w:txbxContent>
            </v:textbox>
            <w10:anchorlock/>
          </v:rect>
        </w:pict>
      </w:r>
      <w:r w:rsidRPr="00900411">
        <w:rPr>
          <w:rStyle w:val="big-number"/>
          <w:rFonts w:cs="Miriam"/>
          <w:rtl/>
        </w:rPr>
        <w:t>11</w:t>
      </w:r>
      <w:r w:rsidRPr="00900411">
        <w:rPr>
          <w:rStyle w:val="big-number"/>
          <w:rFonts w:cs="FrankRuehl"/>
          <w:rtl/>
        </w:rPr>
        <w:t>.</w:t>
      </w:r>
      <w:r w:rsidRPr="00900411">
        <w:rPr>
          <w:rStyle w:val="big-number"/>
          <w:rFonts w:cs="FrankRuehl"/>
          <w:rtl/>
        </w:rPr>
        <w:tab/>
      </w:r>
      <w:r w:rsidRPr="00900411">
        <w:rPr>
          <w:rStyle w:val="default"/>
          <w:rFonts w:cs="FrankRuehl"/>
          <w:rtl/>
        </w:rPr>
        <w:t>יהלומן שבחר להחיל לגביו את הוראות תקנות אלה לא יוכל לחזור בו מבחירתו כאמור לפני תום שלוש שנות מס אלא אם אישר הנציב אחרת מטעמים שיירשמו ובתנאים שיקבע; חזר בו היהלומן מבחירתו ללא אישור הנציב לפני תום שלוש שנות מס כאמור, יראוהו כאילו לא ניהל פנקסי חשבונות עסקו על פי תקנות אלה.</w:t>
      </w:r>
    </w:p>
    <w:p w14:paraId="5837A9FA" w14:textId="77777777" w:rsidR="001020ED" w:rsidRPr="00900411" w:rsidRDefault="001020ED">
      <w:pPr>
        <w:pStyle w:val="P00"/>
        <w:spacing w:before="72"/>
        <w:ind w:left="0" w:right="1134"/>
        <w:rPr>
          <w:rStyle w:val="default"/>
          <w:rFonts w:cs="FrankRuehl"/>
          <w:rtl/>
        </w:rPr>
      </w:pPr>
      <w:bookmarkStart w:id="12" w:name="Seif12"/>
      <w:bookmarkEnd w:id="12"/>
      <w:r w:rsidRPr="00900411">
        <w:rPr>
          <w:rFonts w:cs="Miriam"/>
          <w:lang w:val="he-IL"/>
        </w:rPr>
        <w:pict w14:anchorId="693C481A">
          <v:rect id="_x0000_s1037" style="position:absolute;left:0;text-align:left;margin-left:464.5pt;margin-top:8.05pt;width:75.05pt;height:10.55pt;z-index:251663360" o:allowincell="f" filled="f" stroked="f" strokecolor="lime" strokeweight=".25pt">
            <v:textbox style="mso-next-textbox:#_x0000_s1037" inset="0,0,0,0">
              <w:txbxContent>
                <w:p w14:paraId="7D8446E3" w14:textId="77777777" w:rsidR="001020ED" w:rsidRDefault="001020ED">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900411">
        <w:rPr>
          <w:rStyle w:val="big-number"/>
          <w:rFonts w:cs="Miriam"/>
          <w:rtl/>
        </w:rPr>
        <w:t>12</w:t>
      </w:r>
      <w:r w:rsidRPr="00900411">
        <w:rPr>
          <w:rStyle w:val="big-number"/>
          <w:rFonts w:cs="FrankRuehl"/>
          <w:rtl/>
        </w:rPr>
        <w:t>.</w:t>
      </w:r>
      <w:r w:rsidRPr="00900411">
        <w:rPr>
          <w:rStyle w:val="big-number"/>
          <w:rFonts w:cs="FrankRuehl"/>
          <w:rtl/>
        </w:rPr>
        <w:tab/>
      </w:r>
      <w:r w:rsidRPr="00900411">
        <w:rPr>
          <w:rStyle w:val="default"/>
          <w:rFonts w:cs="FrankRuehl"/>
          <w:rtl/>
        </w:rPr>
        <w:t>תחילתן של תקנות אלה ביום כ"ב בחשון תשמ"א (1 בנובמבר 1980).</w:t>
      </w:r>
    </w:p>
    <w:p w14:paraId="6A80AF96" w14:textId="77777777" w:rsidR="001020ED" w:rsidRDefault="001020ED">
      <w:pPr>
        <w:pStyle w:val="P00"/>
        <w:spacing w:before="72"/>
        <w:ind w:left="0" w:right="1134"/>
        <w:rPr>
          <w:rStyle w:val="default"/>
          <w:rFonts w:hint="cs"/>
          <w:rtl/>
        </w:rPr>
      </w:pPr>
    </w:p>
    <w:p w14:paraId="65DD108A" w14:textId="77777777" w:rsidR="00A67093" w:rsidRDefault="00A67093">
      <w:pPr>
        <w:pStyle w:val="P00"/>
        <w:spacing w:before="72"/>
        <w:ind w:left="0" w:right="1134"/>
        <w:rPr>
          <w:rStyle w:val="default"/>
          <w:rFonts w:hint="cs"/>
          <w:rtl/>
        </w:rPr>
      </w:pPr>
    </w:p>
    <w:p w14:paraId="6CD0726B" w14:textId="77777777" w:rsidR="001020ED" w:rsidRDefault="001020ED" w:rsidP="007F1DC1">
      <w:pPr>
        <w:pStyle w:val="sig-0"/>
        <w:tabs>
          <w:tab w:val="clear" w:pos="4820"/>
          <w:tab w:val="center" w:pos="5670"/>
        </w:tabs>
        <w:spacing w:before="72"/>
        <w:ind w:left="0" w:right="1134"/>
        <w:rPr>
          <w:rFonts w:cs="FrankRuehl"/>
          <w:sz w:val="26"/>
          <w:rtl/>
        </w:rPr>
      </w:pPr>
      <w:r>
        <w:rPr>
          <w:rFonts w:cs="FrankRuehl"/>
          <w:sz w:val="26"/>
          <w:rtl/>
        </w:rPr>
        <w:t xml:space="preserve">ה' </w:t>
      </w:r>
      <w:r>
        <w:rPr>
          <w:rFonts w:cs="FrankRuehl" w:hint="cs"/>
          <w:sz w:val="26"/>
          <w:rtl/>
        </w:rPr>
        <w:t>בחשון תשמ"א (15 באוקטובר 1980)</w:t>
      </w:r>
      <w:r>
        <w:rPr>
          <w:rFonts w:cs="FrankRuehl"/>
          <w:sz w:val="26"/>
          <w:rtl/>
        </w:rPr>
        <w:tab/>
      </w:r>
      <w:r>
        <w:rPr>
          <w:rFonts w:cs="FrankRuehl" w:hint="cs"/>
          <w:sz w:val="26"/>
          <w:rtl/>
        </w:rPr>
        <w:t>י</w:t>
      </w:r>
      <w:r>
        <w:rPr>
          <w:rFonts w:cs="FrankRuehl"/>
          <w:sz w:val="26"/>
          <w:rtl/>
        </w:rPr>
        <w:t>ג</w:t>
      </w:r>
      <w:r>
        <w:rPr>
          <w:rFonts w:cs="FrankRuehl" w:hint="cs"/>
          <w:sz w:val="26"/>
          <w:rtl/>
        </w:rPr>
        <w:t>אל הורביץ</w:t>
      </w:r>
    </w:p>
    <w:p w14:paraId="13C26F7B" w14:textId="77777777" w:rsidR="001020ED" w:rsidRDefault="001020ED" w:rsidP="007F1DC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253B77DC" w14:textId="77777777" w:rsidR="001020ED" w:rsidRPr="00A67093" w:rsidRDefault="001020ED" w:rsidP="00A67093">
      <w:pPr>
        <w:pStyle w:val="P00"/>
        <w:spacing w:before="72"/>
        <w:ind w:left="0" w:right="1134"/>
        <w:rPr>
          <w:rStyle w:val="default"/>
          <w:rFonts w:cs="FrankRuehl"/>
          <w:rtl/>
        </w:rPr>
      </w:pPr>
    </w:p>
    <w:p w14:paraId="7571F2E8" w14:textId="77777777" w:rsidR="001020ED" w:rsidRPr="00A67093" w:rsidRDefault="001020ED" w:rsidP="00A67093">
      <w:pPr>
        <w:pStyle w:val="P00"/>
        <w:spacing w:before="72"/>
        <w:ind w:left="0" w:right="1134"/>
        <w:rPr>
          <w:rStyle w:val="default"/>
          <w:rFonts w:cs="FrankRuehl"/>
          <w:rtl/>
        </w:rPr>
      </w:pPr>
    </w:p>
    <w:p w14:paraId="2F80B321" w14:textId="77777777" w:rsidR="001020ED" w:rsidRPr="00A67093" w:rsidRDefault="001020ED" w:rsidP="00A67093">
      <w:pPr>
        <w:pStyle w:val="P00"/>
        <w:spacing w:before="72"/>
        <w:ind w:left="0" w:right="1134"/>
        <w:rPr>
          <w:rStyle w:val="default"/>
          <w:rFonts w:cs="FrankRuehl"/>
          <w:rtl/>
        </w:rPr>
      </w:pPr>
      <w:bookmarkStart w:id="13" w:name="LawPartEnd"/>
    </w:p>
    <w:bookmarkEnd w:id="13"/>
    <w:p w14:paraId="7764D4C6" w14:textId="77777777" w:rsidR="00803577" w:rsidRDefault="00803577" w:rsidP="00A67093">
      <w:pPr>
        <w:pStyle w:val="P00"/>
        <w:spacing w:before="72"/>
        <w:ind w:left="0" w:right="1134"/>
        <w:rPr>
          <w:rStyle w:val="default"/>
          <w:rFonts w:cs="FrankRuehl"/>
          <w:rtl/>
        </w:rPr>
      </w:pPr>
    </w:p>
    <w:p w14:paraId="72439D52" w14:textId="77777777" w:rsidR="00803577" w:rsidRDefault="00803577" w:rsidP="00A67093">
      <w:pPr>
        <w:pStyle w:val="P00"/>
        <w:spacing w:before="72"/>
        <w:ind w:left="0" w:right="1134"/>
        <w:rPr>
          <w:rStyle w:val="default"/>
          <w:rFonts w:cs="FrankRuehl"/>
          <w:rtl/>
        </w:rPr>
      </w:pPr>
    </w:p>
    <w:p w14:paraId="26F75A7C" w14:textId="77777777" w:rsidR="00803577" w:rsidRDefault="00803577" w:rsidP="00803577">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7A571F16" w14:textId="77777777" w:rsidR="001020ED" w:rsidRPr="00803577" w:rsidRDefault="001020ED" w:rsidP="00803577">
      <w:pPr>
        <w:pStyle w:val="P00"/>
        <w:spacing w:before="72"/>
        <w:ind w:left="0" w:right="1134"/>
        <w:jc w:val="center"/>
        <w:rPr>
          <w:rStyle w:val="default"/>
          <w:rFonts w:cs="David"/>
          <w:color w:val="0000FF"/>
          <w:szCs w:val="24"/>
          <w:u w:val="single"/>
          <w:rtl/>
        </w:rPr>
      </w:pPr>
    </w:p>
    <w:sectPr w:rsidR="001020ED" w:rsidRPr="0080357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BB1B" w14:textId="77777777" w:rsidR="00E02A07" w:rsidRDefault="00E02A07">
      <w:r>
        <w:separator/>
      </w:r>
    </w:p>
  </w:endnote>
  <w:endnote w:type="continuationSeparator" w:id="0">
    <w:p w14:paraId="4AAFBA0F" w14:textId="77777777" w:rsidR="00E02A07" w:rsidRDefault="00E0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B5C3" w14:textId="77777777" w:rsidR="001020ED" w:rsidRDefault="001020E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B9B303" w14:textId="77777777" w:rsidR="001020ED" w:rsidRDefault="001020E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154444" w14:textId="77777777" w:rsidR="001020ED" w:rsidRDefault="001020E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7093">
      <w:rPr>
        <w:rFonts w:cs="TopType Jerushalmi"/>
        <w:noProof/>
        <w:color w:val="000000"/>
        <w:sz w:val="14"/>
        <w:szCs w:val="14"/>
      </w:rPr>
      <w:t>C:\Yael\hakika\Revadim\255_190.doc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B5AA" w14:textId="77777777" w:rsidR="001020ED" w:rsidRDefault="001020E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3577">
      <w:rPr>
        <w:rFonts w:hAnsi="FrankRuehl" w:cs="FrankRuehl"/>
        <w:noProof/>
        <w:sz w:val="24"/>
        <w:szCs w:val="24"/>
        <w:rtl/>
      </w:rPr>
      <w:t>4</w:t>
    </w:r>
    <w:r>
      <w:rPr>
        <w:rFonts w:hAnsi="FrankRuehl" w:cs="FrankRuehl"/>
        <w:sz w:val="24"/>
        <w:szCs w:val="24"/>
        <w:rtl/>
      </w:rPr>
      <w:fldChar w:fldCharType="end"/>
    </w:r>
  </w:p>
  <w:p w14:paraId="3B0934BE" w14:textId="77777777" w:rsidR="001020ED" w:rsidRDefault="001020E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392BC5" w14:textId="77777777" w:rsidR="001020ED" w:rsidRDefault="001020E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7093">
      <w:rPr>
        <w:rFonts w:cs="TopType Jerushalmi"/>
        <w:noProof/>
        <w:color w:val="000000"/>
        <w:sz w:val="14"/>
        <w:szCs w:val="14"/>
      </w:rPr>
      <w:t>C:\Yael\hakika\Revadim\255_190.doc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0C00" w14:textId="77777777" w:rsidR="00E02A07" w:rsidRDefault="00E02A07" w:rsidP="00A67093">
      <w:pPr>
        <w:spacing w:before="60"/>
        <w:ind w:right="1134"/>
      </w:pPr>
      <w:r>
        <w:separator/>
      </w:r>
    </w:p>
  </w:footnote>
  <w:footnote w:type="continuationSeparator" w:id="0">
    <w:p w14:paraId="28DEB89E" w14:textId="77777777" w:rsidR="00E02A07" w:rsidRDefault="00E02A07">
      <w:r>
        <w:continuationSeparator/>
      </w:r>
    </w:p>
  </w:footnote>
  <w:footnote w:id="1">
    <w:p w14:paraId="4D3657A6" w14:textId="77777777" w:rsidR="00A67093" w:rsidRPr="00900411" w:rsidRDefault="00A67093" w:rsidP="00A670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67093">
        <w:rPr>
          <w:rFonts w:cs="FrankRuehl"/>
          <w:rtl/>
        </w:rPr>
        <w:t xml:space="preserve">* </w:t>
      </w:r>
      <w:r w:rsidRPr="00900411">
        <w:rPr>
          <w:rFonts w:cs="FrankRuehl"/>
          <w:rtl/>
        </w:rPr>
        <w:t>פו</w:t>
      </w:r>
      <w:r w:rsidRPr="00900411">
        <w:rPr>
          <w:rFonts w:cs="FrankRuehl" w:hint="cs"/>
          <w:rtl/>
        </w:rPr>
        <w:t>רסמו</w:t>
      </w:r>
      <w:r w:rsidRPr="00900411">
        <w:rPr>
          <w:rFonts w:cs="FrankRuehl"/>
          <w:rtl/>
        </w:rPr>
        <w:t xml:space="preserve"> </w:t>
      </w:r>
      <w:hyperlink r:id="rId1" w:history="1">
        <w:r w:rsidRPr="00900411">
          <w:rPr>
            <w:rStyle w:val="Hyperlink"/>
            <w:rFonts w:cs="FrankRuehl" w:hint="cs"/>
            <w:rtl/>
          </w:rPr>
          <w:t>ק"ת ת</w:t>
        </w:r>
        <w:r w:rsidRPr="00900411">
          <w:rPr>
            <w:rStyle w:val="Hyperlink"/>
            <w:rFonts w:cs="FrankRuehl" w:hint="cs"/>
            <w:rtl/>
          </w:rPr>
          <w:t>שמ"א מס' 4181</w:t>
        </w:r>
      </w:hyperlink>
      <w:r w:rsidRPr="00900411">
        <w:rPr>
          <w:rFonts w:cs="FrankRuehl" w:hint="cs"/>
          <w:rtl/>
        </w:rPr>
        <w:t xml:space="preserve"> מיום 14.11.1980 עמ' 166.</w:t>
      </w:r>
    </w:p>
    <w:p w14:paraId="38CD554B" w14:textId="77777777" w:rsidR="00A67093" w:rsidRPr="00A67093" w:rsidRDefault="00A67093" w:rsidP="00A670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900411">
        <w:rPr>
          <w:rFonts w:cs="FrankRuehl" w:hint="cs"/>
          <w:rtl/>
        </w:rPr>
        <w:t>ת</w:t>
      </w:r>
      <w:r w:rsidRPr="00900411">
        <w:rPr>
          <w:rFonts w:cs="FrankRuehl"/>
          <w:rtl/>
        </w:rPr>
        <w:t>ו</w:t>
      </w:r>
      <w:r w:rsidRPr="00900411">
        <w:rPr>
          <w:rFonts w:cs="FrankRuehl" w:hint="cs"/>
          <w:rtl/>
        </w:rPr>
        <w:t xml:space="preserve">קנו </w:t>
      </w:r>
      <w:hyperlink r:id="rId2" w:history="1">
        <w:r w:rsidRPr="00900411">
          <w:rPr>
            <w:rStyle w:val="Hyperlink"/>
            <w:rFonts w:cs="FrankRuehl" w:hint="cs"/>
            <w:rtl/>
          </w:rPr>
          <w:t>ק"ת תש</w:t>
        </w:r>
        <w:r w:rsidRPr="00900411">
          <w:rPr>
            <w:rStyle w:val="Hyperlink"/>
            <w:rFonts w:cs="FrankRuehl" w:hint="cs"/>
            <w:rtl/>
          </w:rPr>
          <w:t>מ"ב מס' 4336</w:t>
        </w:r>
      </w:hyperlink>
      <w:r w:rsidRPr="00900411">
        <w:rPr>
          <w:rFonts w:cs="FrankRuehl" w:hint="cs"/>
          <w:rtl/>
        </w:rPr>
        <w:t xml:space="preserve"> מיום</w:t>
      </w:r>
      <w:r w:rsidRPr="00900411">
        <w:rPr>
          <w:rFonts w:cs="FrankRuehl"/>
          <w:rtl/>
        </w:rPr>
        <w:t xml:space="preserve"> 15.4.1982 ע</w:t>
      </w:r>
      <w:r w:rsidRPr="00900411">
        <w:rPr>
          <w:rFonts w:cs="FrankRuehl" w:hint="cs"/>
          <w:rtl/>
        </w:rPr>
        <w:t>מ' 846</w:t>
      </w:r>
      <w:r>
        <w:rPr>
          <w:rFonts w:cs="FrankRuehl" w:hint="cs"/>
          <w:rtl/>
        </w:rPr>
        <w:t xml:space="preserve"> </w:t>
      </w:r>
      <w:r>
        <w:rPr>
          <w:rFonts w:cs="FrankRuehl"/>
          <w:rtl/>
        </w:rPr>
        <w:t>–</w:t>
      </w:r>
      <w:r>
        <w:rPr>
          <w:rFonts w:cs="FrankRuehl" w:hint="cs"/>
          <w:rtl/>
        </w:rPr>
        <w:t xml:space="preserve"> תק' תשמ"ב-1982; תחילתן ביום 1.11.1980</w:t>
      </w:r>
      <w:r w:rsidRPr="0090041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C146" w14:textId="77777777" w:rsidR="001020ED" w:rsidRDefault="001020E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ניהול פנקסי חשבונות של יהלומן וקביעת הכנסתו החייבת), תשמ"א–1980</w:t>
    </w:r>
  </w:p>
  <w:p w14:paraId="0EFB7492" w14:textId="77777777" w:rsidR="001020ED" w:rsidRDefault="001020E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B3CC38" w14:textId="77777777" w:rsidR="001020ED" w:rsidRDefault="001020E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A9C3" w14:textId="77777777" w:rsidR="001020ED" w:rsidRDefault="001020ED" w:rsidP="00A670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ניהול פנקסי חשבונות של יהלומן וקביעת הכנסתו החייבת), תשמ"א</w:t>
    </w:r>
    <w:r w:rsidR="00A67093">
      <w:rPr>
        <w:rFonts w:hAnsi="FrankRuehl" w:cs="FrankRuehl" w:hint="cs"/>
        <w:color w:val="000000"/>
        <w:sz w:val="28"/>
        <w:szCs w:val="28"/>
        <w:rtl/>
      </w:rPr>
      <w:t>-</w:t>
    </w:r>
    <w:r>
      <w:rPr>
        <w:rFonts w:hAnsi="FrankRuehl" w:cs="FrankRuehl"/>
        <w:color w:val="000000"/>
        <w:sz w:val="28"/>
        <w:szCs w:val="28"/>
        <w:rtl/>
      </w:rPr>
      <w:t>1980</w:t>
    </w:r>
  </w:p>
  <w:p w14:paraId="45095B81" w14:textId="77777777" w:rsidR="001020ED" w:rsidRDefault="001020E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085083" w14:textId="77777777" w:rsidR="001020ED" w:rsidRDefault="001020E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3623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411"/>
    <w:rsid w:val="001020ED"/>
    <w:rsid w:val="00214A39"/>
    <w:rsid w:val="00232172"/>
    <w:rsid w:val="00250E68"/>
    <w:rsid w:val="0036044B"/>
    <w:rsid w:val="00622959"/>
    <w:rsid w:val="00635943"/>
    <w:rsid w:val="007F1DC1"/>
    <w:rsid w:val="00803577"/>
    <w:rsid w:val="00876D1D"/>
    <w:rsid w:val="00900411"/>
    <w:rsid w:val="009F6FAB"/>
    <w:rsid w:val="00A67093"/>
    <w:rsid w:val="00E02A07"/>
    <w:rsid w:val="00EE2C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5F9A98"/>
  <w15:chartTrackingRefBased/>
  <w15:docId w15:val="{BE78195B-D00A-4A8A-82AF-186DAE49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character" w:styleId="FollowedHyperlink">
    <w:name w:val="FollowedHyperlink"/>
    <w:basedOn w:val="a0"/>
    <w:rsid w:val="00900411"/>
    <w:rPr>
      <w:color w:val="800080"/>
      <w:u w:val="single"/>
    </w:rPr>
  </w:style>
  <w:style w:type="paragraph" w:styleId="a5">
    <w:name w:val="footnote text"/>
    <w:basedOn w:val="a"/>
    <w:semiHidden/>
    <w:rsid w:val="00A67093"/>
    <w:rPr>
      <w:sz w:val="20"/>
      <w:szCs w:val="20"/>
    </w:rPr>
  </w:style>
  <w:style w:type="character" w:styleId="a6">
    <w:name w:val="footnote reference"/>
    <w:basedOn w:val="a0"/>
    <w:semiHidden/>
    <w:rsid w:val="00A67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433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36.pdf" TargetMode="External"/><Relationship Id="rId1" Type="http://schemas.openxmlformats.org/officeDocument/2006/relationships/hyperlink" Target="http://www.nevo.co.il/Law_word/law06/TAK-41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7240</CharactersWithSpaces>
  <SharedDoc>false</SharedDoc>
  <HLinks>
    <vt:vector size="96" baseType="variant">
      <vt:variant>
        <vt:i4>393283</vt:i4>
      </vt:variant>
      <vt:variant>
        <vt:i4>75</vt:i4>
      </vt:variant>
      <vt:variant>
        <vt:i4>0</vt:i4>
      </vt:variant>
      <vt:variant>
        <vt:i4>5</vt:i4>
      </vt:variant>
      <vt:variant>
        <vt:lpwstr>http://www.nevo.co.il/advertisements/nevo-100.doc</vt:lpwstr>
      </vt:variant>
      <vt:variant>
        <vt:lpwstr/>
      </vt:variant>
      <vt:variant>
        <vt:i4>8257549</vt:i4>
      </vt:variant>
      <vt:variant>
        <vt:i4>72</vt:i4>
      </vt:variant>
      <vt:variant>
        <vt:i4>0</vt:i4>
      </vt:variant>
      <vt:variant>
        <vt:i4>5</vt:i4>
      </vt:variant>
      <vt:variant>
        <vt:lpwstr>http://www.nevo.co.il/Law_word/law06/TAK-4336.pdf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3</vt:i4>
      </vt:variant>
      <vt:variant>
        <vt:i4>0</vt:i4>
      </vt:variant>
      <vt:variant>
        <vt:i4>5</vt:i4>
      </vt:variant>
      <vt:variant>
        <vt:lpwstr>http://www.nevo.co.il/Law_word/law06/TAK-4336.pdf</vt:lpwstr>
      </vt:variant>
      <vt:variant>
        <vt:lpwstr/>
      </vt:variant>
      <vt:variant>
        <vt:i4>7667720</vt:i4>
      </vt:variant>
      <vt:variant>
        <vt:i4>0</vt:i4>
      </vt:variant>
      <vt:variant>
        <vt:i4>0</vt:i4>
      </vt:variant>
      <vt:variant>
        <vt:i4>5</vt:i4>
      </vt:variant>
      <vt:variant>
        <vt:lpwstr>http://www.nevo.co.il/Law_word/law06/TAK-4181.pdf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בדבר ניהול פנקסי חשבונות של יהלומן וקביעת הכנסתו החייבת), תשמ"א-1980</vt:lpwstr>
  </property>
  <property fmtid="{D5CDD505-2E9C-101B-9397-08002B2CF9AE}" pid="5" name="LAWNUMBER">
    <vt:lpwstr>0190</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130אX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ניהול</vt:lpwstr>
  </property>
  <property fmtid="{D5CDD505-2E9C-101B-9397-08002B2CF9AE}" pid="16" name="NOSE42">
    <vt:lpwstr>פנקסי חשבונות</vt:lpwstr>
  </property>
  <property fmtid="{D5CDD505-2E9C-101B-9397-08002B2CF9AE}" pid="17" name="NOSE13">
    <vt:lpwstr>מסים</vt:lpwstr>
  </property>
  <property fmtid="{D5CDD505-2E9C-101B-9397-08002B2CF9AE}" pid="18" name="NOSE23">
    <vt:lpwstr>מס הכנסה</vt:lpwstr>
  </property>
  <property fmtid="{D5CDD505-2E9C-101B-9397-08002B2CF9AE}" pid="19" name="NOSE33">
    <vt:lpwstr>יהלומנים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