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52C1" w:rsidRDefault="003152C1" w:rsidP="00982401">
      <w:pPr>
        <w:pStyle w:val="big-header"/>
        <w:ind w:left="0" w:right="1134"/>
        <w:rPr>
          <w:rFonts w:cs="FrankRuehl" w:hint="cs"/>
          <w:sz w:val="32"/>
          <w:rtl/>
        </w:rPr>
      </w:pPr>
      <w:r>
        <w:rPr>
          <w:rFonts w:cs="FrankRuehl"/>
          <w:sz w:val="32"/>
          <w:rtl/>
        </w:rPr>
        <w:t>תקנות מס הכנסה (כללים לתנאים שבהם חשבונות שונים בקרן השתלמות ייחשבו לחשבון אחד), תשנ"ג</w:t>
      </w:r>
      <w:r w:rsidR="00982401">
        <w:rPr>
          <w:rFonts w:cs="FrankRuehl" w:hint="cs"/>
          <w:sz w:val="32"/>
          <w:rtl/>
        </w:rPr>
        <w:t>-</w:t>
      </w:r>
      <w:r>
        <w:rPr>
          <w:rFonts w:cs="FrankRuehl"/>
          <w:sz w:val="32"/>
          <w:rtl/>
        </w:rPr>
        <w:t>1993</w:t>
      </w:r>
    </w:p>
    <w:p w:rsidR="00F02A65" w:rsidRDefault="00F02A65" w:rsidP="00F02A65">
      <w:pPr>
        <w:spacing w:line="320" w:lineRule="auto"/>
        <w:rPr>
          <w:rFonts w:hint="cs"/>
          <w:rtl/>
        </w:rPr>
      </w:pPr>
    </w:p>
    <w:p w:rsidR="00952F5A" w:rsidRDefault="00952F5A" w:rsidP="00F02A65">
      <w:pPr>
        <w:spacing w:line="320" w:lineRule="auto"/>
        <w:rPr>
          <w:rFonts w:hint="cs"/>
          <w:rtl/>
        </w:rPr>
      </w:pPr>
    </w:p>
    <w:p w:rsidR="00F02A65" w:rsidRDefault="00F02A65" w:rsidP="00F02A65">
      <w:pPr>
        <w:spacing w:line="320" w:lineRule="auto"/>
        <w:rPr>
          <w:rFonts w:cs="FrankRuehl"/>
          <w:szCs w:val="26"/>
          <w:rtl/>
        </w:rPr>
      </w:pPr>
      <w:r w:rsidRPr="00F02A65">
        <w:rPr>
          <w:rFonts w:cs="Miriam"/>
          <w:szCs w:val="22"/>
          <w:rtl/>
        </w:rPr>
        <w:t>מסים</w:t>
      </w:r>
      <w:r w:rsidRPr="00F02A65">
        <w:rPr>
          <w:rFonts w:cs="FrankRuehl"/>
          <w:szCs w:val="26"/>
          <w:rtl/>
        </w:rPr>
        <w:t xml:space="preserve"> – מס הכנסה – קביעות וכללים</w:t>
      </w:r>
    </w:p>
    <w:p w:rsidR="00F02A65" w:rsidRPr="00F02A65" w:rsidRDefault="00F02A65" w:rsidP="00F02A65">
      <w:pPr>
        <w:spacing w:line="320" w:lineRule="auto"/>
        <w:rPr>
          <w:rFonts w:cs="Miriam"/>
          <w:szCs w:val="22"/>
          <w:rtl/>
        </w:rPr>
      </w:pPr>
      <w:r w:rsidRPr="00F02A65">
        <w:rPr>
          <w:rFonts w:cs="Miriam"/>
          <w:szCs w:val="22"/>
          <w:rtl/>
        </w:rPr>
        <w:t>מסים</w:t>
      </w:r>
      <w:r w:rsidRPr="00F02A65">
        <w:rPr>
          <w:rFonts w:cs="FrankRuehl"/>
          <w:szCs w:val="26"/>
          <w:rtl/>
        </w:rPr>
        <w:t xml:space="preserve"> – מס הכנסה – קרן השתלמות</w:t>
      </w:r>
    </w:p>
    <w:p w:rsidR="003152C1" w:rsidRDefault="003152C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03BD7" w:rsidRPr="00B03BD7" w:rsidTr="00B03BD7">
        <w:tblPrEx>
          <w:tblCellMar>
            <w:top w:w="0" w:type="dxa"/>
            <w:bottom w:w="0" w:type="dxa"/>
          </w:tblCellMar>
        </w:tblPrEx>
        <w:tc>
          <w:tcPr>
            <w:tcW w:w="1247" w:type="dxa"/>
          </w:tcPr>
          <w:p w:rsidR="00B03BD7" w:rsidRPr="00B03BD7" w:rsidRDefault="00B03BD7" w:rsidP="00B03BD7">
            <w:pPr>
              <w:rPr>
                <w:rFonts w:cs="Frankruhel"/>
                <w:rtl/>
              </w:rPr>
            </w:pPr>
            <w:r>
              <w:rPr>
                <w:rtl/>
              </w:rPr>
              <w:t xml:space="preserve">סעיף 1 </w:t>
            </w:r>
          </w:p>
        </w:tc>
        <w:tc>
          <w:tcPr>
            <w:tcW w:w="5669" w:type="dxa"/>
          </w:tcPr>
          <w:p w:rsidR="00B03BD7" w:rsidRPr="00B03BD7" w:rsidRDefault="00B03BD7" w:rsidP="00B03BD7">
            <w:pPr>
              <w:rPr>
                <w:rFonts w:cs="Frankruhel"/>
                <w:rtl/>
              </w:rPr>
            </w:pPr>
            <w:r>
              <w:rPr>
                <w:rtl/>
              </w:rPr>
              <w:t>פתיחת חשבון בקרן השתלמות שניה</w:t>
            </w:r>
          </w:p>
        </w:tc>
        <w:tc>
          <w:tcPr>
            <w:tcW w:w="567" w:type="dxa"/>
          </w:tcPr>
          <w:p w:rsidR="00B03BD7" w:rsidRPr="00B03BD7" w:rsidRDefault="00B03BD7" w:rsidP="00B03BD7">
            <w:pPr>
              <w:rPr>
                <w:rStyle w:val="Hyperlink"/>
                <w:rtl/>
              </w:rPr>
            </w:pPr>
            <w:hyperlink w:anchor="Seif1" w:tooltip="פתיחת חשבון בקרן השתלמות שניה" w:history="1">
              <w:r w:rsidRPr="00B03BD7">
                <w:rPr>
                  <w:rStyle w:val="Hyperlink"/>
                </w:rPr>
                <w:t>Go</w:t>
              </w:r>
            </w:hyperlink>
          </w:p>
        </w:tc>
        <w:tc>
          <w:tcPr>
            <w:tcW w:w="850" w:type="dxa"/>
          </w:tcPr>
          <w:p w:rsidR="00B03BD7" w:rsidRPr="00B03BD7" w:rsidRDefault="00B03BD7" w:rsidP="00B03BD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03BD7" w:rsidRPr="00B03BD7" w:rsidTr="00B03BD7">
        <w:tblPrEx>
          <w:tblCellMar>
            <w:top w:w="0" w:type="dxa"/>
            <w:bottom w:w="0" w:type="dxa"/>
          </w:tblCellMar>
        </w:tblPrEx>
        <w:tc>
          <w:tcPr>
            <w:tcW w:w="1247" w:type="dxa"/>
          </w:tcPr>
          <w:p w:rsidR="00B03BD7" w:rsidRPr="00B03BD7" w:rsidRDefault="00B03BD7" w:rsidP="00B03BD7">
            <w:pPr>
              <w:rPr>
                <w:rFonts w:cs="Frankruhel"/>
                <w:rtl/>
              </w:rPr>
            </w:pPr>
            <w:r>
              <w:rPr>
                <w:rtl/>
              </w:rPr>
              <w:t xml:space="preserve">סעיף 2 </w:t>
            </w:r>
          </w:p>
        </w:tc>
        <w:tc>
          <w:tcPr>
            <w:tcW w:w="5669" w:type="dxa"/>
          </w:tcPr>
          <w:p w:rsidR="00B03BD7" w:rsidRPr="00B03BD7" w:rsidRDefault="00B03BD7" w:rsidP="00B03BD7">
            <w:pPr>
              <w:rPr>
                <w:rFonts w:cs="Frankruhel"/>
                <w:rtl/>
              </w:rPr>
            </w:pPr>
            <w:r>
              <w:rPr>
                <w:rtl/>
              </w:rPr>
              <w:t>הודעה לקרן</w:t>
            </w:r>
          </w:p>
        </w:tc>
        <w:tc>
          <w:tcPr>
            <w:tcW w:w="567" w:type="dxa"/>
          </w:tcPr>
          <w:p w:rsidR="00B03BD7" w:rsidRPr="00B03BD7" w:rsidRDefault="00B03BD7" w:rsidP="00B03BD7">
            <w:pPr>
              <w:rPr>
                <w:rStyle w:val="Hyperlink"/>
                <w:rtl/>
              </w:rPr>
            </w:pPr>
            <w:hyperlink w:anchor="Seif2" w:tooltip="הודעה לקרן" w:history="1">
              <w:r w:rsidRPr="00B03BD7">
                <w:rPr>
                  <w:rStyle w:val="Hyperlink"/>
                </w:rPr>
                <w:t>Go</w:t>
              </w:r>
            </w:hyperlink>
          </w:p>
        </w:tc>
        <w:tc>
          <w:tcPr>
            <w:tcW w:w="850" w:type="dxa"/>
          </w:tcPr>
          <w:p w:rsidR="00B03BD7" w:rsidRPr="00B03BD7" w:rsidRDefault="00B03BD7" w:rsidP="00B03BD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03BD7" w:rsidRPr="00B03BD7" w:rsidTr="00B03BD7">
        <w:tblPrEx>
          <w:tblCellMar>
            <w:top w:w="0" w:type="dxa"/>
            <w:bottom w:w="0" w:type="dxa"/>
          </w:tblCellMar>
        </w:tblPrEx>
        <w:tc>
          <w:tcPr>
            <w:tcW w:w="1247" w:type="dxa"/>
          </w:tcPr>
          <w:p w:rsidR="00B03BD7" w:rsidRPr="00B03BD7" w:rsidRDefault="00B03BD7" w:rsidP="00B03BD7">
            <w:pPr>
              <w:rPr>
                <w:rFonts w:cs="Frankruhel"/>
                <w:rtl/>
              </w:rPr>
            </w:pPr>
            <w:r>
              <w:rPr>
                <w:rtl/>
              </w:rPr>
              <w:t xml:space="preserve">סעיף 3 </w:t>
            </w:r>
          </w:p>
        </w:tc>
        <w:tc>
          <w:tcPr>
            <w:tcW w:w="5669" w:type="dxa"/>
          </w:tcPr>
          <w:p w:rsidR="00B03BD7" w:rsidRPr="00B03BD7" w:rsidRDefault="00B03BD7" w:rsidP="00B03BD7">
            <w:pPr>
              <w:rPr>
                <w:rFonts w:cs="Frankruhel"/>
                <w:rtl/>
              </w:rPr>
            </w:pPr>
            <w:r>
              <w:rPr>
                <w:rtl/>
              </w:rPr>
              <w:t>משיכת כספי קרן</w:t>
            </w:r>
          </w:p>
        </w:tc>
        <w:tc>
          <w:tcPr>
            <w:tcW w:w="567" w:type="dxa"/>
          </w:tcPr>
          <w:p w:rsidR="00B03BD7" w:rsidRPr="00B03BD7" w:rsidRDefault="00B03BD7" w:rsidP="00B03BD7">
            <w:pPr>
              <w:rPr>
                <w:rStyle w:val="Hyperlink"/>
                <w:rtl/>
              </w:rPr>
            </w:pPr>
            <w:hyperlink w:anchor="Seif3" w:tooltip="משיכת כספי קרן" w:history="1">
              <w:r w:rsidRPr="00B03BD7">
                <w:rPr>
                  <w:rStyle w:val="Hyperlink"/>
                </w:rPr>
                <w:t>Go</w:t>
              </w:r>
            </w:hyperlink>
          </w:p>
        </w:tc>
        <w:tc>
          <w:tcPr>
            <w:tcW w:w="850" w:type="dxa"/>
          </w:tcPr>
          <w:p w:rsidR="00B03BD7" w:rsidRPr="00B03BD7" w:rsidRDefault="00B03BD7" w:rsidP="00B03BD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3152C1" w:rsidRDefault="003152C1">
      <w:pPr>
        <w:pStyle w:val="big-header"/>
        <w:ind w:left="0" w:right="1134"/>
        <w:rPr>
          <w:rFonts w:cs="FrankRuehl"/>
          <w:sz w:val="32"/>
          <w:rtl/>
        </w:rPr>
      </w:pPr>
    </w:p>
    <w:p w:rsidR="003152C1" w:rsidRDefault="003152C1" w:rsidP="00F02A65">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(כללים לתנאים שבהם חשבונות שונים בקרן השתלמות ייחשבו לחשבון אחד), תשנ"ג</w:t>
      </w:r>
      <w:r w:rsidR="00982401">
        <w:rPr>
          <w:rFonts w:cs="FrankRuehl" w:hint="cs"/>
          <w:sz w:val="32"/>
          <w:rtl/>
        </w:rPr>
        <w:t>-</w:t>
      </w:r>
      <w:r>
        <w:rPr>
          <w:rFonts w:cs="FrankRuehl"/>
          <w:sz w:val="32"/>
          <w:rtl/>
        </w:rPr>
        <w:t>1993</w:t>
      </w:r>
      <w:r w:rsidR="00982401">
        <w:rPr>
          <w:rStyle w:val="a6"/>
          <w:rFonts w:cs="FrankRuehl"/>
          <w:sz w:val="32"/>
          <w:rtl/>
        </w:rPr>
        <w:footnoteReference w:customMarkFollows="1" w:id="1"/>
        <w:t>*</w:t>
      </w:r>
    </w:p>
    <w:p w:rsidR="003152C1" w:rsidRPr="00416355" w:rsidRDefault="003152C1" w:rsidP="00287CA8">
      <w:pPr>
        <w:pStyle w:val="P00"/>
        <w:spacing w:before="72"/>
        <w:ind w:left="0" w:right="1134"/>
        <w:rPr>
          <w:rStyle w:val="default"/>
          <w:rFonts w:cs="FrankRuehl"/>
          <w:rtl/>
        </w:rPr>
      </w:pPr>
      <w:r w:rsidRPr="00416355">
        <w:rPr>
          <w:rFonts w:cs="FrankRuehl"/>
          <w:sz w:val="26"/>
          <w:rtl/>
        </w:rPr>
        <w:tab/>
      </w:r>
      <w:r w:rsidRPr="00416355">
        <w:rPr>
          <w:rStyle w:val="default"/>
          <w:rFonts w:cs="FrankRuehl"/>
          <w:rtl/>
        </w:rPr>
        <w:t xml:space="preserve">בתוקף סמכותי לפי סעיפים 9(16א), ו-243 לפקודת מס הכנסה (להלן </w:t>
      </w:r>
      <w:r w:rsidR="00952F5A">
        <w:rPr>
          <w:rStyle w:val="default"/>
          <w:rFonts w:cs="FrankRuehl"/>
          <w:rtl/>
        </w:rPr>
        <w:t>–</w:t>
      </w:r>
      <w:r w:rsidRPr="00416355">
        <w:rPr>
          <w:rStyle w:val="default"/>
          <w:rFonts w:cs="FrankRuehl"/>
          <w:rtl/>
        </w:rPr>
        <w:t xml:space="preserve"> הפקודה), אני מתקין תקנות אלה:</w:t>
      </w:r>
    </w:p>
    <w:p w:rsidR="003152C1" w:rsidRPr="00416355" w:rsidRDefault="003152C1">
      <w:pPr>
        <w:pStyle w:val="P00"/>
        <w:spacing w:before="72"/>
        <w:ind w:left="0" w:right="1134"/>
        <w:rPr>
          <w:rStyle w:val="default"/>
          <w:rFonts w:cs="FrankRuehl"/>
          <w:rtl/>
        </w:rPr>
      </w:pPr>
      <w:bookmarkStart w:id="0" w:name="Seif1"/>
      <w:bookmarkEnd w:id="0"/>
      <w:r w:rsidRPr="003507A5">
        <w:rPr>
          <w:rFonts w:cs="Miriam"/>
          <w:lang w:val="he-IL"/>
        </w:rPr>
        <w:pict>
          <v:rect id="_x0000_s1026" style="position:absolute;left:0;text-align:left;margin-left:464.5pt;margin-top:8.05pt;width:75.05pt;height:24pt;z-index:251655680" o:allowincell="f" filled="f" stroked="f" strokecolor="lime" strokeweight=".25pt">
            <v:textbox inset="0,0,0,0">
              <w:txbxContent>
                <w:p w:rsidR="003152C1" w:rsidRDefault="003152C1" w:rsidP="003507A5">
                  <w:pPr>
                    <w:spacing w:line="160" w:lineRule="exact"/>
                    <w:rPr>
                      <w:rFonts w:cs="Miriam"/>
                      <w:noProof/>
                      <w:sz w:val="18"/>
                      <w:szCs w:val="18"/>
                      <w:rtl/>
                    </w:rPr>
                  </w:pPr>
                  <w:r>
                    <w:rPr>
                      <w:rFonts w:cs="Miriam"/>
                      <w:sz w:val="18"/>
                      <w:szCs w:val="18"/>
                      <w:rtl/>
                    </w:rPr>
                    <w:t>פת</w:t>
                  </w:r>
                  <w:r>
                    <w:rPr>
                      <w:rFonts w:cs="Miriam" w:hint="cs"/>
                      <w:sz w:val="18"/>
                      <w:szCs w:val="18"/>
                      <w:rtl/>
                    </w:rPr>
                    <w:t>יחת חשבון</w:t>
                  </w:r>
                  <w:r w:rsidR="003507A5">
                    <w:rPr>
                      <w:rFonts w:cs="Miriam" w:hint="cs"/>
                      <w:sz w:val="18"/>
                      <w:szCs w:val="18"/>
                      <w:rtl/>
                    </w:rPr>
                    <w:t xml:space="preserve"> </w:t>
                  </w:r>
                  <w:r>
                    <w:rPr>
                      <w:rFonts w:cs="Miriam"/>
                      <w:sz w:val="18"/>
                      <w:szCs w:val="18"/>
                      <w:rtl/>
                    </w:rPr>
                    <w:t>בק</w:t>
                  </w:r>
                  <w:r>
                    <w:rPr>
                      <w:rFonts w:cs="Miriam" w:hint="cs"/>
                      <w:sz w:val="18"/>
                      <w:szCs w:val="18"/>
                      <w:rtl/>
                    </w:rPr>
                    <w:t>רן השתלמות</w:t>
                  </w:r>
                  <w:r w:rsidR="003507A5">
                    <w:rPr>
                      <w:rFonts w:cs="Miriam" w:hint="cs"/>
                      <w:noProof/>
                      <w:sz w:val="18"/>
                      <w:szCs w:val="18"/>
                      <w:rtl/>
                    </w:rPr>
                    <w:t xml:space="preserve"> </w:t>
                  </w:r>
                  <w:r>
                    <w:rPr>
                      <w:rFonts w:cs="Miriam"/>
                      <w:sz w:val="18"/>
                      <w:szCs w:val="18"/>
                      <w:rtl/>
                    </w:rPr>
                    <w:t>שנ</w:t>
                  </w:r>
                  <w:r>
                    <w:rPr>
                      <w:rFonts w:cs="Miriam" w:hint="cs"/>
                      <w:sz w:val="18"/>
                      <w:szCs w:val="18"/>
                      <w:rtl/>
                    </w:rPr>
                    <w:t>יה</w:t>
                  </w:r>
                </w:p>
              </w:txbxContent>
            </v:textbox>
            <w10:anchorlock/>
          </v:rect>
        </w:pict>
      </w:r>
      <w:r w:rsidRPr="003507A5">
        <w:rPr>
          <w:rStyle w:val="big-number"/>
          <w:rFonts w:cs="Miriam"/>
          <w:rtl/>
        </w:rPr>
        <w:t>1</w:t>
      </w:r>
      <w:r w:rsidRPr="003507A5">
        <w:rPr>
          <w:rStyle w:val="big-number"/>
          <w:rFonts w:cs="FrankRuehl"/>
          <w:sz w:val="26"/>
          <w:szCs w:val="26"/>
          <w:rtl/>
        </w:rPr>
        <w:t>.</w:t>
      </w:r>
      <w:r w:rsidRPr="003507A5">
        <w:rPr>
          <w:rStyle w:val="big-number"/>
          <w:rFonts w:cs="FrankRuehl"/>
          <w:sz w:val="26"/>
          <w:szCs w:val="26"/>
          <w:rtl/>
        </w:rPr>
        <w:tab/>
      </w:r>
      <w:r w:rsidRPr="00416355">
        <w:rPr>
          <w:rStyle w:val="default"/>
          <w:rFonts w:cs="FrankRuehl"/>
          <w:rtl/>
        </w:rPr>
        <w:t>(א)</w:t>
      </w:r>
      <w:r w:rsidRPr="00416355">
        <w:rPr>
          <w:rStyle w:val="default"/>
          <w:rFonts w:cs="FrankRuehl"/>
          <w:rtl/>
        </w:rPr>
        <w:tab/>
        <w:t>עובד אשר חשבונו בקרן השתלמות אחת נסגר לתשלומים נוספים ונפתח לו חשבון בקרן השתלמות שניה במקום החשבון שנסגר יראו את שני החשבונות, לענין סעיף 9(16א) לפקודה, כחשבון אחד אם מתקיימים התנאים הבאים:</w:t>
      </w:r>
    </w:p>
    <w:p w:rsidR="003152C1" w:rsidRPr="00416355" w:rsidRDefault="003152C1">
      <w:pPr>
        <w:pStyle w:val="P22"/>
        <w:spacing w:before="72"/>
        <w:ind w:left="1021" w:right="1134"/>
        <w:rPr>
          <w:rStyle w:val="default"/>
          <w:rFonts w:cs="FrankRuehl"/>
          <w:rtl/>
        </w:rPr>
      </w:pPr>
      <w:r w:rsidRPr="00416355">
        <w:rPr>
          <w:rStyle w:val="default"/>
          <w:rFonts w:cs="FrankRuehl"/>
          <w:rtl/>
        </w:rPr>
        <w:t>(1)</w:t>
      </w:r>
      <w:r w:rsidRPr="00416355">
        <w:rPr>
          <w:rStyle w:val="default"/>
          <w:rFonts w:cs="FrankRuehl"/>
          <w:rtl/>
        </w:rPr>
        <w:tab/>
        <w:t>העובד והמעביד מסרו הודעת שינוי לקרן האחת ולקרן השניה והצהירו בה כי כל תשלומיהם לקרן השתלמות, לגבי אותו עובד, הם לקרן השניה בלבד;</w:t>
      </w:r>
    </w:p>
    <w:p w:rsidR="003152C1" w:rsidRPr="00416355" w:rsidRDefault="003152C1">
      <w:pPr>
        <w:pStyle w:val="P22"/>
        <w:spacing w:before="72"/>
        <w:ind w:left="1021" w:right="1134"/>
        <w:rPr>
          <w:rStyle w:val="default"/>
          <w:rFonts w:cs="FrankRuehl"/>
          <w:rtl/>
        </w:rPr>
      </w:pPr>
      <w:r w:rsidRPr="00416355">
        <w:rPr>
          <w:rStyle w:val="default"/>
          <w:rFonts w:cs="FrankRuehl"/>
          <w:rtl/>
        </w:rPr>
        <w:t>(2)</w:t>
      </w:r>
      <w:r w:rsidRPr="00416355">
        <w:rPr>
          <w:rStyle w:val="default"/>
          <w:rFonts w:cs="FrankRuehl"/>
          <w:rtl/>
        </w:rPr>
        <w:tab/>
        <w:t>לא נמשכו כספים בפטור ממס מחשבונו בקרן האחת לפני סגירת אותו חשבון ולא יופקדו בו כספים לאחר סגירתו.</w:t>
      </w:r>
    </w:p>
    <w:p w:rsidR="003152C1" w:rsidRPr="00416355" w:rsidRDefault="003152C1" w:rsidP="00287CA8">
      <w:pPr>
        <w:pStyle w:val="P00"/>
        <w:spacing w:before="72"/>
        <w:ind w:left="0" w:right="1134"/>
        <w:rPr>
          <w:rStyle w:val="default"/>
          <w:rFonts w:cs="FrankRuehl"/>
          <w:rtl/>
        </w:rPr>
      </w:pPr>
      <w:r w:rsidRPr="00416355">
        <w:rPr>
          <w:rFonts w:cs="FrankRuehl"/>
          <w:lang w:val="he-IL"/>
        </w:rPr>
        <w:pict>
          <v:rect id="_x0000_s1027" style="position:absolute;left:0;text-align:left;margin-left:464.5pt;margin-top:8.05pt;width:75.05pt;height:9.5pt;z-index:251656704" o:allowincell="f" filled="f" stroked="f" strokecolor="lime" strokeweight=".25pt">
            <v:textbox inset="0,0,0,0">
              <w:txbxContent>
                <w:p w:rsidR="003152C1" w:rsidRDefault="003152C1" w:rsidP="003507A5">
                  <w:pPr>
                    <w:spacing w:line="160" w:lineRule="exact"/>
                    <w:rPr>
                      <w:rFonts w:cs="Miriam"/>
                      <w:noProof/>
                      <w:sz w:val="18"/>
                      <w:szCs w:val="18"/>
                      <w:rtl/>
                    </w:rPr>
                  </w:pPr>
                  <w:r>
                    <w:rPr>
                      <w:rFonts w:cs="Miriam"/>
                      <w:sz w:val="18"/>
                      <w:szCs w:val="18"/>
                      <w:rtl/>
                    </w:rPr>
                    <w:t>תק</w:t>
                  </w:r>
                  <w:r>
                    <w:rPr>
                      <w:rFonts w:cs="Miriam" w:hint="cs"/>
                      <w:sz w:val="18"/>
                      <w:szCs w:val="18"/>
                      <w:rtl/>
                    </w:rPr>
                    <w:t>' תשנ"ו</w:t>
                  </w:r>
                  <w:r w:rsidR="003507A5">
                    <w:rPr>
                      <w:rFonts w:cs="Miriam" w:hint="cs"/>
                      <w:sz w:val="18"/>
                      <w:szCs w:val="18"/>
                      <w:rtl/>
                    </w:rPr>
                    <w:t>-</w:t>
                  </w:r>
                  <w:r>
                    <w:rPr>
                      <w:rFonts w:cs="Miriam"/>
                      <w:sz w:val="18"/>
                      <w:szCs w:val="18"/>
                      <w:rtl/>
                    </w:rPr>
                    <w:t>1996</w:t>
                  </w:r>
                </w:p>
              </w:txbxContent>
            </v:textbox>
            <w10:anchorlock/>
          </v:rect>
        </w:pict>
      </w:r>
      <w:r w:rsidRPr="00416355">
        <w:rPr>
          <w:rFonts w:cs="FrankRuehl"/>
          <w:sz w:val="26"/>
          <w:rtl/>
        </w:rPr>
        <w:tab/>
      </w:r>
      <w:r w:rsidRPr="00416355">
        <w:rPr>
          <w:rStyle w:val="default"/>
          <w:rFonts w:cs="FrankRuehl"/>
          <w:rtl/>
        </w:rPr>
        <w:t>(ב)</w:t>
      </w:r>
      <w:r w:rsidRPr="00416355">
        <w:rPr>
          <w:rStyle w:val="default"/>
          <w:rFonts w:cs="FrankRuehl"/>
          <w:rtl/>
        </w:rPr>
        <w:tab/>
        <w:t xml:space="preserve">עמית-שכיר בקרן השתלמות שחשבונו נסגר לתשלומים נוספים ונפתח לו חשבון באותה קרן השתלמות או בקרן השתלמות אחרת במעמד של עמית-עצמאי, או להיפך, יראו את שני החשבונות לענין סעיף 9(16א) או (16ב) לפקודה כחשבון אחד, אם מתקיים בחשבון האמור בתקנת משנה (א)(2); לענין זה, "עמית-עצמאי" </w:t>
      </w:r>
      <w:r w:rsidR="00952F5A">
        <w:rPr>
          <w:rStyle w:val="default"/>
          <w:rFonts w:cs="FrankRuehl"/>
          <w:rtl/>
        </w:rPr>
        <w:t>–</w:t>
      </w:r>
      <w:r w:rsidRPr="00416355">
        <w:rPr>
          <w:rStyle w:val="default"/>
          <w:rFonts w:cs="FrankRuehl"/>
          <w:rtl/>
        </w:rPr>
        <w:t xml:space="preserve"> לרבות חבר קיבוץ וחבר מושב שיתופי.</w:t>
      </w:r>
    </w:p>
    <w:p w:rsidR="003152C1" w:rsidRDefault="003152C1">
      <w:pPr>
        <w:pStyle w:val="P00"/>
        <w:spacing w:before="72"/>
        <w:ind w:left="0" w:right="1134"/>
        <w:rPr>
          <w:rStyle w:val="default"/>
          <w:rFonts w:cs="FrankRuehl" w:hint="cs"/>
          <w:rtl/>
        </w:rPr>
      </w:pPr>
      <w:r w:rsidRPr="00416355">
        <w:rPr>
          <w:rFonts w:cs="FrankRuehl"/>
          <w:lang w:val="he-IL"/>
        </w:rPr>
        <w:pict>
          <v:rect id="_x0000_s1028" style="position:absolute;left:0;text-align:left;margin-left:464.5pt;margin-top:8.05pt;width:75.05pt;height:11.9pt;z-index:251657728" o:allowincell="f" filled="f" stroked="f" strokecolor="lime" strokeweight=".25pt">
            <v:textbox inset="0,0,0,0">
              <w:txbxContent>
                <w:p w:rsidR="003152C1" w:rsidRDefault="003152C1" w:rsidP="003507A5">
                  <w:pPr>
                    <w:spacing w:line="160" w:lineRule="exact"/>
                    <w:rPr>
                      <w:rFonts w:cs="Miriam"/>
                      <w:noProof/>
                      <w:sz w:val="18"/>
                      <w:szCs w:val="18"/>
                      <w:rtl/>
                    </w:rPr>
                  </w:pPr>
                  <w:r>
                    <w:rPr>
                      <w:rFonts w:cs="Miriam"/>
                      <w:sz w:val="18"/>
                      <w:szCs w:val="18"/>
                      <w:rtl/>
                    </w:rPr>
                    <w:t>תק</w:t>
                  </w:r>
                  <w:r>
                    <w:rPr>
                      <w:rFonts w:cs="Miriam" w:hint="cs"/>
                      <w:sz w:val="18"/>
                      <w:szCs w:val="18"/>
                      <w:rtl/>
                    </w:rPr>
                    <w:t>' תשנ"ו</w:t>
                  </w:r>
                  <w:r w:rsidR="003507A5">
                    <w:rPr>
                      <w:rFonts w:cs="Miriam" w:hint="cs"/>
                      <w:sz w:val="18"/>
                      <w:szCs w:val="18"/>
                      <w:rtl/>
                    </w:rPr>
                    <w:t>-</w:t>
                  </w:r>
                  <w:r>
                    <w:rPr>
                      <w:rFonts w:cs="Miriam"/>
                      <w:sz w:val="18"/>
                      <w:szCs w:val="18"/>
                      <w:rtl/>
                    </w:rPr>
                    <w:t>1996</w:t>
                  </w:r>
                </w:p>
              </w:txbxContent>
            </v:textbox>
            <w10:anchorlock/>
          </v:rect>
        </w:pict>
      </w:r>
      <w:r w:rsidRPr="00416355">
        <w:rPr>
          <w:rFonts w:cs="FrankRuehl"/>
          <w:sz w:val="26"/>
          <w:rtl/>
        </w:rPr>
        <w:tab/>
      </w:r>
      <w:r w:rsidRPr="00416355">
        <w:rPr>
          <w:rStyle w:val="default"/>
          <w:rFonts w:cs="FrankRuehl"/>
          <w:rtl/>
        </w:rPr>
        <w:t>(ג)</w:t>
      </w:r>
      <w:r w:rsidRPr="00416355">
        <w:rPr>
          <w:rStyle w:val="default"/>
          <w:rFonts w:cs="FrankRuehl"/>
          <w:rtl/>
        </w:rPr>
        <w:tab/>
        <w:t>הוראה זו לא תחול על חשבון שנסגר לפי הוראות סעיף 9(16א) ו-9(16ב) לפקודה.</w:t>
      </w:r>
    </w:p>
    <w:p w:rsidR="00287CA8" w:rsidRPr="00952F5A" w:rsidRDefault="00287CA8" w:rsidP="00287CA8">
      <w:pPr>
        <w:pStyle w:val="P00"/>
        <w:spacing w:before="0"/>
        <w:ind w:left="0" w:right="1134"/>
        <w:rPr>
          <w:rStyle w:val="default"/>
          <w:rFonts w:cs="FrankRuehl" w:hint="cs"/>
          <w:vanish/>
          <w:color w:val="FF0000"/>
          <w:sz w:val="20"/>
          <w:szCs w:val="20"/>
          <w:shd w:val="clear" w:color="auto" w:fill="FFFF99"/>
          <w:rtl/>
        </w:rPr>
      </w:pPr>
      <w:bookmarkStart w:id="1" w:name="Rov6"/>
      <w:r w:rsidRPr="00952F5A">
        <w:rPr>
          <w:rStyle w:val="default"/>
          <w:rFonts w:cs="FrankRuehl" w:hint="cs"/>
          <w:vanish/>
          <w:color w:val="FF0000"/>
          <w:sz w:val="20"/>
          <w:szCs w:val="20"/>
          <w:shd w:val="clear" w:color="auto" w:fill="FFFF99"/>
          <w:rtl/>
        </w:rPr>
        <w:t>מיום 27.6.1996</w:t>
      </w:r>
    </w:p>
    <w:p w:rsidR="00287CA8" w:rsidRPr="00952F5A" w:rsidRDefault="00287CA8" w:rsidP="00287CA8">
      <w:pPr>
        <w:pStyle w:val="P00"/>
        <w:spacing w:before="0"/>
        <w:ind w:left="0" w:right="1134"/>
        <w:rPr>
          <w:rStyle w:val="default"/>
          <w:rFonts w:cs="FrankRuehl" w:hint="cs"/>
          <w:vanish/>
          <w:sz w:val="20"/>
          <w:szCs w:val="20"/>
          <w:shd w:val="clear" w:color="auto" w:fill="FFFF99"/>
          <w:rtl/>
        </w:rPr>
      </w:pPr>
      <w:r w:rsidRPr="00952F5A">
        <w:rPr>
          <w:rStyle w:val="default"/>
          <w:rFonts w:cs="FrankRuehl" w:hint="cs"/>
          <w:b/>
          <w:bCs/>
          <w:vanish/>
          <w:sz w:val="20"/>
          <w:szCs w:val="20"/>
          <w:shd w:val="clear" w:color="auto" w:fill="FFFF99"/>
          <w:rtl/>
        </w:rPr>
        <w:t>תק' תשנ"ו-1996</w:t>
      </w:r>
    </w:p>
    <w:p w:rsidR="00287CA8" w:rsidRPr="00952F5A" w:rsidRDefault="00287CA8" w:rsidP="00287CA8">
      <w:pPr>
        <w:pStyle w:val="P00"/>
        <w:spacing w:before="0"/>
        <w:ind w:left="0" w:right="1134"/>
        <w:rPr>
          <w:rStyle w:val="default"/>
          <w:rFonts w:cs="FrankRuehl" w:hint="cs"/>
          <w:vanish/>
          <w:sz w:val="20"/>
          <w:szCs w:val="20"/>
          <w:shd w:val="clear" w:color="auto" w:fill="FFFF99"/>
          <w:rtl/>
        </w:rPr>
      </w:pPr>
      <w:hyperlink r:id="rId6" w:history="1">
        <w:r w:rsidRPr="00952F5A">
          <w:rPr>
            <w:rStyle w:val="Hyperlink"/>
            <w:rFonts w:cs="FrankRuehl" w:hint="cs"/>
            <w:vanish/>
            <w:szCs w:val="20"/>
            <w:shd w:val="clear" w:color="auto" w:fill="FFFF99"/>
            <w:rtl/>
          </w:rPr>
          <w:t>ק"ת תשנ"ו מס' 5768</w:t>
        </w:r>
      </w:hyperlink>
      <w:r w:rsidRPr="00952F5A">
        <w:rPr>
          <w:rStyle w:val="default"/>
          <w:rFonts w:cs="FrankRuehl" w:hint="cs"/>
          <w:vanish/>
          <w:sz w:val="20"/>
          <w:szCs w:val="20"/>
          <w:shd w:val="clear" w:color="auto" w:fill="FFFF99"/>
          <w:rtl/>
        </w:rPr>
        <w:t xml:space="preserve"> מיום 27.6.1996 עמ' 1348</w:t>
      </w:r>
    </w:p>
    <w:p w:rsidR="00287CA8" w:rsidRPr="00952F5A" w:rsidRDefault="00287CA8" w:rsidP="00287CA8">
      <w:pPr>
        <w:pStyle w:val="P00"/>
        <w:ind w:left="0" w:right="1134"/>
        <w:rPr>
          <w:rStyle w:val="default"/>
          <w:rFonts w:cs="FrankRuehl"/>
          <w:vanish/>
          <w:sz w:val="22"/>
          <w:szCs w:val="22"/>
          <w:u w:val="single"/>
          <w:shd w:val="clear" w:color="auto" w:fill="FFFF99"/>
          <w:rtl/>
        </w:rPr>
      </w:pPr>
      <w:r w:rsidRPr="00952F5A">
        <w:rPr>
          <w:rFonts w:cs="FrankRuehl"/>
          <w:vanish/>
          <w:sz w:val="22"/>
          <w:szCs w:val="22"/>
          <w:shd w:val="clear" w:color="auto" w:fill="FFFF99"/>
          <w:rtl/>
        </w:rPr>
        <w:tab/>
      </w:r>
      <w:r w:rsidRPr="00952F5A">
        <w:rPr>
          <w:rStyle w:val="default"/>
          <w:rFonts w:cs="FrankRuehl"/>
          <w:vanish/>
          <w:sz w:val="22"/>
          <w:szCs w:val="22"/>
          <w:u w:val="single"/>
          <w:shd w:val="clear" w:color="auto" w:fill="FFFF99"/>
          <w:rtl/>
        </w:rPr>
        <w:t>(ב)</w:t>
      </w:r>
      <w:r w:rsidRPr="00952F5A">
        <w:rPr>
          <w:rStyle w:val="default"/>
          <w:rFonts w:cs="FrankRuehl"/>
          <w:vanish/>
          <w:sz w:val="22"/>
          <w:szCs w:val="22"/>
          <w:u w:val="single"/>
          <w:shd w:val="clear" w:color="auto" w:fill="FFFF99"/>
          <w:rtl/>
        </w:rPr>
        <w:tab/>
        <w:t xml:space="preserve">עמית-שכיר בקרן השתלמות שחשבונו נסגר לתשלומים נוספים ונפתח לו חשבון באותה קרן השתלמות או בקרן השתלמות אחרת במעמד של עמית-עצמאי, או להיפך, יראו את שני החשבונות לענין סעיף 9(16א) או (16ב) לפקודה כחשבון אחד, אם מתקיים בחשבון האמור בתקנת משנה (א)(2); לענין זה, "עמית-עצמאי" </w:t>
      </w:r>
      <w:r w:rsidR="00952F5A" w:rsidRPr="00952F5A">
        <w:rPr>
          <w:rStyle w:val="default"/>
          <w:rFonts w:cs="FrankRuehl"/>
          <w:vanish/>
          <w:sz w:val="22"/>
          <w:szCs w:val="22"/>
          <w:u w:val="single"/>
          <w:shd w:val="clear" w:color="auto" w:fill="FFFF99"/>
          <w:rtl/>
        </w:rPr>
        <w:t>–</w:t>
      </w:r>
      <w:r w:rsidRPr="00952F5A">
        <w:rPr>
          <w:rStyle w:val="default"/>
          <w:rFonts w:cs="FrankRuehl"/>
          <w:vanish/>
          <w:sz w:val="22"/>
          <w:szCs w:val="22"/>
          <w:u w:val="single"/>
          <w:shd w:val="clear" w:color="auto" w:fill="FFFF99"/>
          <w:rtl/>
        </w:rPr>
        <w:t xml:space="preserve"> לרבות חבר קיבוץ וחבר מושב שיתופי.</w:t>
      </w:r>
    </w:p>
    <w:p w:rsidR="00287CA8" w:rsidRPr="00287CA8" w:rsidRDefault="00287CA8" w:rsidP="00287CA8">
      <w:pPr>
        <w:pStyle w:val="P00"/>
        <w:spacing w:before="0"/>
        <w:ind w:left="0" w:right="1134"/>
        <w:rPr>
          <w:rStyle w:val="default"/>
          <w:rFonts w:cs="FrankRuehl" w:hint="cs"/>
          <w:sz w:val="2"/>
          <w:szCs w:val="2"/>
          <w:rtl/>
        </w:rPr>
      </w:pPr>
      <w:r w:rsidRPr="00952F5A">
        <w:rPr>
          <w:rFonts w:cs="FrankRuehl"/>
          <w:vanish/>
          <w:sz w:val="22"/>
          <w:szCs w:val="22"/>
          <w:shd w:val="clear" w:color="auto" w:fill="FFFF99"/>
          <w:rtl/>
        </w:rPr>
        <w:tab/>
      </w:r>
      <w:r w:rsidRPr="00952F5A">
        <w:rPr>
          <w:rFonts w:cs="FrankRuehl" w:hint="cs"/>
          <w:strike/>
          <w:vanish/>
          <w:sz w:val="22"/>
          <w:szCs w:val="22"/>
          <w:shd w:val="clear" w:color="auto" w:fill="FFFF99"/>
          <w:rtl/>
        </w:rPr>
        <w:t>(ב)</w:t>
      </w:r>
      <w:r w:rsidRPr="00952F5A">
        <w:rPr>
          <w:rFonts w:cs="FrankRuehl" w:hint="cs"/>
          <w:vanish/>
          <w:sz w:val="22"/>
          <w:szCs w:val="22"/>
          <w:shd w:val="clear" w:color="auto" w:fill="FFFF99"/>
          <w:rtl/>
        </w:rPr>
        <w:t xml:space="preserve"> </w:t>
      </w:r>
      <w:r w:rsidRPr="00952F5A">
        <w:rPr>
          <w:rStyle w:val="default"/>
          <w:rFonts w:cs="FrankRuehl"/>
          <w:vanish/>
          <w:sz w:val="22"/>
          <w:szCs w:val="22"/>
          <w:u w:val="single"/>
          <w:shd w:val="clear" w:color="auto" w:fill="FFFF99"/>
          <w:rtl/>
        </w:rPr>
        <w:t>(ג)</w:t>
      </w:r>
      <w:r w:rsidRPr="00952F5A">
        <w:rPr>
          <w:rStyle w:val="default"/>
          <w:rFonts w:cs="FrankRuehl" w:hint="cs"/>
          <w:vanish/>
          <w:sz w:val="22"/>
          <w:szCs w:val="22"/>
          <w:shd w:val="clear" w:color="auto" w:fill="FFFF99"/>
          <w:rtl/>
        </w:rPr>
        <w:t xml:space="preserve"> </w:t>
      </w:r>
      <w:r w:rsidRPr="00952F5A">
        <w:rPr>
          <w:rStyle w:val="default"/>
          <w:rFonts w:cs="FrankRuehl"/>
          <w:vanish/>
          <w:sz w:val="22"/>
          <w:szCs w:val="22"/>
          <w:shd w:val="clear" w:color="auto" w:fill="FFFF99"/>
          <w:rtl/>
        </w:rPr>
        <w:t>הוראה זו לא תחול על חשבון שנסגר</w:t>
      </w:r>
      <w:r w:rsidRPr="00952F5A">
        <w:rPr>
          <w:rStyle w:val="default"/>
          <w:rFonts w:cs="FrankRuehl" w:hint="cs"/>
          <w:vanish/>
          <w:sz w:val="22"/>
          <w:szCs w:val="22"/>
          <w:shd w:val="clear" w:color="auto" w:fill="FFFF99"/>
          <w:rtl/>
        </w:rPr>
        <w:t xml:space="preserve"> </w:t>
      </w:r>
      <w:r w:rsidRPr="00952F5A">
        <w:rPr>
          <w:rStyle w:val="default"/>
          <w:rFonts w:cs="FrankRuehl" w:hint="cs"/>
          <w:strike/>
          <w:vanish/>
          <w:sz w:val="22"/>
          <w:szCs w:val="22"/>
          <w:shd w:val="clear" w:color="auto" w:fill="FFFF99"/>
          <w:rtl/>
        </w:rPr>
        <w:t>לפי הוראות סעיף 9(16א) לפקודה</w:t>
      </w:r>
      <w:r w:rsidRPr="00952F5A">
        <w:rPr>
          <w:rStyle w:val="default"/>
          <w:rFonts w:cs="FrankRuehl"/>
          <w:vanish/>
          <w:sz w:val="22"/>
          <w:szCs w:val="22"/>
          <w:shd w:val="clear" w:color="auto" w:fill="FFFF99"/>
          <w:rtl/>
        </w:rPr>
        <w:t xml:space="preserve"> </w:t>
      </w:r>
      <w:r w:rsidRPr="00952F5A">
        <w:rPr>
          <w:rStyle w:val="default"/>
          <w:rFonts w:cs="FrankRuehl"/>
          <w:vanish/>
          <w:sz w:val="22"/>
          <w:szCs w:val="22"/>
          <w:u w:val="single"/>
          <w:shd w:val="clear" w:color="auto" w:fill="FFFF99"/>
          <w:rtl/>
        </w:rPr>
        <w:t>לפי הוראות סעיף 9(16א) ו-9(16ב) לפקודה</w:t>
      </w:r>
      <w:r w:rsidRPr="00952F5A">
        <w:rPr>
          <w:rStyle w:val="default"/>
          <w:rFonts w:cs="FrankRuehl"/>
          <w:vanish/>
          <w:sz w:val="22"/>
          <w:szCs w:val="22"/>
          <w:shd w:val="clear" w:color="auto" w:fill="FFFF99"/>
          <w:rtl/>
        </w:rPr>
        <w:t>.</w:t>
      </w:r>
      <w:bookmarkEnd w:id="1"/>
    </w:p>
    <w:p w:rsidR="003152C1" w:rsidRPr="00416355" w:rsidRDefault="003152C1">
      <w:pPr>
        <w:pStyle w:val="P00"/>
        <w:spacing w:before="72"/>
        <w:ind w:left="0" w:right="1134"/>
        <w:rPr>
          <w:rStyle w:val="default"/>
          <w:rFonts w:cs="FrankRuehl"/>
          <w:rtl/>
        </w:rPr>
      </w:pPr>
      <w:bookmarkStart w:id="2" w:name="Seif2"/>
      <w:bookmarkEnd w:id="2"/>
      <w:r w:rsidRPr="003507A5">
        <w:rPr>
          <w:rFonts w:cs="Miriam"/>
          <w:lang w:val="he-IL"/>
        </w:rPr>
        <w:pict>
          <v:rect id="_x0000_s1029" style="position:absolute;left:0;text-align:left;margin-left:464.5pt;margin-top:8.05pt;width:75.05pt;height:11.7pt;z-index:251658752" o:allowincell="f" filled="f" stroked="f" strokecolor="lime" strokeweight=".25pt">
            <v:textbox inset="0,0,0,0">
              <w:txbxContent>
                <w:p w:rsidR="003152C1" w:rsidRDefault="003152C1">
                  <w:pPr>
                    <w:spacing w:line="160" w:lineRule="exact"/>
                    <w:rPr>
                      <w:rFonts w:cs="Miriam"/>
                      <w:noProof/>
                      <w:sz w:val="18"/>
                      <w:szCs w:val="18"/>
                      <w:rtl/>
                    </w:rPr>
                  </w:pPr>
                  <w:r>
                    <w:rPr>
                      <w:rFonts w:cs="Miriam"/>
                      <w:sz w:val="18"/>
                      <w:szCs w:val="18"/>
                      <w:rtl/>
                    </w:rPr>
                    <w:t>הו</w:t>
                  </w:r>
                  <w:r>
                    <w:rPr>
                      <w:rFonts w:cs="Miriam" w:hint="cs"/>
                      <w:sz w:val="18"/>
                      <w:szCs w:val="18"/>
                      <w:rtl/>
                    </w:rPr>
                    <w:t>דעה לקרן</w:t>
                  </w:r>
                </w:p>
              </w:txbxContent>
            </v:textbox>
            <w10:anchorlock/>
          </v:rect>
        </w:pict>
      </w:r>
      <w:r w:rsidRPr="003507A5">
        <w:rPr>
          <w:rStyle w:val="big-number"/>
          <w:rFonts w:cs="Miriam"/>
          <w:rtl/>
        </w:rPr>
        <w:t>2</w:t>
      </w:r>
      <w:r w:rsidRPr="003507A5">
        <w:rPr>
          <w:rStyle w:val="big-number"/>
          <w:rFonts w:cs="FrankRuehl"/>
          <w:sz w:val="26"/>
          <w:szCs w:val="26"/>
          <w:rtl/>
        </w:rPr>
        <w:t>.</w:t>
      </w:r>
      <w:r w:rsidRPr="003507A5">
        <w:rPr>
          <w:rStyle w:val="big-number"/>
          <w:rFonts w:cs="FrankRuehl"/>
          <w:sz w:val="26"/>
          <w:szCs w:val="26"/>
          <w:rtl/>
        </w:rPr>
        <w:tab/>
      </w:r>
      <w:r w:rsidRPr="00416355">
        <w:rPr>
          <w:rStyle w:val="default"/>
          <w:rFonts w:cs="FrankRuehl"/>
          <w:rtl/>
        </w:rPr>
        <w:t>(א)</w:t>
      </w:r>
      <w:r w:rsidRPr="00416355">
        <w:rPr>
          <w:rStyle w:val="default"/>
          <w:rFonts w:cs="FrankRuehl"/>
          <w:rtl/>
        </w:rPr>
        <w:tab/>
        <w:t>בהודעה לקרן האחת יצויין שם הקרן השניה ומספר החשבון שייפתח בה במקום החשבון שנסגר.</w:t>
      </w:r>
    </w:p>
    <w:p w:rsidR="003152C1" w:rsidRPr="00416355" w:rsidRDefault="003152C1">
      <w:pPr>
        <w:pStyle w:val="P00"/>
        <w:spacing w:before="72"/>
        <w:ind w:left="0" w:right="1134"/>
        <w:rPr>
          <w:rStyle w:val="default"/>
          <w:rFonts w:cs="FrankRuehl"/>
          <w:rtl/>
        </w:rPr>
      </w:pPr>
      <w:r w:rsidRPr="00416355">
        <w:rPr>
          <w:rFonts w:cs="FrankRuehl"/>
          <w:sz w:val="26"/>
          <w:rtl/>
        </w:rPr>
        <w:tab/>
      </w:r>
      <w:r w:rsidRPr="00416355">
        <w:rPr>
          <w:rStyle w:val="default"/>
          <w:rFonts w:cs="FrankRuehl"/>
          <w:rtl/>
        </w:rPr>
        <w:t>(ב)</w:t>
      </w:r>
      <w:r w:rsidRPr="00416355">
        <w:rPr>
          <w:rStyle w:val="default"/>
          <w:rFonts w:cs="FrankRuehl"/>
          <w:rtl/>
        </w:rPr>
        <w:tab/>
        <w:t>הקרן האחת תמסור בהודעה לקרן השניה, מיד לאחר הודעת השינוי, את מועד התשלום הראשון לחשבון שנסגר, סכום הכסף שנמשך מאותו חשבון, מועד המשיכה ומטרתה, ותאשר את סגירת החשבון בהודעתה כאמור.</w:t>
      </w:r>
    </w:p>
    <w:p w:rsidR="003152C1" w:rsidRPr="00416355" w:rsidRDefault="003152C1">
      <w:pPr>
        <w:pStyle w:val="P00"/>
        <w:spacing w:before="72"/>
        <w:ind w:left="0" w:right="1134"/>
        <w:rPr>
          <w:rStyle w:val="default"/>
          <w:rFonts w:cs="FrankRuehl"/>
          <w:rtl/>
        </w:rPr>
      </w:pPr>
      <w:bookmarkStart w:id="3" w:name="Seif3"/>
      <w:bookmarkEnd w:id="3"/>
      <w:r w:rsidRPr="003507A5">
        <w:rPr>
          <w:rFonts w:cs="Miriam"/>
          <w:lang w:val="he-IL"/>
        </w:rPr>
        <w:pict>
          <v:rect id="_x0000_s1030" style="position:absolute;left:0;text-align:left;margin-left:464.5pt;margin-top:8.05pt;width:75.05pt;height:10.1pt;z-index:251659776" o:allowincell="f" filled="f" stroked="f" strokecolor="lime" strokeweight=".25pt">
            <v:textbox inset="0,0,0,0">
              <w:txbxContent>
                <w:p w:rsidR="003152C1" w:rsidRDefault="003152C1">
                  <w:pPr>
                    <w:spacing w:line="160" w:lineRule="exact"/>
                    <w:rPr>
                      <w:rFonts w:cs="Miriam"/>
                      <w:noProof/>
                      <w:sz w:val="18"/>
                      <w:szCs w:val="18"/>
                      <w:rtl/>
                    </w:rPr>
                  </w:pPr>
                  <w:r>
                    <w:rPr>
                      <w:rFonts w:cs="Miriam"/>
                      <w:sz w:val="18"/>
                      <w:szCs w:val="18"/>
                      <w:rtl/>
                    </w:rPr>
                    <w:t>מש</w:t>
                  </w:r>
                  <w:r>
                    <w:rPr>
                      <w:rFonts w:cs="Miriam" w:hint="cs"/>
                      <w:sz w:val="18"/>
                      <w:szCs w:val="18"/>
                      <w:rtl/>
                    </w:rPr>
                    <w:t>יכת כספי קר</w:t>
                  </w:r>
                  <w:r>
                    <w:rPr>
                      <w:rFonts w:cs="Miriam"/>
                      <w:sz w:val="18"/>
                      <w:szCs w:val="18"/>
                      <w:rtl/>
                    </w:rPr>
                    <w:t>ן</w:t>
                  </w:r>
                </w:p>
              </w:txbxContent>
            </v:textbox>
            <w10:anchorlock/>
          </v:rect>
        </w:pict>
      </w:r>
      <w:r w:rsidRPr="003507A5">
        <w:rPr>
          <w:rStyle w:val="big-number"/>
          <w:rFonts w:cs="Miriam"/>
          <w:rtl/>
        </w:rPr>
        <w:t>3</w:t>
      </w:r>
      <w:r w:rsidRPr="003507A5">
        <w:rPr>
          <w:rStyle w:val="big-number"/>
          <w:rFonts w:cs="FrankRuehl"/>
          <w:sz w:val="26"/>
          <w:szCs w:val="26"/>
          <w:rtl/>
        </w:rPr>
        <w:t>.</w:t>
      </w:r>
      <w:r w:rsidRPr="003507A5">
        <w:rPr>
          <w:rStyle w:val="big-number"/>
          <w:rFonts w:cs="FrankRuehl"/>
          <w:sz w:val="26"/>
          <w:szCs w:val="26"/>
          <w:rtl/>
        </w:rPr>
        <w:tab/>
      </w:r>
      <w:r w:rsidRPr="00416355">
        <w:rPr>
          <w:rStyle w:val="default"/>
          <w:rFonts w:cs="FrankRuehl"/>
          <w:rtl/>
        </w:rPr>
        <w:t>עובד רשאי למשוך כספים מחשבונו בקרן האחת רק לאחר משיכת כל הכספים מחשבונו בקרן השניה.</w:t>
      </w:r>
    </w:p>
    <w:p w:rsidR="003152C1" w:rsidRPr="003507A5" w:rsidRDefault="003152C1">
      <w:pPr>
        <w:pStyle w:val="P00"/>
        <w:spacing w:before="72"/>
        <w:ind w:left="0" w:right="1134"/>
        <w:rPr>
          <w:rStyle w:val="default"/>
          <w:rFonts w:cs="FrankRuehl" w:hint="cs"/>
          <w:rtl/>
        </w:rPr>
      </w:pPr>
    </w:p>
    <w:p w:rsidR="003507A5" w:rsidRPr="003507A5" w:rsidRDefault="003507A5">
      <w:pPr>
        <w:pStyle w:val="P00"/>
        <w:spacing w:before="72"/>
        <w:ind w:left="0" w:right="1134"/>
        <w:rPr>
          <w:rStyle w:val="default"/>
          <w:rFonts w:cs="FrankRuehl" w:hint="cs"/>
          <w:rtl/>
        </w:rPr>
      </w:pPr>
    </w:p>
    <w:p w:rsidR="003152C1" w:rsidRDefault="003152C1" w:rsidP="00952F5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26"/>
          <w:rtl/>
        </w:rPr>
      </w:pPr>
      <w:r>
        <w:rPr>
          <w:rFonts w:cs="FrankRuehl"/>
          <w:sz w:val="26"/>
          <w:rtl/>
        </w:rPr>
        <w:t xml:space="preserve">ח' </w:t>
      </w:r>
      <w:r>
        <w:rPr>
          <w:rFonts w:cs="FrankRuehl" w:hint="cs"/>
          <w:sz w:val="26"/>
          <w:rtl/>
        </w:rPr>
        <w:t>בניסן תשנ"ג (30 במרס 1993)</w:t>
      </w:r>
      <w:r>
        <w:rPr>
          <w:rFonts w:cs="FrankRuehl"/>
          <w:sz w:val="26"/>
          <w:rtl/>
        </w:rPr>
        <w:tab/>
        <w:t>א</w:t>
      </w:r>
      <w:r>
        <w:rPr>
          <w:rFonts w:cs="FrankRuehl" w:hint="cs"/>
          <w:sz w:val="26"/>
          <w:rtl/>
        </w:rPr>
        <w:t>ברהם (בייגה) ש</w:t>
      </w:r>
      <w:r>
        <w:rPr>
          <w:rFonts w:cs="FrankRuehl"/>
          <w:sz w:val="26"/>
          <w:rtl/>
        </w:rPr>
        <w:t>ו</w:t>
      </w:r>
      <w:r>
        <w:rPr>
          <w:rFonts w:cs="FrankRuehl" w:hint="cs"/>
          <w:sz w:val="26"/>
          <w:rtl/>
        </w:rPr>
        <w:t>חט</w:t>
      </w:r>
    </w:p>
    <w:p w:rsidR="003152C1" w:rsidRPr="00952F5A" w:rsidRDefault="003152C1" w:rsidP="00952F5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sz w:val="22"/>
          <w:szCs w:val="22"/>
          <w:rtl/>
        </w:rPr>
      </w:pPr>
      <w:r w:rsidRPr="00952F5A">
        <w:rPr>
          <w:rFonts w:cs="FrankRuehl"/>
          <w:sz w:val="22"/>
          <w:szCs w:val="22"/>
          <w:rtl/>
        </w:rPr>
        <w:tab/>
        <w:t>ש</w:t>
      </w:r>
      <w:r w:rsidRPr="00952F5A">
        <w:rPr>
          <w:rFonts w:cs="FrankRuehl" w:hint="cs"/>
          <w:sz w:val="22"/>
          <w:szCs w:val="22"/>
          <w:rtl/>
        </w:rPr>
        <w:t>ר האוצר</w:t>
      </w:r>
    </w:p>
    <w:p w:rsidR="003152C1" w:rsidRPr="003507A5" w:rsidRDefault="003152C1">
      <w:pPr>
        <w:pStyle w:val="P00"/>
        <w:spacing w:before="72"/>
        <w:ind w:left="0" w:right="1134"/>
        <w:rPr>
          <w:rStyle w:val="default"/>
          <w:rFonts w:cs="FrankRuehl"/>
          <w:rtl/>
        </w:rPr>
      </w:pPr>
    </w:p>
    <w:p w:rsidR="003152C1" w:rsidRPr="003507A5" w:rsidRDefault="003152C1">
      <w:pPr>
        <w:pStyle w:val="P00"/>
        <w:spacing w:before="72"/>
        <w:ind w:left="0" w:right="1134"/>
        <w:rPr>
          <w:rStyle w:val="default"/>
          <w:rFonts w:cs="FrankRuehl"/>
          <w:rtl/>
        </w:rPr>
      </w:pPr>
    </w:p>
    <w:p w:rsidR="003152C1" w:rsidRPr="003507A5" w:rsidRDefault="003152C1" w:rsidP="003507A5">
      <w:pPr>
        <w:pStyle w:val="P00"/>
        <w:spacing w:before="72"/>
        <w:ind w:left="0" w:right="1134"/>
        <w:rPr>
          <w:rStyle w:val="default"/>
          <w:rFonts w:cs="FrankRuehl"/>
          <w:rtl/>
        </w:rPr>
      </w:pPr>
      <w:bookmarkStart w:id="4" w:name="LawPartEnd"/>
    </w:p>
    <w:bookmarkEnd w:id="4"/>
    <w:p w:rsidR="00B03BD7" w:rsidRDefault="00B03BD7" w:rsidP="003507A5">
      <w:pPr>
        <w:pStyle w:val="P00"/>
        <w:spacing w:before="72"/>
        <w:ind w:left="0" w:right="1134"/>
        <w:rPr>
          <w:rStyle w:val="default"/>
          <w:rFonts w:cs="FrankRuehl"/>
          <w:rtl/>
        </w:rPr>
      </w:pPr>
    </w:p>
    <w:p w:rsidR="00B03BD7" w:rsidRDefault="00B03BD7" w:rsidP="003507A5">
      <w:pPr>
        <w:pStyle w:val="P00"/>
        <w:spacing w:before="72"/>
        <w:ind w:left="0" w:right="1134"/>
        <w:rPr>
          <w:rStyle w:val="default"/>
          <w:rFonts w:cs="FrankRuehl"/>
          <w:rtl/>
        </w:rPr>
      </w:pPr>
    </w:p>
    <w:p w:rsidR="00B03BD7" w:rsidRDefault="00B03BD7" w:rsidP="00B03BD7">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3152C1" w:rsidRPr="00B03BD7" w:rsidRDefault="003152C1" w:rsidP="00B03BD7">
      <w:pPr>
        <w:pStyle w:val="P00"/>
        <w:spacing w:before="72"/>
        <w:ind w:left="0" w:right="1134"/>
        <w:jc w:val="center"/>
        <w:rPr>
          <w:rStyle w:val="default"/>
          <w:rFonts w:cs="David"/>
          <w:color w:val="0000FF"/>
          <w:szCs w:val="24"/>
          <w:u w:val="single"/>
          <w:rtl/>
        </w:rPr>
      </w:pPr>
    </w:p>
    <w:sectPr w:rsidR="003152C1" w:rsidRPr="00B03BD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60E9" w:rsidRDefault="00B460E9">
      <w:r>
        <w:separator/>
      </w:r>
    </w:p>
  </w:endnote>
  <w:endnote w:type="continuationSeparator" w:id="0">
    <w:p w:rsidR="00B460E9" w:rsidRDefault="00B46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2C1" w:rsidRDefault="003152C1">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3152C1" w:rsidRDefault="003152C1">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152C1" w:rsidRDefault="003152C1">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507A5">
      <w:rPr>
        <w:rFonts w:cs="TopType Jerushalmi"/>
        <w:noProof/>
        <w:color w:val="000000"/>
        <w:sz w:val="14"/>
        <w:szCs w:val="14"/>
      </w:rPr>
      <w:t>C:\Yael\hakika\Revadim\255_226.doc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2C1" w:rsidRDefault="003152C1">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B03BD7">
      <w:rPr>
        <w:rFonts w:hAnsi="FrankRuehl" w:cs="FrankRuehl"/>
        <w:noProof/>
        <w:rtl/>
      </w:rPr>
      <w:t>2</w:t>
    </w:r>
    <w:r>
      <w:rPr>
        <w:rFonts w:hAnsi="FrankRuehl" w:cs="FrankRuehl"/>
        <w:rtl/>
      </w:rPr>
      <w:fldChar w:fldCharType="end"/>
    </w:r>
  </w:p>
  <w:p w:rsidR="003152C1" w:rsidRDefault="003152C1">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152C1" w:rsidRDefault="003152C1">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507A5">
      <w:rPr>
        <w:rFonts w:cs="TopType Jerushalmi"/>
        <w:noProof/>
        <w:color w:val="000000"/>
        <w:sz w:val="14"/>
        <w:szCs w:val="14"/>
      </w:rPr>
      <w:t>C:\Yael\hakika\Revadim\255_226.doc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60E9" w:rsidRDefault="00B460E9" w:rsidP="003507A5">
      <w:pPr>
        <w:spacing w:before="60"/>
        <w:ind w:right="1134"/>
      </w:pPr>
      <w:r>
        <w:separator/>
      </w:r>
    </w:p>
  </w:footnote>
  <w:footnote w:type="continuationSeparator" w:id="0">
    <w:p w:rsidR="00B460E9" w:rsidRDefault="00B460E9">
      <w:r>
        <w:continuationSeparator/>
      </w:r>
    </w:p>
  </w:footnote>
  <w:footnote w:id="1">
    <w:p w:rsidR="00982401" w:rsidRDefault="00982401" w:rsidP="009824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82401">
        <w:rPr>
          <w:rFonts w:cs="FrankRuehl"/>
          <w:rtl/>
        </w:rPr>
        <w:t xml:space="preserve">* </w:t>
      </w:r>
      <w:r w:rsidRPr="00416355">
        <w:rPr>
          <w:rFonts w:cs="FrankRuehl"/>
          <w:rtl/>
        </w:rPr>
        <w:t>פו</w:t>
      </w:r>
      <w:r w:rsidRPr="00416355">
        <w:rPr>
          <w:rFonts w:cs="FrankRuehl" w:hint="cs"/>
          <w:rtl/>
        </w:rPr>
        <w:t xml:space="preserve">רסמו </w:t>
      </w:r>
      <w:hyperlink r:id="rId1" w:history="1">
        <w:r w:rsidRPr="00416355">
          <w:rPr>
            <w:rStyle w:val="Hyperlink"/>
            <w:rFonts w:cs="FrankRuehl" w:hint="cs"/>
            <w:rtl/>
          </w:rPr>
          <w:t>ק"ת תשנ"ג מס' 5517</w:t>
        </w:r>
      </w:hyperlink>
      <w:r w:rsidRPr="00416355">
        <w:rPr>
          <w:rFonts w:cs="FrankRuehl" w:hint="cs"/>
          <w:rtl/>
        </w:rPr>
        <w:t xml:space="preserve"> מיום 22.4.1993 עמ' 766.</w:t>
      </w:r>
    </w:p>
    <w:p w:rsidR="003507A5" w:rsidRPr="00982401" w:rsidRDefault="003507A5" w:rsidP="009824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287CA8">
          <w:rPr>
            <w:rStyle w:val="Hyperlink"/>
            <w:rFonts w:cs="FrankRuehl" w:hint="cs"/>
            <w:rtl/>
          </w:rPr>
          <w:t xml:space="preserve">ק"ת תשנ"ו מס' </w:t>
        </w:r>
        <w:r w:rsidR="00287CA8" w:rsidRPr="00287CA8">
          <w:rPr>
            <w:rStyle w:val="Hyperlink"/>
            <w:rFonts w:cs="FrankRuehl" w:hint="cs"/>
            <w:rtl/>
          </w:rPr>
          <w:t>5768</w:t>
        </w:r>
      </w:hyperlink>
      <w:r w:rsidR="00287CA8">
        <w:rPr>
          <w:rFonts w:cs="FrankRuehl" w:hint="cs"/>
          <w:rtl/>
        </w:rPr>
        <w:t xml:space="preserve"> מיום 27.6.1996 עמ' 1348 </w:t>
      </w:r>
      <w:r w:rsidR="00287CA8">
        <w:rPr>
          <w:rFonts w:cs="FrankRuehl"/>
          <w:rtl/>
        </w:rPr>
        <w:t>–</w:t>
      </w:r>
      <w:r w:rsidR="00287CA8">
        <w:rPr>
          <w:rFonts w:cs="FrankRuehl" w:hint="cs"/>
          <w:rtl/>
        </w:rPr>
        <w:t xml:space="preserve"> תק' תשנ"ו-1996.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2C1" w:rsidRDefault="003152C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(כללים לתנאים שבהם חשבונות שונים בקרן השתלמות ייחשבו לחשבון אחד), תשנ"ג–1993</w:t>
    </w:r>
  </w:p>
  <w:p w:rsidR="003152C1" w:rsidRDefault="003152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152C1" w:rsidRDefault="003152C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2C1" w:rsidRDefault="003152C1" w:rsidP="0098240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(כללים לתנאים שבהם חשבונות שונים בקרן השתלמות ייחשבו לחשבון אחד), תשנ"ג</w:t>
    </w:r>
    <w:r w:rsidR="00982401">
      <w:rPr>
        <w:rFonts w:hAnsi="FrankRuehl" w:cs="FrankRuehl" w:hint="cs"/>
        <w:color w:val="000000"/>
        <w:sz w:val="28"/>
        <w:szCs w:val="28"/>
        <w:rtl/>
      </w:rPr>
      <w:t>-</w:t>
    </w:r>
    <w:r>
      <w:rPr>
        <w:rFonts w:hAnsi="FrankRuehl" w:cs="FrankRuehl"/>
        <w:color w:val="000000"/>
        <w:sz w:val="28"/>
        <w:szCs w:val="28"/>
        <w:rtl/>
      </w:rPr>
      <w:t>1993</w:t>
    </w:r>
  </w:p>
  <w:p w:rsidR="003152C1" w:rsidRDefault="003152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152C1" w:rsidRDefault="003152C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6355"/>
    <w:rsid w:val="00287CA8"/>
    <w:rsid w:val="002B00AF"/>
    <w:rsid w:val="003152C1"/>
    <w:rsid w:val="003507A5"/>
    <w:rsid w:val="00416355"/>
    <w:rsid w:val="00515B54"/>
    <w:rsid w:val="00650759"/>
    <w:rsid w:val="00952F5A"/>
    <w:rsid w:val="00982401"/>
    <w:rsid w:val="00AD2CCE"/>
    <w:rsid w:val="00B03BD7"/>
    <w:rsid w:val="00B460E9"/>
    <w:rsid w:val="00D45CED"/>
    <w:rsid w:val="00E507ED"/>
    <w:rsid w:val="00F02A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A0EFDF6-4C19-491C-8ABB-0570FFE0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982401"/>
    <w:rPr>
      <w:sz w:val="20"/>
      <w:szCs w:val="20"/>
    </w:rPr>
  </w:style>
  <w:style w:type="character" w:styleId="a6">
    <w:name w:val="footnote reference"/>
    <w:basedOn w:val="a0"/>
    <w:semiHidden/>
    <w:rsid w:val="009824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768.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768.pdf" TargetMode="External"/><Relationship Id="rId1" Type="http://schemas.openxmlformats.org/officeDocument/2006/relationships/hyperlink" Target="http://www.nevo.co.il/Law_word/law06/TAK-55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2611</CharactersWithSpaces>
  <SharedDoc>false</SharedDoc>
  <HLinks>
    <vt:vector size="42" baseType="variant">
      <vt:variant>
        <vt:i4>393283</vt:i4>
      </vt:variant>
      <vt:variant>
        <vt:i4>21</vt:i4>
      </vt:variant>
      <vt:variant>
        <vt:i4>0</vt:i4>
      </vt:variant>
      <vt:variant>
        <vt:i4>5</vt:i4>
      </vt:variant>
      <vt:variant>
        <vt:lpwstr>http://www.nevo.co.il/advertisements/nevo-100.doc</vt:lpwstr>
      </vt:variant>
      <vt:variant>
        <vt:lpwstr/>
      </vt:variant>
      <vt:variant>
        <vt:i4>7995399</vt:i4>
      </vt:variant>
      <vt:variant>
        <vt:i4>18</vt:i4>
      </vt:variant>
      <vt:variant>
        <vt:i4>0</vt:i4>
      </vt:variant>
      <vt:variant>
        <vt:i4>5</vt:i4>
      </vt:variant>
      <vt:variant>
        <vt:lpwstr>http://www.nevo.co.il/Law_word/law06/TAK-5768.pdf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7995399</vt:i4>
      </vt:variant>
      <vt:variant>
        <vt:i4>3</vt:i4>
      </vt:variant>
      <vt:variant>
        <vt:i4>0</vt:i4>
      </vt:variant>
      <vt:variant>
        <vt:i4>5</vt:i4>
      </vt:variant>
      <vt:variant>
        <vt:lpwstr>http://www.nevo.co.il/Law_word/law06/TAK-5768.pdf</vt:lpwstr>
      </vt:variant>
      <vt:variant>
        <vt:lpwstr/>
      </vt:variant>
      <vt:variant>
        <vt:i4>8192010</vt:i4>
      </vt:variant>
      <vt:variant>
        <vt:i4>0</vt:i4>
      </vt:variant>
      <vt:variant>
        <vt:i4>0</vt:i4>
      </vt:variant>
      <vt:variant>
        <vt:i4>5</vt:i4>
      </vt:variant>
      <vt:variant>
        <vt:lpwstr>http://www.nevo.co.il/Law_word/law06/TAK-5517.pdf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(כללים לתנאים שבהם חשבונות שונים בקרן השתלמות ייחשבו לחשבון אחד), תשנ"ג-1993</vt:lpwstr>
  </property>
  <property fmtid="{D5CDD505-2E9C-101B-9397-08002B2CF9AE}" pid="5" name="LAWNUMBER">
    <vt:lpwstr>0226</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9X16אX;243X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קרן השתלמות</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