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2910" w:rsidRDefault="00882910" w:rsidP="00C92857">
      <w:pPr>
        <w:pStyle w:val="big-header"/>
        <w:ind w:left="0" w:right="1134"/>
        <w:rPr>
          <w:rFonts w:cs="FrankRuehl"/>
          <w:sz w:val="32"/>
        </w:rPr>
      </w:pPr>
      <w:r>
        <w:rPr>
          <w:rFonts w:cs="FrankRuehl"/>
          <w:sz w:val="32"/>
          <w:rtl/>
        </w:rPr>
        <w:t>תקנות מס הכנסה (מיזוג חברות המחזיקות זו בזו), תשנ"ה</w:t>
      </w:r>
      <w:r w:rsidR="00C92857">
        <w:rPr>
          <w:rFonts w:cs="FrankRuehl" w:hint="cs"/>
          <w:sz w:val="32"/>
          <w:rtl/>
        </w:rPr>
        <w:t>-</w:t>
      </w:r>
      <w:r>
        <w:rPr>
          <w:rFonts w:cs="FrankRuehl"/>
          <w:sz w:val="32"/>
          <w:rtl/>
        </w:rPr>
        <w:t>1995</w:t>
      </w:r>
    </w:p>
    <w:p w:rsidR="00E44BF9" w:rsidRPr="00E44BF9" w:rsidRDefault="00E44BF9" w:rsidP="00E44BF9">
      <w:pPr>
        <w:spacing w:line="320" w:lineRule="auto"/>
        <w:rPr>
          <w:rFonts w:cs="FrankRuehl"/>
          <w:szCs w:val="26"/>
          <w:rtl/>
        </w:rPr>
      </w:pPr>
    </w:p>
    <w:p w:rsidR="00E44BF9" w:rsidRDefault="00E44BF9" w:rsidP="00E44BF9">
      <w:pPr>
        <w:spacing w:line="320" w:lineRule="auto"/>
        <w:rPr>
          <w:rtl/>
        </w:rPr>
      </w:pPr>
    </w:p>
    <w:p w:rsidR="00E44BF9" w:rsidRDefault="00E44BF9" w:rsidP="00E44BF9">
      <w:pPr>
        <w:spacing w:line="320" w:lineRule="auto"/>
        <w:rPr>
          <w:rFonts w:cs="FrankRuehl"/>
          <w:szCs w:val="26"/>
          <w:rtl/>
        </w:rPr>
      </w:pPr>
      <w:r w:rsidRPr="00E44BF9">
        <w:rPr>
          <w:rFonts w:cs="Miriam"/>
          <w:szCs w:val="22"/>
          <w:rtl/>
        </w:rPr>
        <w:t>מסים</w:t>
      </w:r>
      <w:r w:rsidRPr="00E44BF9">
        <w:rPr>
          <w:rFonts w:cs="FrankRuehl"/>
          <w:szCs w:val="26"/>
          <w:rtl/>
        </w:rPr>
        <w:t xml:space="preserve"> – מס הכנסה – חברות</w:t>
      </w:r>
    </w:p>
    <w:p w:rsidR="00E44BF9" w:rsidRPr="00E44BF9" w:rsidRDefault="00E44BF9" w:rsidP="00E44BF9">
      <w:pPr>
        <w:spacing w:line="320" w:lineRule="auto"/>
        <w:rPr>
          <w:rFonts w:cs="Miriam"/>
          <w:szCs w:val="22"/>
          <w:rtl/>
        </w:rPr>
      </w:pPr>
      <w:r w:rsidRPr="00E44BF9">
        <w:rPr>
          <w:rFonts w:cs="Miriam"/>
          <w:szCs w:val="22"/>
          <w:rtl/>
        </w:rPr>
        <w:t>משפט פרטי וכלכלה</w:t>
      </w:r>
      <w:r w:rsidRPr="00E44BF9">
        <w:rPr>
          <w:rFonts w:cs="FrankRuehl"/>
          <w:szCs w:val="26"/>
          <w:rtl/>
        </w:rPr>
        <w:t xml:space="preserve"> – תאגידים וניירות ערך – חברות</w:t>
      </w:r>
    </w:p>
    <w:p w:rsidR="00882910" w:rsidRDefault="00882910">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882910">
        <w:tblPrEx>
          <w:tblCellMar>
            <w:top w:w="0" w:type="dxa"/>
            <w:bottom w:w="0" w:type="dxa"/>
          </w:tblCellMar>
        </w:tblPrEx>
        <w:tc>
          <w:tcPr>
            <w:tcW w:w="850" w:type="dxa"/>
          </w:tcPr>
          <w:p w:rsidR="00882910" w:rsidRDefault="00882910">
            <w:r>
              <w:rPr>
                <w:rtl/>
              </w:rPr>
              <w:fldChar w:fldCharType="begin"/>
            </w:r>
            <w:r>
              <w:rPr>
                <w:rtl/>
              </w:rPr>
              <w:instrText xml:space="preserve"> </w:instrText>
            </w:r>
            <w:r>
              <w:instrText>PAGEREF Seif0</w:instrText>
            </w:r>
            <w:r>
              <w:rPr>
                <w:rtl/>
              </w:rPr>
              <w:instrText xml:space="preserve"> </w:instrText>
            </w:r>
            <w:r>
              <w:rPr>
                <w:rtl/>
              </w:rPr>
              <w:fldChar w:fldCharType="separate"/>
            </w:r>
            <w:r w:rsidR="00C92857">
              <w:rPr>
                <w:noProof/>
                <w:rtl/>
              </w:rPr>
              <w:t>2</w:t>
            </w:r>
            <w:r>
              <w:rPr>
                <w:rtl/>
              </w:rPr>
              <w:fldChar w:fldCharType="end"/>
            </w:r>
          </w:p>
        </w:tc>
        <w:tc>
          <w:tcPr>
            <w:tcW w:w="567" w:type="dxa"/>
          </w:tcPr>
          <w:p w:rsidR="00882910" w:rsidRDefault="00882910">
            <w:hyperlink w:anchor="Seif0" w:tooltip="חברה המחזיקה בחברה אחרת" w:history="1">
              <w:r>
                <w:rPr>
                  <w:rStyle w:val="Hyperlink"/>
                </w:rPr>
                <w:t>Go</w:t>
              </w:r>
            </w:hyperlink>
          </w:p>
        </w:tc>
        <w:tc>
          <w:tcPr>
            <w:tcW w:w="5669" w:type="dxa"/>
          </w:tcPr>
          <w:p w:rsidR="00882910" w:rsidRDefault="00882910">
            <w:pPr>
              <w:rPr>
                <w:rtl/>
              </w:rPr>
            </w:pPr>
            <w:r>
              <w:rPr>
                <w:rtl/>
              </w:rPr>
              <w:t>חברה המחזיקה בחברה אחרת</w:t>
            </w:r>
          </w:p>
        </w:tc>
        <w:tc>
          <w:tcPr>
            <w:tcW w:w="1247" w:type="dxa"/>
          </w:tcPr>
          <w:p w:rsidR="00882910" w:rsidRDefault="00882910">
            <w:r>
              <w:rPr>
                <w:rtl/>
              </w:rPr>
              <w:t xml:space="preserve">סעיף 1 </w:t>
            </w:r>
          </w:p>
        </w:tc>
      </w:tr>
      <w:tr w:rsidR="00882910">
        <w:tblPrEx>
          <w:tblCellMar>
            <w:top w:w="0" w:type="dxa"/>
            <w:bottom w:w="0" w:type="dxa"/>
          </w:tblCellMar>
        </w:tblPrEx>
        <w:tc>
          <w:tcPr>
            <w:tcW w:w="850" w:type="dxa"/>
          </w:tcPr>
          <w:p w:rsidR="00882910" w:rsidRDefault="00882910">
            <w:r>
              <w:rPr>
                <w:rtl/>
              </w:rPr>
              <w:fldChar w:fldCharType="begin"/>
            </w:r>
            <w:r>
              <w:rPr>
                <w:rtl/>
              </w:rPr>
              <w:instrText xml:space="preserve"> </w:instrText>
            </w:r>
            <w:r>
              <w:instrText>PAGEREF Seif1</w:instrText>
            </w:r>
            <w:r>
              <w:rPr>
                <w:rtl/>
              </w:rPr>
              <w:instrText xml:space="preserve"> </w:instrText>
            </w:r>
            <w:r>
              <w:rPr>
                <w:rtl/>
              </w:rPr>
              <w:fldChar w:fldCharType="separate"/>
            </w:r>
            <w:r w:rsidR="00C92857">
              <w:rPr>
                <w:noProof/>
                <w:rtl/>
              </w:rPr>
              <w:t>2</w:t>
            </w:r>
            <w:r>
              <w:rPr>
                <w:rtl/>
              </w:rPr>
              <w:fldChar w:fldCharType="end"/>
            </w:r>
          </w:p>
        </w:tc>
        <w:tc>
          <w:tcPr>
            <w:tcW w:w="567" w:type="dxa"/>
          </w:tcPr>
          <w:p w:rsidR="00882910" w:rsidRDefault="00882910">
            <w:hyperlink w:anchor="Seif1" w:tooltip="חברות המחזיקות זו בזכויות זו" w:history="1">
              <w:r>
                <w:rPr>
                  <w:rStyle w:val="Hyperlink"/>
                </w:rPr>
                <w:t>Go</w:t>
              </w:r>
            </w:hyperlink>
          </w:p>
        </w:tc>
        <w:tc>
          <w:tcPr>
            <w:tcW w:w="5669" w:type="dxa"/>
          </w:tcPr>
          <w:p w:rsidR="00882910" w:rsidRDefault="00882910">
            <w:pPr>
              <w:rPr>
                <w:rtl/>
              </w:rPr>
            </w:pPr>
            <w:r>
              <w:rPr>
                <w:rtl/>
              </w:rPr>
              <w:t>חברות המחזיקות זו בזכויות זו</w:t>
            </w:r>
          </w:p>
        </w:tc>
        <w:tc>
          <w:tcPr>
            <w:tcW w:w="1247" w:type="dxa"/>
          </w:tcPr>
          <w:p w:rsidR="00882910" w:rsidRDefault="00882910">
            <w:r>
              <w:rPr>
                <w:rtl/>
              </w:rPr>
              <w:t xml:space="preserve">סעיף 2 </w:t>
            </w:r>
          </w:p>
        </w:tc>
      </w:tr>
      <w:tr w:rsidR="00882910">
        <w:tblPrEx>
          <w:tblCellMar>
            <w:top w:w="0" w:type="dxa"/>
            <w:bottom w:w="0" w:type="dxa"/>
          </w:tblCellMar>
        </w:tblPrEx>
        <w:tc>
          <w:tcPr>
            <w:tcW w:w="850" w:type="dxa"/>
          </w:tcPr>
          <w:p w:rsidR="00882910" w:rsidRDefault="00882910">
            <w:r>
              <w:rPr>
                <w:rtl/>
              </w:rPr>
              <w:fldChar w:fldCharType="begin"/>
            </w:r>
            <w:r>
              <w:rPr>
                <w:rtl/>
              </w:rPr>
              <w:instrText xml:space="preserve"> </w:instrText>
            </w:r>
            <w:r>
              <w:instrText>PAGEREF Seif2</w:instrText>
            </w:r>
            <w:r>
              <w:rPr>
                <w:rtl/>
              </w:rPr>
              <w:instrText xml:space="preserve"> </w:instrText>
            </w:r>
            <w:r>
              <w:rPr>
                <w:rtl/>
              </w:rPr>
              <w:fldChar w:fldCharType="separate"/>
            </w:r>
            <w:r w:rsidR="00C92857">
              <w:rPr>
                <w:noProof/>
                <w:rtl/>
              </w:rPr>
              <w:t>2</w:t>
            </w:r>
            <w:r>
              <w:rPr>
                <w:rtl/>
              </w:rPr>
              <w:fldChar w:fldCharType="end"/>
            </w:r>
          </w:p>
        </w:tc>
        <w:tc>
          <w:tcPr>
            <w:tcW w:w="567" w:type="dxa"/>
          </w:tcPr>
          <w:p w:rsidR="00882910" w:rsidRDefault="00882910">
            <w:hyperlink w:anchor="Seif2" w:tooltip="דוחות" w:history="1">
              <w:r>
                <w:rPr>
                  <w:rStyle w:val="Hyperlink"/>
                </w:rPr>
                <w:t>Go</w:t>
              </w:r>
            </w:hyperlink>
          </w:p>
        </w:tc>
        <w:tc>
          <w:tcPr>
            <w:tcW w:w="5669" w:type="dxa"/>
          </w:tcPr>
          <w:p w:rsidR="00882910" w:rsidRDefault="00882910">
            <w:pPr>
              <w:rPr>
                <w:rtl/>
              </w:rPr>
            </w:pPr>
            <w:r>
              <w:rPr>
                <w:rtl/>
              </w:rPr>
              <w:t>דוחות</w:t>
            </w:r>
          </w:p>
        </w:tc>
        <w:tc>
          <w:tcPr>
            <w:tcW w:w="1247" w:type="dxa"/>
          </w:tcPr>
          <w:p w:rsidR="00882910" w:rsidRDefault="00882910">
            <w:r>
              <w:rPr>
                <w:rtl/>
              </w:rPr>
              <w:t xml:space="preserve">סעיף 3 </w:t>
            </w:r>
          </w:p>
        </w:tc>
      </w:tr>
      <w:tr w:rsidR="00882910">
        <w:tblPrEx>
          <w:tblCellMar>
            <w:top w:w="0" w:type="dxa"/>
            <w:bottom w:w="0" w:type="dxa"/>
          </w:tblCellMar>
        </w:tblPrEx>
        <w:tc>
          <w:tcPr>
            <w:tcW w:w="850" w:type="dxa"/>
          </w:tcPr>
          <w:p w:rsidR="00882910" w:rsidRDefault="00882910">
            <w:r>
              <w:rPr>
                <w:rtl/>
              </w:rPr>
              <w:fldChar w:fldCharType="begin"/>
            </w:r>
            <w:r>
              <w:rPr>
                <w:rtl/>
              </w:rPr>
              <w:instrText xml:space="preserve"> </w:instrText>
            </w:r>
            <w:r>
              <w:instrText>PAGEREF Seif3</w:instrText>
            </w:r>
            <w:r>
              <w:rPr>
                <w:rtl/>
              </w:rPr>
              <w:instrText xml:space="preserve"> </w:instrText>
            </w:r>
            <w:r>
              <w:rPr>
                <w:rtl/>
              </w:rPr>
              <w:fldChar w:fldCharType="separate"/>
            </w:r>
            <w:r w:rsidR="00C92857">
              <w:rPr>
                <w:noProof/>
                <w:rtl/>
              </w:rPr>
              <w:t>2</w:t>
            </w:r>
            <w:r>
              <w:rPr>
                <w:rtl/>
              </w:rPr>
              <w:fldChar w:fldCharType="end"/>
            </w:r>
          </w:p>
        </w:tc>
        <w:tc>
          <w:tcPr>
            <w:tcW w:w="567" w:type="dxa"/>
          </w:tcPr>
          <w:p w:rsidR="00882910" w:rsidRDefault="00882910">
            <w:hyperlink w:anchor="Seif3" w:tooltip="תחולה" w:history="1">
              <w:r>
                <w:rPr>
                  <w:rStyle w:val="Hyperlink"/>
                </w:rPr>
                <w:t>Go</w:t>
              </w:r>
            </w:hyperlink>
          </w:p>
        </w:tc>
        <w:tc>
          <w:tcPr>
            <w:tcW w:w="5669" w:type="dxa"/>
          </w:tcPr>
          <w:p w:rsidR="00882910" w:rsidRDefault="00882910">
            <w:pPr>
              <w:rPr>
                <w:rtl/>
              </w:rPr>
            </w:pPr>
            <w:r>
              <w:rPr>
                <w:rtl/>
              </w:rPr>
              <w:t>תחולה</w:t>
            </w:r>
          </w:p>
        </w:tc>
        <w:tc>
          <w:tcPr>
            <w:tcW w:w="1247" w:type="dxa"/>
          </w:tcPr>
          <w:p w:rsidR="00882910" w:rsidRDefault="00882910">
            <w:r>
              <w:rPr>
                <w:rtl/>
              </w:rPr>
              <w:t xml:space="preserve">סעיף 4 </w:t>
            </w:r>
          </w:p>
        </w:tc>
      </w:tr>
    </w:tbl>
    <w:p w:rsidR="00882910" w:rsidRDefault="00882910">
      <w:pPr>
        <w:pStyle w:val="big-header"/>
        <w:ind w:left="0" w:right="1134"/>
        <w:rPr>
          <w:rFonts w:cs="FrankRuehl"/>
          <w:sz w:val="32"/>
          <w:rtl/>
        </w:rPr>
      </w:pPr>
    </w:p>
    <w:p w:rsidR="00882910" w:rsidRDefault="00882910" w:rsidP="00E44BF9">
      <w:pPr>
        <w:pStyle w:val="big-header"/>
        <w:ind w:left="0" w:right="1134"/>
        <w:rPr>
          <w:rStyle w:val="default"/>
          <w:rFonts w:hint="cs"/>
          <w:rtl/>
        </w:rPr>
      </w:pPr>
      <w:r>
        <w:rPr>
          <w:rtl/>
        </w:rPr>
        <w:br w:type="page"/>
      </w:r>
      <w:r>
        <w:rPr>
          <w:rFonts w:cs="FrankRuehl"/>
          <w:sz w:val="32"/>
          <w:rtl/>
        </w:rPr>
        <w:lastRenderedPageBreak/>
        <w:t>תק</w:t>
      </w:r>
      <w:r>
        <w:rPr>
          <w:rFonts w:cs="FrankRuehl" w:hint="cs"/>
          <w:sz w:val="32"/>
          <w:rtl/>
        </w:rPr>
        <w:t>נות מס הכנסה (מיזוג חברות המחזיקות זו בזו), תשנ"ה</w:t>
      </w:r>
      <w:r w:rsidR="00C92857">
        <w:rPr>
          <w:rFonts w:cs="FrankRuehl" w:hint="cs"/>
          <w:sz w:val="32"/>
          <w:rtl/>
        </w:rPr>
        <w:t>-</w:t>
      </w:r>
      <w:r>
        <w:rPr>
          <w:rFonts w:cs="FrankRuehl"/>
          <w:sz w:val="32"/>
          <w:rtl/>
        </w:rPr>
        <w:t>1995</w:t>
      </w:r>
      <w:r w:rsidR="00C92857">
        <w:rPr>
          <w:rStyle w:val="a6"/>
          <w:rFonts w:cs="FrankRuehl"/>
          <w:sz w:val="32"/>
          <w:rtl/>
        </w:rPr>
        <w:footnoteReference w:customMarkFollows="1" w:id="1"/>
        <w:t>*</w:t>
      </w:r>
    </w:p>
    <w:p w:rsidR="00882910" w:rsidRPr="00DD17A6" w:rsidRDefault="00882910" w:rsidP="0018656A">
      <w:pPr>
        <w:pStyle w:val="P00"/>
        <w:spacing w:before="72"/>
        <w:ind w:left="0" w:right="1134"/>
        <w:rPr>
          <w:rStyle w:val="default"/>
          <w:rFonts w:cs="FrankRuehl"/>
          <w:rtl/>
        </w:rPr>
      </w:pPr>
      <w:r w:rsidRPr="00DD17A6">
        <w:rPr>
          <w:rFonts w:cs="FrankRuehl"/>
          <w:sz w:val="26"/>
          <w:rtl/>
        </w:rPr>
        <w:tab/>
      </w:r>
      <w:r w:rsidRPr="00DD17A6">
        <w:rPr>
          <w:rStyle w:val="default"/>
          <w:rFonts w:cs="FrankRuehl"/>
          <w:rtl/>
        </w:rPr>
        <w:t xml:space="preserve">בתוקף סמכותי לפי סעיפים 103ג(6)(ג), 103ז(ב), ו-103יז לפקודת מס הכנסה (להלן </w:t>
      </w:r>
      <w:r w:rsidR="0018656A">
        <w:rPr>
          <w:rStyle w:val="default"/>
          <w:rFonts w:cs="FrankRuehl" w:hint="cs"/>
          <w:rtl/>
        </w:rPr>
        <w:t>-</w:t>
      </w:r>
      <w:r w:rsidRPr="00DD17A6">
        <w:rPr>
          <w:rStyle w:val="default"/>
          <w:rFonts w:cs="FrankRuehl"/>
          <w:rtl/>
        </w:rPr>
        <w:t xml:space="preserve"> הפקודה), ובאישור ועדת הכספים של הכנסת, אני מתקין תקנות אלה:</w:t>
      </w:r>
    </w:p>
    <w:p w:rsidR="00882910" w:rsidRPr="00DD17A6" w:rsidRDefault="00882910" w:rsidP="0018656A">
      <w:pPr>
        <w:pStyle w:val="P00"/>
        <w:spacing w:before="72"/>
        <w:ind w:left="0" w:right="1134"/>
        <w:rPr>
          <w:rStyle w:val="default"/>
          <w:rFonts w:cs="FrankRuehl"/>
          <w:rtl/>
        </w:rPr>
      </w:pPr>
      <w:bookmarkStart w:id="0" w:name="Seif0"/>
      <w:bookmarkEnd w:id="0"/>
      <w:r w:rsidRPr="00C92857">
        <w:rPr>
          <w:rFonts w:cs="Miriam"/>
          <w:lang w:val="he-IL"/>
        </w:rPr>
        <w:pict>
          <v:rect id="_x0000_s1026" style="position:absolute;left:0;text-align:left;margin-left:464.5pt;margin-top:8.05pt;width:75.05pt;height:21.25pt;z-index:251656192" o:allowincell="f" filled="f" stroked="f" strokecolor="lime" strokeweight=".25pt">
            <v:textbox inset="0,0,0,0">
              <w:txbxContent>
                <w:p w:rsidR="00882910" w:rsidRDefault="00882910" w:rsidP="00C92857">
                  <w:pPr>
                    <w:spacing w:line="160" w:lineRule="exact"/>
                    <w:rPr>
                      <w:rFonts w:cs="Miriam"/>
                      <w:noProof/>
                      <w:sz w:val="18"/>
                      <w:szCs w:val="18"/>
                      <w:rtl/>
                    </w:rPr>
                  </w:pPr>
                  <w:r>
                    <w:rPr>
                      <w:rFonts w:cs="Miriam"/>
                      <w:sz w:val="18"/>
                      <w:szCs w:val="18"/>
                      <w:rtl/>
                    </w:rPr>
                    <w:t>חב</w:t>
                  </w:r>
                  <w:r>
                    <w:rPr>
                      <w:rFonts w:cs="Miriam" w:hint="cs"/>
                      <w:sz w:val="18"/>
                      <w:szCs w:val="18"/>
                      <w:rtl/>
                    </w:rPr>
                    <w:t xml:space="preserve">רה </w:t>
                  </w:r>
                  <w:r>
                    <w:rPr>
                      <w:rFonts w:cs="Miriam"/>
                      <w:sz w:val="18"/>
                      <w:szCs w:val="18"/>
                      <w:rtl/>
                    </w:rPr>
                    <w:t>ה</w:t>
                  </w:r>
                  <w:r>
                    <w:rPr>
                      <w:rFonts w:cs="Miriam" w:hint="cs"/>
                      <w:sz w:val="18"/>
                      <w:szCs w:val="18"/>
                      <w:rtl/>
                    </w:rPr>
                    <w:t>מחזיקה</w:t>
                  </w:r>
                  <w:r w:rsidR="00C92857">
                    <w:rPr>
                      <w:rFonts w:cs="Miriam" w:hint="cs"/>
                      <w:sz w:val="18"/>
                      <w:szCs w:val="18"/>
                      <w:rtl/>
                    </w:rPr>
                    <w:t xml:space="preserve"> </w:t>
                  </w:r>
                  <w:r>
                    <w:rPr>
                      <w:rFonts w:cs="Miriam"/>
                      <w:sz w:val="18"/>
                      <w:szCs w:val="18"/>
                      <w:rtl/>
                    </w:rPr>
                    <w:t>בח</w:t>
                  </w:r>
                  <w:r>
                    <w:rPr>
                      <w:rFonts w:cs="Miriam" w:hint="cs"/>
                      <w:sz w:val="18"/>
                      <w:szCs w:val="18"/>
                      <w:rtl/>
                    </w:rPr>
                    <w:t>ברה אחרת</w:t>
                  </w:r>
                </w:p>
              </w:txbxContent>
            </v:textbox>
            <w10:anchorlock/>
          </v:rect>
        </w:pict>
      </w:r>
      <w:r w:rsidRPr="00C92857">
        <w:rPr>
          <w:rStyle w:val="big-number"/>
          <w:rFonts w:cs="Miriam"/>
          <w:rtl/>
        </w:rPr>
        <w:t>1</w:t>
      </w:r>
      <w:r w:rsidRPr="00C92857">
        <w:rPr>
          <w:rStyle w:val="big-number"/>
          <w:rFonts w:cs="FrankRuehl"/>
          <w:sz w:val="26"/>
          <w:szCs w:val="26"/>
          <w:rtl/>
        </w:rPr>
        <w:t>.</w:t>
      </w:r>
      <w:r w:rsidRPr="00C92857">
        <w:rPr>
          <w:rStyle w:val="big-number"/>
          <w:rFonts w:cs="FrankRuehl"/>
          <w:sz w:val="26"/>
          <w:szCs w:val="26"/>
          <w:rtl/>
        </w:rPr>
        <w:tab/>
      </w:r>
      <w:r w:rsidRPr="00DD17A6">
        <w:rPr>
          <w:rStyle w:val="default"/>
          <w:rFonts w:cs="FrankRuehl"/>
          <w:rtl/>
        </w:rPr>
        <w:t xml:space="preserve">במיזוג שבו חברה משתתפת היא בעלת זכויות (להלן </w:t>
      </w:r>
      <w:r w:rsidR="0018656A">
        <w:rPr>
          <w:rStyle w:val="default"/>
          <w:rFonts w:cs="FrankRuehl" w:hint="cs"/>
          <w:rtl/>
        </w:rPr>
        <w:t>-</w:t>
      </w:r>
      <w:r w:rsidRPr="00DD17A6">
        <w:rPr>
          <w:rStyle w:val="default"/>
          <w:rFonts w:cs="FrankRuehl"/>
          <w:rtl/>
        </w:rPr>
        <w:t xml:space="preserve"> החברה המחזיקה) בחברה משתתפת אחרת (להלן </w:t>
      </w:r>
      <w:r w:rsidR="0018656A">
        <w:rPr>
          <w:rStyle w:val="default"/>
          <w:rFonts w:cs="FrankRuehl" w:hint="cs"/>
          <w:rtl/>
        </w:rPr>
        <w:t>-</w:t>
      </w:r>
      <w:r w:rsidRPr="00DD17A6">
        <w:rPr>
          <w:rStyle w:val="default"/>
          <w:rFonts w:cs="FrankRuehl"/>
          <w:rtl/>
        </w:rPr>
        <w:t xml:space="preserve"> החברה המוחזקת) יחולו לענין סעיף 103ג לפקודה, הוראות אלה:</w:t>
      </w:r>
    </w:p>
    <w:p w:rsidR="00882910" w:rsidRPr="00DD17A6" w:rsidRDefault="00882910">
      <w:pPr>
        <w:pStyle w:val="P11"/>
        <w:spacing w:before="72"/>
        <w:ind w:left="624" w:right="1134"/>
        <w:rPr>
          <w:rStyle w:val="default"/>
          <w:rFonts w:cs="FrankRuehl"/>
          <w:rtl/>
        </w:rPr>
      </w:pPr>
      <w:r w:rsidRPr="00DD17A6">
        <w:rPr>
          <w:rStyle w:val="default"/>
          <w:rFonts w:cs="FrankRuehl"/>
          <w:rtl/>
        </w:rPr>
        <w:t>(1)</w:t>
      </w:r>
      <w:r w:rsidRPr="00DD17A6">
        <w:rPr>
          <w:rStyle w:val="default"/>
          <w:rFonts w:cs="FrankRuehl"/>
          <w:rtl/>
        </w:rPr>
        <w:tab/>
        <w:t>לא יוקצו כאמור בסעיף 103ג(4), מניות לבעל זכויות שהוא חברה מחזיקה;</w:t>
      </w:r>
    </w:p>
    <w:p w:rsidR="00882910" w:rsidRPr="00DD17A6" w:rsidRDefault="00882910">
      <w:pPr>
        <w:pStyle w:val="P11"/>
        <w:spacing w:before="72"/>
        <w:ind w:left="624" w:right="1134"/>
        <w:rPr>
          <w:rStyle w:val="default"/>
          <w:rFonts w:cs="FrankRuehl"/>
          <w:rtl/>
        </w:rPr>
      </w:pPr>
      <w:r w:rsidRPr="00DD17A6">
        <w:rPr>
          <w:rStyle w:val="default"/>
          <w:rFonts w:cs="FrankRuehl"/>
          <w:rtl/>
        </w:rPr>
        <w:t>(2)</w:t>
      </w:r>
      <w:r w:rsidRPr="00DD17A6">
        <w:rPr>
          <w:rStyle w:val="default"/>
          <w:rFonts w:cs="FrankRuehl"/>
          <w:rtl/>
        </w:rPr>
        <w:tab/>
        <w:t>סעיף 103ג(5) ייקרא:</w:t>
      </w:r>
    </w:p>
    <w:p w:rsidR="00882910" w:rsidRPr="00DD17A6" w:rsidRDefault="00882910" w:rsidP="0018656A">
      <w:pPr>
        <w:pStyle w:val="P22"/>
        <w:spacing w:before="72"/>
        <w:ind w:left="1021" w:right="1134"/>
        <w:rPr>
          <w:rStyle w:val="default"/>
          <w:rFonts w:cs="FrankRuehl"/>
          <w:rtl/>
        </w:rPr>
      </w:pPr>
      <w:r w:rsidRPr="00DD17A6">
        <w:rPr>
          <w:rStyle w:val="default"/>
          <w:rFonts w:cs="FrankRuehl"/>
          <w:rtl/>
        </w:rPr>
        <w:t xml:space="preserve">"הזכויות שיש בחברה הקולטת אחרי המיזוג לכלל בעלי הזכויות, שאינם החברה המחזיקה, בכל אחת מהחברות המשתתפות (להלן </w:t>
      </w:r>
      <w:r w:rsidR="0018656A">
        <w:rPr>
          <w:rStyle w:val="default"/>
          <w:rFonts w:cs="FrankRuehl" w:hint="cs"/>
          <w:rtl/>
        </w:rPr>
        <w:t>-</w:t>
      </w:r>
      <w:r w:rsidRPr="00DD17A6">
        <w:rPr>
          <w:rStyle w:val="default"/>
          <w:rFonts w:cs="FrankRuehl"/>
          <w:rtl/>
        </w:rPr>
        <w:t xml:space="preserve"> בעלי המניות החיצוניים), הן בהתאם ליחס שבין שווי השוק במועד המיזוג של החברה שהם היו בעלי מניותיה ערב המיזוג, כשהוא מוכפל בחלקם היחסי בכלל הזכויות בחברה זו, לבין שווי השוק הנקי במועד המיזוג של כלל החברות המשתתפות במיזוג;</w:t>
      </w:r>
    </w:p>
    <w:p w:rsidR="00882910" w:rsidRPr="00DD17A6" w:rsidRDefault="00882910" w:rsidP="0018656A">
      <w:pPr>
        <w:pStyle w:val="P22"/>
        <w:spacing w:before="72"/>
        <w:ind w:left="1021" w:right="1134"/>
        <w:rPr>
          <w:rStyle w:val="default"/>
          <w:rFonts w:cs="FrankRuehl"/>
          <w:rtl/>
        </w:rPr>
      </w:pPr>
      <w:r w:rsidRPr="00DD17A6">
        <w:rPr>
          <w:rStyle w:val="default"/>
          <w:rFonts w:cs="FrankRuehl"/>
          <w:rtl/>
        </w:rPr>
        <w:t xml:space="preserve">לענין זה, "שווי השוק הנקי" </w:t>
      </w:r>
      <w:r w:rsidR="0018656A">
        <w:rPr>
          <w:rStyle w:val="default"/>
          <w:rFonts w:cs="FrankRuehl" w:hint="cs"/>
          <w:rtl/>
        </w:rPr>
        <w:t>-</w:t>
      </w:r>
      <w:r w:rsidRPr="00DD17A6">
        <w:rPr>
          <w:rStyle w:val="default"/>
          <w:rFonts w:cs="FrankRuehl"/>
          <w:rtl/>
        </w:rPr>
        <w:t xml:space="preserve"> שווי השוק של חברה המשתתפת במיזוג לאחר שהופחת ממנו חלקה היחסי בכלל הזכויות בחברה משתתפת אחרת המוחזקת על ידיה כשהוא מוכפל בשווי השוק של חברה אחרת זו.";</w:t>
      </w:r>
    </w:p>
    <w:p w:rsidR="00882910" w:rsidRPr="00DD17A6" w:rsidRDefault="00882910">
      <w:pPr>
        <w:pStyle w:val="P11"/>
        <w:spacing w:before="72"/>
        <w:ind w:left="624" w:right="1134"/>
        <w:rPr>
          <w:rStyle w:val="default"/>
          <w:rFonts w:cs="FrankRuehl"/>
          <w:rtl/>
        </w:rPr>
      </w:pPr>
      <w:r w:rsidRPr="00DD17A6">
        <w:rPr>
          <w:rStyle w:val="default"/>
          <w:rFonts w:cs="FrankRuehl"/>
          <w:rtl/>
        </w:rPr>
        <w:t>(3)</w:t>
      </w:r>
      <w:r w:rsidRPr="00DD17A6">
        <w:rPr>
          <w:rStyle w:val="default"/>
          <w:rFonts w:cs="FrankRuehl"/>
          <w:rtl/>
        </w:rPr>
        <w:tab/>
        <w:t>לענין סעיף 103ג(6)(א) יראו כאילו אחרי "בחברה הקולטת" נאמר "כשהם מוכפלים בחלק הזכויות שהיו לבעלי המניות</w:t>
      </w:r>
      <w:r w:rsidRPr="00DD17A6">
        <w:rPr>
          <w:rFonts w:cs="FrankRuehl"/>
          <w:sz w:val="26"/>
          <w:rtl/>
        </w:rPr>
        <w:t> </w:t>
      </w:r>
      <w:r w:rsidRPr="00DD17A6">
        <w:rPr>
          <w:rStyle w:val="default"/>
          <w:rFonts w:cs="FrankRuehl"/>
          <w:rtl/>
        </w:rPr>
        <w:t xml:space="preserve"> החיצוניים בחברה המוחזקת בסמוך לפני מועד המיזוג".;</w:t>
      </w:r>
    </w:p>
    <w:p w:rsidR="00882910" w:rsidRPr="00DD17A6" w:rsidRDefault="00882910">
      <w:pPr>
        <w:pStyle w:val="P11"/>
        <w:spacing w:before="72"/>
        <w:ind w:left="624" w:right="1134"/>
        <w:rPr>
          <w:rStyle w:val="default"/>
          <w:rFonts w:cs="FrankRuehl"/>
          <w:rtl/>
        </w:rPr>
      </w:pPr>
      <w:r w:rsidRPr="00DD17A6">
        <w:rPr>
          <w:rStyle w:val="default"/>
          <w:rFonts w:cs="FrankRuehl"/>
          <w:rtl/>
        </w:rPr>
        <w:t>(4)</w:t>
      </w:r>
      <w:r w:rsidRPr="00DD17A6">
        <w:rPr>
          <w:rStyle w:val="default"/>
          <w:rFonts w:cs="FrankRuehl"/>
          <w:rtl/>
        </w:rPr>
        <w:tab/>
        <w:t>לענין סעיף 103ג(6)(ב) יובא בחשבון שווי השוק של חברה מחזיקה המשתתפת במיזוג לאחר שהופחת ממנו חלקה היחסי בכלל הזכויות בחברה משתתפת אחרת המוחזקת על ידה כשהוא מוכפל בשווי השוק של חברה אחרת זו.</w:t>
      </w:r>
    </w:p>
    <w:p w:rsidR="00882910" w:rsidRPr="00DD17A6" w:rsidRDefault="00882910">
      <w:pPr>
        <w:pStyle w:val="P00"/>
        <w:spacing w:before="72"/>
        <w:ind w:left="0" w:right="1134"/>
        <w:rPr>
          <w:rStyle w:val="default"/>
          <w:rFonts w:cs="FrankRuehl"/>
          <w:rtl/>
        </w:rPr>
      </w:pPr>
      <w:bookmarkStart w:id="1" w:name="Seif1"/>
      <w:bookmarkEnd w:id="1"/>
      <w:r w:rsidRPr="00C92857">
        <w:rPr>
          <w:rFonts w:cs="Miriam"/>
          <w:lang w:val="he-IL"/>
        </w:rPr>
        <w:pict>
          <v:rect id="_x0000_s1027" style="position:absolute;left:0;text-align:left;margin-left:464.5pt;margin-top:8.05pt;width:75.05pt;height:23.2pt;z-index:251657216" o:allowincell="f" filled="f" stroked="f" strokecolor="lime" strokeweight=".25pt">
            <v:textbox inset="0,0,0,0">
              <w:txbxContent>
                <w:p w:rsidR="00882910" w:rsidRDefault="00882910" w:rsidP="00C92857">
                  <w:pPr>
                    <w:spacing w:line="160" w:lineRule="exact"/>
                    <w:rPr>
                      <w:rFonts w:cs="Miriam"/>
                      <w:noProof/>
                      <w:sz w:val="18"/>
                      <w:szCs w:val="18"/>
                      <w:rtl/>
                    </w:rPr>
                  </w:pPr>
                  <w:r>
                    <w:rPr>
                      <w:rFonts w:cs="Miriam"/>
                      <w:sz w:val="18"/>
                      <w:szCs w:val="18"/>
                      <w:rtl/>
                    </w:rPr>
                    <w:t>חב</w:t>
                  </w:r>
                  <w:r>
                    <w:rPr>
                      <w:rFonts w:cs="Miriam" w:hint="cs"/>
                      <w:sz w:val="18"/>
                      <w:szCs w:val="18"/>
                      <w:rtl/>
                    </w:rPr>
                    <w:t>רות המחזיקות</w:t>
                  </w:r>
                  <w:r w:rsidR="00C92857">
                    <w:rPr>
                      <w:rFonts w:cs="Miriam" w:hint="cs"/>
                      <w:sz w:val="18"/>
                      <w:szCs w:val="18"/>
                      <w:rtl/>
                    </w:rPr>
                    <w:t xml:space="preserve"> </w:t>
                  </w:r>
                  <w:r>
                    <w:rPr>
                      <w:rFonts w:cs="Miriam"/>
                      <w:sz w:val="18"/>
                      <w:szCs w:val="18"/>
                      <w:rtl/>
                    </w:rPr>
                    <w:t>זו</w:t>
                  </w:r>
                  <w:r>
                    <w:rPr>
                      <w:rFonts w:cs="Miriam" w:hint="cs"/>
                      <w:sz w:val="18"/>
                      <w:szCs w:val="18"/>
                      <w:rtl/>
                    </w:rPr>
                    <w:t xml:space="preserve"> בזכויות זו</w:t>
                  </w:r>
                </w:p>
              </w:txbxContent>
            </v:textbox>
            <w10:anchorlock/>
          </v:rect>
        </w:pict>
      </w:r>
      <w:r w:rsidRPr="00C92857">
        <w:rPr>
          <w:rStyle w:val="big-number"/>
          <w:rFonts w:cs="Miriam"/>
          <w:rtl/>
        </w:rPr>
        <w:t>2</w:t>
      </w:r>
      <w:r w:rsidRPr="00C92857">
        <w:rPr>
          <w:rStyle w:val="big-number"/>
          <w:rFonts w:cs="FrankRuehl"/>
          <w:sz w:val="26"/>
          <w:szCs w:val="26"/>
          <w:rtl/>
        </w:rPr>
        <w:t>.</w:t>
      </w:r>
      <w:r w:rsidRPr="00C92857">
        <w:rPr>
          <w:rStyle w:val="big-number"/>
          <w:rFonts w:cs="FrankRuehl"/>
          <w:sz w:val="26"/>
          <w:szCs w:val="26"/>
          <w:rtl/>
        </w:rPr>
        <w:tab/>
      </w:r>
      <w:r w:rsidRPr="00DD17A6">
        <w:rPr>
          <w:rStyle w:val="default"/>
          <w:rFonts w:cs="FrankRuehl"/>
          <w:rtl/>
        </w:rPr>
        <w:t>במיזוג שהחברות המשתתפות בו, כולן או חלקן, מחזיקות זו בזכויות זו, במישרין או בעקיפין, יחולו לענין סעיפים 103ג(4), (5) ו-(6) לפקודה, ההוראות הקבועות בתקנה 1 בשינויים המחוייבים, ובלבד שלפני המיזוג ניתן אישור הנציב לשינויים אלה.</w:t>
      </w:r>
    </w:p>
    <w:p w:rsidR="00882910" w:rsidRPr="00DD17A6" w:rsidRDefault="00882910">
      <w:pPr>
        <w:pStyle w:val="P00"/>
        <w:spacing w:before="72"/>
        <w:ind w:left="0" w:right="1134"/>
        <w:rPr>
          <w:rStyle w:val="default"/>
          <w:rFonts w:cs="FrankRuehl"/>
          <w:rtl/>
        </w:rPr>
      </w:pPr>
      <w:bookmarkStart w:id="2" w:name="Seif2"/>
      <w:bookmarkEnd w:id="2"/>
      <w:r w:rsidRPr="00C92857">
        <w:rPr>
          <w:rFonts w:cs="Miriam"/>
          <w:lang w:val="he-IL"/>
        </w:rPr>
        <w:pict>
          <v:rect id="_x0000_s1028" style="position:absolute;left:0;text-align:left;margin-left:464.5pt;margin-top:8.05pt;width:75.05pt;height:9pt;z-index:251658240" o:allowincell="f" filled="f" stroked="f" strokecolor="lime" strokeweight=".25pt">
            <v:textbox inset="0,0,0,0">
              <w:txbxContent>
                <w:p w:rsidR="00882910" w:rsidRDefault="00882910">
                  <w:pPr>
                    <w:spacing w:line="160" w:lineRule="exact"/>
                    <w:rPr>
                      <w:rFonts w:cs="Miriam"/>
                      <w:noProof/>
                      <w:sz w:val="18"/>
                      <w:szCs w:val="18"/>
                      <w:rtl/>
                    </w:rPr>
                  </w:pPr>
                  <w:r>
                    <w:rPr>
                      <w:rFonts w:cs="Miriam"/>
                      <w:sz w:val="18"/>
                      <w:szCs w:val="18"/>
                      <w:rtl/>
                    </w:rPr>
                    <w:t>דו</w:t>
                  </w:r>
                  <w:r>
                    <w:rPr>
                      <w:rFonts w:cs="Miriam" w:hint="cs"/>
                      <w:sz w:val="18"/>
                      <w:szCs w:val="18"/>
                      <w:rtl/>
                    </w:rPr>
                    <w:t>"חות</w:t>
                  </w:r>
                </w:p>
              </w:txbxContent>
            </v:textbox>
            <w10:anchorlock/>
          </v:rect>
        </w:pict>
      </w:r>
      <w:r w:rsidRPr="00C92857">
        <w:rPr>
          <w:rStyle w:val="big-number"/>
          <w:rFonts w:cs="Miriam"/>
          <w:rtl/>
        </w:rPr>
        <w:t>3</w:t>
      </w:r>
      <w:r w:rsidRPr="00C92857">
        <w:rPr>
          <w:rStyle w:val="big-number"/>
          <w:rFonts w:cs="FrankRuehl"/>
          <w:sz w:val="26"/>
          <w:szCs w:val="26"/>
          <w:rtl/>
        </w:rPr>
        <w:t>.</w:t>
      </w:r>
      <w:r w:rsidRPr="00C92857">
        <w:rPr>
          <w:rStyle w:val="big-number"/>
          <w:rFonts w:cs="FrankRuehl"/>
          <w:sz w:val="26"/>
          <w:szCs w:val="26"/>
          <w:rtl/>
        </w:rPr>
        <w:tab/>
      </w:r>
      <w:r w:rsidRPr="00DD17A6">
        <w:rPr>
          <w:rStyle w:val="default"/>
          <w:rFonts w:cs="FrankRuehl"/>
          <w:rtl/>
        </w:rPr>
        <w:t>חישובים שנעשו בהתאם לתקנות 1 ו-2, לפי הענין, יצורפו לבקשה המוגשת לפי סעיף 103ט לפקודה ולדו"ח המיזוג המוגש לפי סעיף 103י(ב) לפקודה.</w:t>
      </w:r>
    </w:p>
    <w:p w:rsidR="00882910" w:rsidRPr="00DD17A6" w:rsidRDefault="00882910">
      <w:pPr>
        <w:pStyle w:val="P00"/>
        <w:spacing w:before="72"/>
        <w:ind w:left="0" w:right="1134"/>
        <w:rPr>
          <w:rStyle w:val="default"/>
          <w:rFonts w:cs="FrankRuehl" w:hint="cs"/>
          <w:rtl/>
        </w:rPr>
      </w:pPr>
      <w:bookmarkStart w:id="3" w:name="Seif3"/>
      <w:bookmarkEnd w:id="3"/>
      <w:r w:rsidRPr="00C92857">
        <w:rPr>
          <w:rFonts w:cs="Miriam"/>
          <w:lang w:val="he-IL"/>
        </w:rPr>
        <w:pict>
          <v:rect id="_x0000_s1029" style="position:absolute;left:0;text-align:left;margin-left:464.5pt;margin-top:8.05pt;width:75.05pt;height:17pt;z-index:251659264" o:allowincell="f" filled="f" stroked="f" strokecolor="lime" strokeweight=".25pt">
            <v:textbox inset="0,0,0,0">
              <w:txbxContent>
                <w:p w:rsidR="00882910" w:rsidRDefault="00882910">
                  <w:pPr>
                    <w:spacing w:line="160" w:lineRule="exac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sidRPr="00C92857">
        <w:rPr>
          <w:rStyle w:val="big-number"/>
          <w:rFonts w:cs="Miriam"/>
          <w:rtl/>
        </w:rPr>
        <w:t>4</w:t>
      </w:r>
      <w:r w:rsidRPr="00C92857">
        <w:rPr>
          <w:rStyle w:val="big-number"/>
          <w:rFonts w:cs="FrankRuehl"/>
          <w:sz w:val="26"/>
          <w:szCs w:val="26"/>
          <w:rtl/>
        </w:rPr>
        <w:t>.</w:t>
      </w:r>
      <w:r w:rsidRPr="00C92857">
        <w:rPr>
          <w:rStyle w:val="big-number"/>
          <w:rFonts w:cs="FrankRuehl"/>
          <w:sz w:val="26"/>
          <w:szCs w:val="26"/>
          <w:rtl/>
        </w:rPr>
        <w:tab/>
      </w:r>
      <w:r w:rsidRPr="00DD17A6">
        <w:rPr>
          <w:rStyle w:val="default"/>
          <w:rFonts w:cs="FrankRuehl"/>
          <w:rtl/>
        </w:rPr>
        <w:t>תחולתן של תקנות אלה לגבי מיזוגים שמועדם ביום י"ז בטבת תשנ"ד (31 בדצמבר 1993) או לאחריו.</w:t>
      </w:r>
    </w:p>
    <w:p w:rsidR="00882910" w:rsidRPr="00C92857" w:rsidRDefault="00882910">
      <w:pPr>
        <w:pStyle w:val="P00"/>
        <w:spacing w:before="72"/>
        <w:ind w:left="0" w:right="1134"/>
        <w:rPr>
          <w:rStyle w:val="default"/>
          <w:rFonts w:cs="FrankRuehl" w:hint="cs"/>
          <w:rtl/>
        </w:rPr>
      </w:pPr>
    </w:p>
    <w:p w:rsidR="00C92857" w:rsidRPr="00C92857" w:rsidRDefault="00C92857">
      <w:pPr>
        <w:pStyle w:val="P00"/>
        <w:spacing w:before="72"/>
        <w:ind w:left="0" w:right="1134"/>
        <w:rPr>
          <w:rStyle w:val="default"/>
          <w:rFonts w:cs="FrankRuehl" w:hint="cs"/>
          <w:rtl/>
        </w:rPr>
      </w:pPr>
    </w:p>
    <w:p w:rsidR="00882910" w:rsidRPr="00C92857" w:rsidRDefault="00882910" w:rsidP="00C92857">
      <w:pPr>
        <w:pStyle w:val="sig-1"/>
        <w:widowControl/>
        <w:tabs>
          <w:tab w:val="clear" w:pos="851"/>
          <w:tab w:val="clear" w:pos="2835"/>
          <w:tab w:val="clear" w:pos="4820"/>
          <w:tab w:val="center" w:pos="1985"/>
          <w:tab w:val="center" w:pos="4536"/>
        </w:tabs>
        <w:spacing w:before="72"/>
        <w:ind w:left="0" w:right="1134"/>
        <w:rPr>
          <w:rFonts w:cs="FrankRuehl"/>
          <w:sz w:val="26"/>
          <w:szCs w:val="26"/>
          <w:rtl/>
        </w:rPr>
      </w:pPr>
      <w:r w:rsidRPr="00C92857">
        <w:rPr>
          <w:rFonts w:cs="FrankRuehl"/>
          <w:sz w:val="26"/>
          <w:szCs w:val="26"/>
          <w:rtl/>
        </w:rPr>
        <w:t xml:space="preserve">ו' </w:t>
      </w:r>
      <w:r w:rsidRPr="00C92857">
        <w:rPr>
          <w:rFonts w:cs="FrankRuehl" w:hint="cs"/>
          <w:sz w:val="26"/>
          <w:szCs w:val="26"/>
          <w:rtl/>
        </w:rPr>
        <w:t>באדר ב' תשנ"ה (8 במרס 1995)</w:t>
      </w:r>
      <w:r w:rsidRPr="00C92857">
        <w:rPr>
          <w:rFonts w:cs="FrankRuehl"/>
          <w:sz w:val="26"/>
          <w:szCs w:val="26"/>
          <w:rtl/>
        </w:rPr>
        <w:tab/>
        <w:t>א</w:t>
      </w:r>
      <w:r w:rsidRPr="00C92857">
        <w:rPr>
          <w:rFonts w:cs="FrankRuehl" w:hint="cs"/>
          <w:sz w:val="26"/>
          <w:szCs w:val="26"/>
          <w:rtl/>
        </w:rPr>
        <w:t>ברהם (בייגה) שוחט</w:t>
      </w:r>
    </w:p>
    <w:p w:rsidR="00882910" w:rsidRDefault="00882910">
      <w:pPr>
        <w:pStyle w:val="sig-1"/>
        <w:widowControl/>
        <w:tabs>
          <w:tab w:val="clear" w:pos="851"/>
          <w:tab w:val="clear" w:pos="2835"/>
          <w:tab w:val="clear" w:pos="4820"/>
          <w:tab w:val="center" w:pos="1985"/>
          <w:tab w:val="center" w:pos="4536"/>
        </w:tabs>
        <w:ind w:left="0" w:right="1134"/>
        <w:rPr>
          <w:rFonts w:cs="FrankRuehl" w:hint="cs"/>
          <w:sz w:val="22"/>
          <w:rtl/>
        </w:rPr>
      </w:pPr>
      <w:r>
        <w:rPr>
          <w:rFonts w:cs="FrankRuehl"/>
          <w:sz w:val="22"/>
          <w:rtl/>
        </w:rPr>
        <w:tab/>
      </w:r>
      <w:r>
        <w:rPr>
          <w:rFonts w:cs="FrankRuehl"/>
          <w:sz w:val="22"/>
          <w:rtl/>
        </w:rPr>
        <w:tab/>
        <w:t>ש</w:t>
      </w:r>
      <w:r>
        <w:rPr>
          <w:rFonts w:cs="FrankRuehl" w:hint="cs"/>
          <w:sz w:val="22"/>
          <w:rtl/>
        </w:rPr>
        <w:t>ר האוצר</w:t>
      </w:r>
    </w:p>
    <w:p w:rsidR="00C92857" w:rsidRPr="00C92857" w:rsidRDefault="00C92857" w:rsidP="00C92857">
      <w:pPr>
        <w:pStyle w:val="P00"/>
        <w:spacing w:before="72"/>
        <w:ind w:left="0" w:right="1134"/>
        <w:rPr>
          <w:rStyle w:val="default"/>
          <w:rFonts w:cs="FrankRuehl" w:hint="cs"/>
          <w:rtl/>
        </w:rPr>
      </w:pPr>
    </w:p>
    <w:p w:rsidR="00C92857" w:rsidRPr="00C92857" w:rsidRDefault="00C92857" w:rsidP="00C92857">
      <w:pPr>
        <w:pStyle w:val="P00"/>
        <w:spacing w:before="72"/>
        <w:ind w:left="0" w:right="1134"/>
        <w:rPr>
          <w:rStyle w:val="default"/>
          <w:rFonts w:cs="FrankRuehl"/>
          <w:rtl/>
        </w:rPr>
      </w:pPr>
    </w:p>
    <w:p w:rsidR="00882910" w:rsidRPr="00C92857" w:rsidRDefault="00882910" w:rsidP="00C92857">
      <w:pPr>
        <w:pStyle w:val="P00"/>
        <w:spacing w:before="72"/>
        <w:ind w:left="0" w:right="1134"/>
        <w:rPr>
          <w:rStyle w:val="default"/>
          <w:rFonts w:cs="FrankRuehl"/>
          <w:rtl/>
        </w:rPr>
      </w:pPr>
      <w:bookmarkStart w:id="4" w:name="LawPartEnd"/>
    </w:p>
    <w:bookmarkEnd w:id="4"/>
    <w:p w:rsidR="00882910" w:rsidRPr="00C92857" w:rsidRDefault="00882910" w:rsidP="00C92857">
      <w:pPr>
        <w:pStyle w:val="P00"/>
        <w:spacing w:before="72"/>
        <w:ind w:left="0" w:right="1134"/>
        <w:rPr>
          <w:rStyle w:val="default"/>
          <w:rFonts w:cs="FrankRuehl"/>
          <w:rtl/>
        </w:rPr>
      </w:pPr>
    </w:p>
    <w:sectPr w:rsidR="00882910" w:rsidRPr="00C92857">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F4AF1" w:rsidRDefault="008F4AF1">
      <w:r>
        <w:separator/>
      </w:r>
    </w:p>
  </w:endnote>
  <w:endnote w:type="continuationSeparator" w:id="0">
    <w:p w:rsidR="008F4AF1" w:rsidRDefault="008F4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2910" w:rsidRDefault="00882910">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rsidR="00882910" w:rsidRDefault="00882910">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82910" w:rsidRDefault="00882910">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92857">
      <w:rPr>
        <w:rFonts w:cs="TopType Jerushalmi"/>
        <w:noProof/>
        <w:color w:val="000000"/>
        <w:sz w:val="14"/>
        <w:szCs w:val="14"/>
      </w:rPr>
      <w:t>C:\Yael\hakika\Revadim\255_238.doc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2910" w:rsidRDefault="00882910">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E44BF9">
      <w:rPr>
        <w:rFonts w:hAnsi="FrankRuehl" w:cs="FrankRuehl"/>
        <w:noProof/>
        <w:rtl/>
      </w:rPr>
      <w:t>2</w:t>
    </w:r>
    <w:r>
      <w:rPr>
        <w:rFonts w:hAnsi="FrankRuehl" w:cs="FrankRuehl"/>
        <w:rtl/>
      </w:rPr>
      <w:fldChar w:fldCharType="end"/>
    </w:r>
  </w:p>
  <w:p w:rsidR="00882910" w:rsidRDefault="00882910">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82910" w:rsidRDefault="00882910">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92857">
      <w:rPr>
        <w:rFonts w:cs="TopType Jerushalmi"/>
        <w:noProof/>
        <w:color w:val="000000"/>
        <w:sz w:val="14"/>
        <w:szCs w:val="14"/>
      </w:rPr>
      <w:t>C:\Yael\hakika\Revadim\255_238.doc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F4AF1" w:rsidRDefault="008F4AF1" w:rsidP="00C92857">
      <w:pPr>
        <w:spacing w:before="60"/>
        <w:ind w:right="1134"/>
      </w:pPr>
      <w:r>
        <w:separator/>
      </w:r>
    </w:p>
  </w:footnote>
  <w:footnote w:type="continuationSeparator" w:id="0">
    <w:p w:rsidR="008F4AF1" w:rsidRDefault="008F4AF1">
      <w:r>
        <w:continuationSeparator/>
      </w:r>
    </w:p>
  </w:footnote>
  <w:footnote w:id="1">
    <w:p w:rsidR="00C92857" w:rsidRPr="00C92857" w:rsidRDefault="00C92857" w:rsidP="00C9285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C92857">
        <w:rPr>
          <w:rFonts w:cs="FrankRuehl"/>
          <w:rtl/>
        </w:rPr>
        <w:t xml:space="preserve">* </w:t>
      </w:r>
      <w:r w:rsidRPr="00DD17A6">
        <w:rPr>
          <w:rFonts w:cs="FrankRuehl"/>
          <w:rtl/>
        </w:rPr>
        <w:t>פו</w:t>
      </w:r>
      <w:r w:rsidRPr="00DD17A6">
        <w:rPr>
          <w:rFonts w:cs="FrankRuehl" w:hint="cs"/>
          <w:rtl/>
        </w:rPr>
        <w:t xml:space="preserve">רסמו </w:t>
      </w:r>
      <w:hyperlink r:id="rId1" w:history="1">
        <w:r w:rsidRPr="00DD17A6">
          <w:rPr>
            <w:rStyle w:val="Hyperlink"/>
            <w:rFonts w:cs="FrankRuehl"/>
            <w:rtl/>
          </w:rPr>
          <w:t>ק"</w:t>
        </w:r>
        <w:r w:rsidRPr="00DD17A6">
          <w:rPr>
            <w:rStyle w:val="Hyperlink"/>
            <w:rFonts w:cs="FrankRuehl" w:hint="cs"/>
            <w:rtl/>
          </w:rPr>
          <w:t>ת תשנ"ה מס' 5672</w:t>
        </w:r>
      </w:hyperlink>
      <w:r w:rsidRPr="00DD17A6">
        <w:rPr>
          <w:rFonts w:cs="FrankRuehl" w:hint="cs"/>
          <w:rtl/>
        </w:rPr>
        <w:t xml:space="preserve"> מיום 23.</w:t>
      </w:r>
      <w:r w:rsidRPr="00DD17A6">
        <w:rPr>
          <w:rFonts w:cs="FrankRuehl"/>
          <w:rtl/>
        </w:rPr>
        <w:t xml:space="preserve">3.1995 </w:t>
      </w:r>
      <w:r w:rsidRPr="00DD17A6">
        <w:rPr>
          <w:rFonts w:cs="FrankRuehl" w:hint="cs"/>
          <w:rtl/>
        </w:rPr>
        <w:t>עמ' 1302.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2910" w:rsidRDefault="0088291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(מיזוג חברות המחזיקות זו בזו), תשנ"ה–1995</w:t>
    </w:r>
  </w:p>
  <w:p w:rsidR="00882910" w:rsidRDefault="0088291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82910" w:rsidRDefault="0088291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2910" w:rsidRDefault="00882910" w:rsidP="00C9285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(מיזוג חברות המחזיקות זו בזו), תשנ"ה</w:t>
    </w:r>
    <w:r w:rsidR="00C92857">
      <w:rPr>
        <w:rFonts w:hAnsi="FrankRuehl" w:cs="FrankRuehl" w:hint="cs"/>
        <w:color w:val="000000"/>
        <w:sz w:val="28"/>
        <w:szCs w:val="28"/>
        <w:rtl/>
      </w:rPr>
      <w:t>-</w:t>
    </w:r>
    <w:r>
      <w:rPr>
        <w:rFonts w:hAnsi="FrankRuehl" w:cs="FrankRuehl"/>
        <w:color w:val="000000"/>
        <w:sz w:val="28"/>
        <w:szCs w:val="28"/>
        <w:rtl/>
      </w:rPr>
      <w:t>1995</w:t>
    </w:r>
  </w:p>
  <w:p w:rsidR="00882910" w:rsidRDefault="0088291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82910" w:rsidRDefault="0088291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D17A6"/>
    <w:rsid w:val="0018656A"/>
    <w:rsid w:val="001D61BB"/>
    <w:rsid w:val="00611B75"/>
    <w:rsid w:val="00882910"/>
    <w:rsid w:val="008F4AF1"/>
    <w:rsid w:val="00AC115E"/>
    <w:rsid w:val="00C92857"/>
    <w:rsid w:val="00D1501F"/>
    <w:rsid w:val="00DD17A6"/>
    <w:rsid w:val="00DD362B"/>
    <w:rsid w:val="00E44BF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8D450E5-651C-48EA-ACEE-229C9336A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basedOn w:val="a0"/>
    <w:rPr>
      <w:color w:val="0000FF"/>
      <w:u w:val="single"/>
    </w:rPr>
  </w:style>
  <w:style w:type="paragraph" w:styleId="a5">
    <w:name w:val="footnote text"/>
    <w:basedOn w:val="a"/>
    <w:semiHidden/>
    <w:rsid w:val="00C92857"/>
    <w:rPr>
      <w:sz w:val="20"/>
      <w:szCs w:val="20"/>
    </w:rPr>
  </w:style>
  <w:style w:type="character" w:styleId="a6">
    <w:name w:val="footnote reference"/>
    <w:basedOn w:val="a0"/>
    <w:semiHidden/>
    <w:rsid w:val="00C9285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567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2347</CharactersWithSpaces>
  <SharedDoc>false</SharedDoc>
  <HLinks>
    <vt:vector size="30" baseType="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8060940</vt:i4>
      </vt:variant>
      <vt:variant>
        <vt:i4>0</vt:i4>
      </vt:variant>
      <vt:variant>
        <vt:i4>0</vt:i4>
      </vt:variant>
      <vt:variant>
        <vt:i4>5</vt:i4>
      </vt:variant>
      <vt:variant>
        <vt:lpwstr>http://www.nevo.co.il/Law_word/law06/TAK-5672.pdf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תקנות מס הכנסה (מיזוג חברות המחזיקות זו בזו), תשנ"ה-1995</vt:lpwstr>
  </property>
  <property fmtid="{D5CDD505-2E9C-101B-9397-08002B2CF9AE}" pid="5" name="LAWNUMBER">
    <vt:lpwstr>0238</vt:lpwstr>
  </property>
  <property fmtid="{D5CDD505-2E9C-101B-9397-08002B2CF9AE}" pid="6" name="TYPE">
    <vt:lpwstr>01</vt:lpwstr>
  </property>
  <property fmtid="{D5CDD505-2E9C-101B-9397-08002B2CF9AE}" pid="7" name="MEKOR_NAME1">
    <vt:lpwstr>פקודת מס הכנסה </vt:lpwstr>
  </property>
  <property fmtid="{D5CDD505-2E9C-101B-9397-08002B2CF9AE}" pid="8" name="MEKOR_SAIF1">
    <vt:lpwstr>103גX6XגX;103זXבX;103יזX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חברות</vt:lpwstr>
  </property>
  <property fmtid="{D5CDD505-2E9C-101B-9397-08002B2CF9AE}" pid="12" name="NOSE41">
    <vt:lpwstr/>
  </property>
  <property fmtid="{D5CDD505-2E9C-101B-9397-08002B2CF9AE}" pid="13" name="NOSE12">
    <vt:lpwstr>משפט פרטי וכלכלה</vt:lpwstr>
  </property>
  <property fmtid="{D5CDD505-2E9C-101B-9397-08002B2CF9AE}" pid="14" name="NOSE22">
    <vt:lpwstr>תאגידים וניירות ערך</vt:lpwstr>
  </property>
  <property fmtid="{D5CDD505-2E9C-101B-9397-08002B2CF9AE}" pid="15" name="NOSE32">
    <vt:lpwstr>חברות</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