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1DD0" w:rsidRDefault="00E97A38" w:rsidP="00A81DD0">
      <w:pPr>
        <w:pStyle w:val="big-header"/>
        <w:ind w:left="0" w:right="1134"/>
        <w:rPr>
          <w:rFonts w:cs="FrankRuehl"/>
          <w:sz w:val="32"/>
        </w:rPr>
      </w:pPr>
      <w:r>
        <w:rPr>
          <w:rFonts w:cs="FrankRuehl" w:hint="cs"/>
          <w:sz w:val="32"/>
          <w:rtl/>
        </w:rPr>
        <w:t>תקנות מס הכנסה (מקדמות בשל הכנסת חוץ), תשס"ד-2004</w:t>
      </w:r>
    </w:p>
    <w:p w:rsidR="00A81DD0" w:rsidRPr="00A81DD0" w:rsidRDefault="00A81DD0" w:rsidP="00A81DD0">
      <w:pPr>
        <w:spacing w:line="320" w:lineRule="auto"/>
        <w:rPr>
          <w:rFonts w:cs="FrankRuehl"/>
          <w:szCs w:val="26"/>
          <w:rtl/>
        </w:rPr>
      </w:pPr>
    </w:p>
    <w:p w:rsidR="00A81DD0" w:rsidRDefault="00A81DD0" w:rsidP="00A81DD0">
      <w:pPr>
        <w:spacing w:line="320" w:lineRule="auto"/>
        <w:rPr>
          <w:rtl/>
        </w:rPr>
      </w:pPr>
    </w:p>
    <w:p w:rsidR="00A81DD0" w:rsidRDefault="00A81DD0" w:rsidP="00A81DD0">
      <w:pPr>
        <w:spacing w:line="320" w:lineRule="auto"/>
        <w:rPr>
          <w:rFonts w:cs="FrankRuehl"/>
          <w:szCs w:val="26"/>
          <w:rtl/>
        </w:rPr>
      </w:pPr>
      <w:r w:rsidRPr="00A81DD0">
        <w:rPr>
          <w:rFonts w:cs="Miriam"/>
          <w:szCs w:val="22"/>
          <w:rtl/>
        </w:rPr>
        <w:t>מסים</w:t>
      </w:r>
      <w:r w:rsidRPr="00A81DD0">
        <w:rPr>
          <w:rFonts w:cs="FrankRuehl"/>
          <w:szCs w:val="26"/>
          <w:rtl/>
        </w:rPr>
        <w:t xml:space="preserve"> – מס הכנסה – מקדמות</w:t>
      </w:r>
    </w:p>
    <w:p w:rsidR="00A81DD0" w:rsidRPr="00A81DD0" w:rsidRDefault="00A81DD0" w:rsidP="00A81DD0">
      <w:pPr>
        <w:spacing w:line="320" w:lineRule="auto"/>
        <w:rPr>
          <w:rFonts w:cs="Miriam"/>
          <w:szCs w:val="22"/>
        </w:rPr>
      </w:pPr>
      <w:r w:rsidRPr="00A81DD0">
        <w:rPr>
          <w:rFonts w:cs="Miriam"/>
          <w:szCs w:val="22"/>
          <w:rtl/>
        </w:rPr>
        <w:t>מסים</w:t>
      </w:r>
      <w:r w:rsidRPr="00A81DD0">
        <w:rPr>
          <w:rFonts w:cs="FrankRuehl"/>
          <w:szCs w:val="26"/>
          <w:rtl/>
        </w:rPr>
        <w:t xml:space="preserve"> – מס הכנסה – הכנסת חוץ</w:t>
      </w:r>
    </w:p>
    <w:p w:rsidR="00392946" w:rsidRDefault="00392946" w:rsidP="00A81DD0">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97A38">
        <w:tblPrEx>
          <w:tblCellMar>
            <w:top w:w="0" w:type="dxa"/>
            <w:bottom w:w="0" w:type="dxa"/>
          </w:tblCellMar>
        </w:tblPrEx>
        <w:trPr>
          <w:jc w:val="right"/>
        </w:trPr>
        <w:tc>
          <w:tcPr>
            <w:tcW w:w="850" w:type="dxa"/>
          </w:tcPr>
          <w:p w:rsidR="00E97A38" w:rsidRDefault="00E97A38">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sidR="00392946">
              <w:rPr>
                <w:rStyle w:val="default"/>
                <w:rFonts w:cs="FrankRuehl"/>
                <w:noProof/>
                <w:sz w:val="24"/>
                <w:szCs w:val="24"/>
                <w:rtl/>
              </w:rPr>
              <w:t>2</w:t>
            </w:r>
            <w:r>
              <w:rPr>
                <w:rStyle w:val="default"/>
                <w:rFonts w:cs="FrankRuehl"/>
                <w:sz w:val="24"/>
                <w:szCs w:val="24"/>
                <w:rtl/>
              </w:rPr>
              <w:fldChar w:fldCharType="end"/>
            </w:r>
          </w:p>
        </w:tc>
        <w:tc>
          <w:tcPr>
            <w:tcW w:w="567" w:type="dxa"/>
          </w:tcPr>
          <w:p w:rsidR="00E97A38" w:rsidRDefault="00E97A38">
            <w:pPr>
              <w:rPr>
                <w:rStyle w:val="default"/>
                <w:rFonts w:cs="FrankRuehl" w:hint="cs"/>
                <w:sz w:val="24"/>
                <w:szCs w:val="24"/>
              </w:rPr>
            </w:pPr>
            <w:hyperlink w:anchor="Seif0" w:tooltip="הגדרות" w:history="1">
              <w:r>
                <w:rPr>
                  <w:rStyle w:val="Hyperlink"/>
                </w:rPr>
                <w:t>Go</w:t>
              </w:r>
            </w:hyperlink>
          </w:p>
        </w:tc>
        <w:tc>
          <w:tcPr>
            <w:tcW w:w="5669" w:type="dxa"/>
          </w:tcPr>
          <w:p w:rsidR="00E97A38" w:rsidRDefault="00E97A38">
            <w:pPr>
              <w:rPr>
                <w:rStyle w:val="default"/>
                <w:rFonts w:cs="FrankRuehl"/>
                <w:sz w:val="24"/>
                <w:szCs w:val="24"/>
                <w:rtl/>
              </w:rPr>
            </w:pPr>
            <w:r>
              <w:rPr>
                <w:rStyle w:val="default"/>
                <w:rFonts w:cs="FrankRuehl"/>
                <w:sz w:val="24"/>
                <w:szCs w:val="24"/>
                <w:rtl/>
              </w:rPr>
              <w:t>הגדרות</w:t>
            </w:r>
          </w:p>
        </w:tc>
        <w:tc>
          <w:tcPr>
            <w:tcW w:w="1247" w:type="dxa"/>
          </w:tcPr>
          <w:p w:rsidR="00E97A38" w:rsidRDefault="00E97A38">
            <w:pPr>
              <w:rPr>
                <w:rStyle w:val="default"/>
                <w:rFonts w:cs="FrankRuehl" w:hint="cs"/>
                <w:sz w:val="24"/>
                <w:szCs w:val="24"/>
              </w:rPr>
            </w:pPr>
            <w:r>
              <w:rPr>
                <w:rStyle w:val="default"/>
                <w:rFonts w:cs="FrankRuehl"/>
                <w:sz w:val="24"/>
                <w:szCs w:val="24"/>
                <w:rtl/>
              </w:rPr>
              <w:t xml:space="preserve">סעיף 1 </w:t>
            </w:r>
          </w:p>
        </w:tc>
      </w:tr>
      <w:tr w:rsidR="00E97A38">
        <w:tblPrEx>
          <w:tblCellMar>
            <w:top w:w="0" w:type="dxa"/>
            <w:bottom w:w="0" w:type="dxa"/>
          </w:tblCellMar>
        </w:tblPrEx>
        <w:trPr>
          <w:jc w:val="right"/>
        </w:trPr>
        <w:tc>
          <w:tcPr>
            <w:tcW w:w="850" w:type="dxa"/>
          </w:tcPr>
          <w:p w:rsidR="00E97A38" w:rsidRDefault="00E97A38">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w:instrText>
            </w:r>
            <w:r>
              <w:rPr>
                <w:rStyle w:val="default"/>
                <w:rFonts w:cs="FrankRuehl"/>
                <w:sz w:val="24"/>
                <w:szCs w:val="24"/>
                <w:rtl/>
              </w:rPr>
              <w:instrText xml:space="preserve"> </w:instrText>
            </w:r>
            <w:r>
              <w:rPr>
                <w:rStyle w:val="default"/>
                <w:rFonts w:cs="FrankRuehl"/>
                <w:sz w:val="24"/>
                <w:szCs w:val="24"/>
                <w:rtl/>
              </w:rPr>
              <w:fldChar w:fldCharType="separate"/>
            </w:r>
            <w:r w:rsidR="00392946">
              <w:rPr>
                <w:rStyle w:val="default"/>
                <w:rFonts w:cs="FrankRuehl"/>
                <w:noProof/>
                <w:sz w:val="24"/>
                <w:szCs w:val="24"/>
                <w:rtl/>
              </w:rPr>
              <w:t>2</w:t>
            </w:r>
            <w:r>
              <w:rPr>
                <w:rStyle w:val="default"/>
                <w:rFonts w:cs="FrankRuehl"/>
                <w:sz w:val="24"/>
                <w:szCs w:val="24"/>
                <w:rtl/>
              </w:rPr>
              <w:fldChar w:fldCharType="end"/>
            </w:r>
          </w:p>
        </w:tc>
        <w:tc>
          <w:tcPr>
            <w:tcW w:w="567" w:type="dxa"/>
          </w:tcPr>
          <w:p w:rsidR="00E97A38" w:rsidRDefault="00E97A38">
            <w:pPr>
              <w:rPr>
                <w:rStyle w:val="default"/>
                <w:rFonts w:cs="FrankRuehl" w:hint="cs"/>
                <w:sz w:val="24"/>
                <w:szCs w:val="24"/>
              </w:rPr>
            </w:pPr>
            <w:hyperlink w:anchor="Seif1" w:tooltip="מקדמה מיוחדת בשל הכנסת חוץ" w:history="1">
              <w:r>
                <w:rPr>
                  <w:rStyle w:val="Hyperlink"/>
                </w:rPr>
                <w:t>Go</w:t>
              </w:r>
            </w:hyperlink>
          </w:p>
        </w:tc>
        <w:tc>
          <w:tcPr>
            <w:tcW w:w="5669" w:type="dxa"/>
          </w:tcPr>
          <w:p w:rsidR="00E97A38" w:rsidRDefault="00E97A38">
            <w:pPr>
              <w:rPr>
                <w:rStyle w:val="default"/>
                <w:rFonts w:cs="FrankRuehl"/>
                <w:sz w:val="24"/>
                <w:szCs w:val="24"/>
                <w:rtl/>
              </w:rPr>
            </w:pPr>
            <w:r>
              <w:rPr>
                <w:rStyle w:val="default"/>
                <w:rFonts w:cs="FrankRuehl"/>
                <w:sz w:val="24"/>
                <w:szCs w:val="24"/>
                <w:rtl/>
              </w:rPr>
              <w:t>מקדמה מיוחדת בשל הכנסת חוץ</w:t>
            </w:r>
          </w:p>
        </w:tc>
        <w:tc>
          <w:tcPr>
            <w:tcW w:w="1247" w:type="dxa"/>
          </w:tcPr>
          <w:p w:rsidR="00E97A38" w:rsidRDefault="00E97A38">
            <w:pPr>
              <w:rPr>
                <w:rStyle w:val="default"/>
                <w:rFonts w:cs="FrankRuehl" w:hint="cs"/>
                <w:sz w:val="24"/>
                <w:szCs w:val="24"/>
              </w:rPr>
            </w:pPr>
            <w:r>
              <w:rPr>
                <w:rStyle w:val="default"/>
                <w:rFonts w:cs="FrankRuehl"/>
                <w:sz w:val="24"/>
                <w:szCs w:val="24"/>
                <w:rtl/>
              </w:rPr>
              <w:t xml:space="preserve">סעיף 2 </w:t>
            </w:r>
          </w:p>
        </w:tc>
      </w:tr>
      <w:tr w:rsidR="00E97A38">
        <w:tblPrEx>
          <w:tblCellMar>
            <w:top w:w="0" w:type="dxa"/>
            <w:bottom w:w="0" w:type="dxa"/>
          </w:tblCellMar>
        </w:tblPrEx>
        <w:trPr>
          <w:jc w:val="right"/>
        </w:trPr>
        <w:tc>
          <w:tcPr>
            <w:tcW w:w="850" w:type="dxa"/>
          </w:tcPr>
          <w:p w:rsidR="00E97A38" w:rsidRDefault="00E97A38">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w:instrText>
            </w:r>
            <w:r>
              <w:rPr>
                <w:rStyle w:val="default"/>
                <w:rFonts w:cs="FrankRuehl"/>
                <w:sz w:val="24"/>
                <w:szCs w:val="24"/>
                <w:rtl/>
              </w:rPr>
              <w:instrText xml:space="preserve"> </w:instrText>
            </w:r>
            <w:r>
              <w:rPr>
                <w:rStyle w:val="default"/>
                <w:rFonts w:cs="FrankRuehl"/>
                <w:sz w:val="24"/>
                <w:szCs w:val="24"/>
                <w:rtl/>
              </w:rPr>
              <w:fldChar w:fldCharType="separate"/>
            </w:r>
            <w:r w:rsidR="00392946">
              <w:rPr>
                <w:rStyle w:val="default"/>
                <w:rFonts w:cs="FrankRuehl"/>
                <w:noProof/>
                <w:sz w:val="24"/>
                <w:szCs w:val="24"/>
                <w:rtl/>
              </w:rPr>
              <w:t>2</w:t>
            </w:r>
            <w:r>
              <w:rPr>
                <w:rStyle w:val="default"/>
                <w:rFonts w:cs="FrankRuehl"/>
                <w:sz w:val="24"/>
                <w:szCs w:val="24"/>
                <w:rtl/>
              </w:rPr>
              <w:fldChar w:fldCharType="end"/>
            </w:r>
          </w:p>
        </w:tc>
        <w:tc>
          <w:tcPr>
            <w:tcW w:w="567" w:type="dxa"/>
          </w:tcPr>
          <w:p w:rsidR="00E97A38" w:rsidRDefault="00E97A38">
            <w:pPr>
              <w:rPr>
                <w:rStyle w:val="default"/>
                <w:rFonts w:cs="FrankRuehl" w:hint="cs"/>
                <w:sz w:val="24"/>
                <w:szCs w:val="24"/>
              </w:rPr>
            </w:pPr>
            <w:hyperlink w:anchor="Seif2" w:tooltip="חישוב המקדמה" w:history="1">
              <w:r>
                <w:rPr>
                  <w:rStyle w:val="Hyperlink"/>
                </w:rPr>
                <w:t>Go</w:t>
              </w:r>
            </w:hyperlink>
          </w:p>
        </w:tc>
        <w:tc>
          <w:tcPr>
            <w:tcW w:w="5669" w:type="dxa"/>
          </w:tcPr>
          <w:p w:rsidR="00E97A38" w:rsidRDefault="00E97A38">
            <w:pPr>
              <w:rPr>
                <w:rStyle w:val="default"/>
                <w:rFonts w:cs="FrankRuehl"/>
                <w:sz w:val="24"/>
                <w:szCs w:val="24"/>
                <w:rtl/>
              </w:rPr>
            </w:pPr>
            <w:r>
              <w:rPr>
                <w:rStyle w:val="default"/>
                <w:rFonts w:cs="FrankRuehl"/>
                <w:sz w:val="24"/>
                <w:szCs w:val="24"/>
                <w:rtl/>
              </w:rPr>
              <w:t>חישוב המקדמה</w:t>
            </w:r>
          </w:p>
        </w:tc>
        <w:tc>
          <w:tcPr>
            <w:tcW w:w="1247" w:type="dxa"/>
          </w:tcPr>
          <w:p w:rsidR="00E97A38" w:rsidRDefault="00E97A38">
            <w:pPr>
              <w:rPr>
                <w:rStyle w:val="default"/>
                <w:rFonts w:cs="FrankRuehl" w:hint="cs"/>
                <w:sz w:val="24"/>
                <w:szCs w:val="24"/>
              </w:rPr>
            </w:pPr>
            <w:r>
              <w:rPr>
                <w:rStyle w:val="default"/>
                <w:rFonts w:cs="FrankRuehl"/>
                <w:sz w:val="24"/>
                <w:szCs w:val="24"/>
                <w:rtl/>
              </w:rPr>
              <w:t xml:space="preserve">סעיף 3 </w:t>
            </w:r>
          </w:p>
        </w:tc>
      </w:tr>
      <w:tr w:rsidR="00E97A38">
        <w:tblPrEx>
          <w:tblCellMar>
            <w:top w:w="0" w:type="dxa"/>
            <w:bottom w:w="0" w:type="dxa"/>
          </w:tblCellMar>
        </w:tblPrEx>
        <w:trPr>
          <w:jc w:val="right"/>
        </w:trPr>
        <w:tc>
          <w:tcPr>
            <w:tcW w:w="850" w:type="dxa"/>
          </w:tcPr>
          <w:p w:rsidR="00E97A38" w:rsidRDefault="00E97A38">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Seif3</w:instrText>
            </w:r>
            <w:r>
              <w:rPr>
                <w:rStyle w:val="default"/>
                <w:rFonts w:cs="FrankRuehl"/>
                <w:sz w:val="24"/>
                <w:szCs w:val="24"/>
                <w:rtl/>
              </w:rPr>
              <w:instrText xml:space="preserve"> </w:instrText>
            </w:r>
            <w:r>
              <w:rPr>
                <w:rStyle w:val="default"/>
                <w:rFonts w:cs="FrankRuehl"/>
                <w:sz w:val="24"/>
                <w:szCs w:val="24"/>
                <w:rtl/>
              </w:rPr>
              <w:fldChar w:fldCharType="separate"/>
            </w:r>
            <w:r w:rsidR="00392946">
              <w:rPr>
                <w:rStyle w:val="default"/>
                <w:rFonts w:cs="FrankRuehl"/>
                <w:noProof/>
                <w:sz w:val="24"/>
                <w:szCs w:val="24"/>
                <w:rtl/>
              </w:rPr>
              <w:t>2</w:t>
            </w:r>
            <w:r>
              <w:rPr>
                <w:rStyle w:val="default"/>
                <w:rFonts w:cs="FrankRuehl"/>
                <w:sz w:val="24"/>
                <w:szCs w:val="24"/>
                <w:rtl/>
              </w:rPr>
              <w:fldChar w:fldCharType="end"/>
            </w:r>
          </w:p>
        </w:tc>
        <w:tc>
          <w:tcPr>
            <w:tcW w:w="567" w:type="dxa"/>
          </w:tcPr>
          <w:p w:rsidR="00E97A38" w:rsidRDefault="00E97A38">
            <w:pPr>
              <w:rPr>
                <w:rStyle w:val="default"/>
                <w:rFonts w:cs="FrankRuehl" w:hint="cs"/>
                <w:sz w:val="24"/>
                <w:szCs w:val="24"/>
              </w:rPr>
            </w:pPr>
            <w:hyperlink w:anchor="Seif3" w:tooltip="זיכוי בשל מס זר" w:history="1">
              <w:r>
                <w:rPr>
                  <w:rStyle w:val="Hyperlink"/>
                </w:rPr>
                <w:t>Go</w:t>
              </w:r>
            </w:hyperlink>
          </w:p>
        </w:tc>
        <w:tc>
          <w:tcPr>
            <w:tcW w:w="5669" w:type="dxa"/>
          </w:tcPr>
          <w:p w:rsidR="00E97A38" w:rsidRDefault="00E97A38">
            <w:pPr>
              <w:rPr>
                <w:rStyle w:val="default"/>
                <w:rFonts w:cs="FrankRuehl"/>
                <w:sz w:val="24"/>
                <w:szCs w:val="24"/>
                <w:rtl/>
              </w:rPr>
            </w:pPr>
            <w:r>
              <w:rPr>
                <w:rStyle w:val="default"/>
                <w:rFonts w:cs="FrankRuehl"/>
                <w:sz w:val="24"/>
                <w:szCs w:val="24"/>
                <w:rtl/>
              </w:rPr>
              <w:t>זיכוי בשל מס זר</w:t>
            </w:r>
          </w:p>
        </w:tc>
        <w:tc>
          <w:tcPr>
            <w:tcW w:w="1247" w:type="dxa"/>
          </w:tcPr>
          <w:p w:rsidR="00E97A38" w:rsidRDefault="00E97A38">
            <w:pPr>
              <w:rPr>
                <w:rStyle w:val="default"/>
                <w:rFonts w:cs="FrankRuehl" w:hint="cs"/>
                <w:sz w:val="24"/>
                <w:szCs w:val="24"/>
              </w:rPr>
            </w:pPr>
            <w:r>
              <w:rPr>
                <w:rStyle w:val="default"/>
                <w:rFonts w:cs="FrankRuehl"/>
                <w:sz w:val="24"/>
                <w:szCs w:val="24"/>
                <w:rtl/>
              </w:rPr>
              <w:t xml:space="preserve">סעיף 4 </w:t>
            </w:r>
          </w:p>
        </w:tc>
      </w:tr>
      <w:tr w:rsidR="00E97A38">
        <w:tblPrEx>
          <w:tblCellMar>
            <w:top w:w="0" w:type="dxa"/>
            <w:bottom w:w="0" w:type="dxa"/>
          </w:tblCellMar>
        </w:tblPrEx>
        <w:trPr>
          <w:jc w:val="right"/>
        </w:trPr>
        <w:tc>
          <w:tcPr>
            <w:tcW w:w="850" w:type="dxa"/>
          </w:tcPr>
          <w:p w:rsidR="00E97A38" w:rsidRDefault="00E97A38">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Seif4</w:instrText>
            </w:r>
            <w:r>
              <w:rPr>
                <w:rStyle w:val="default"/>
                <w:rFonts w:cs="FrankRuehl"/>
                <w:sz w:val="24"/>
                <w:szCs w:val="24"/>
                <w:rtl/>
              </w:rPr>
              <w:instrText xml:space="preserve"> </w:instrText>
            </w:r>
            <w:r>
              <w:rPr>
                <w:rStyle w:val="default"/>
                <w:rFonts w:cs="FrankRuehl"/>
                <w:sz w:val="24"/>
                <w:szCs w:val="24"/>
                <w:rtl/>
              </w:rPr>
              <w:fldChar w:fldCharType="separate"/>
            </w:r>
            <w:r w:rsidR="00392946">
              <w:rPr>
                <w:rStyle w:val="default"/>
                <w:rFonts w:cs="FrankRuehl"/>
                <w:noProof/>
                <w:sz w:val="24"/>
                <w:szCs w:val="24"/>
                <w:rtl/>
              </w:rPr>
              <w:t>2</w:t>
            </w:r>
            <w:r>
              <w:rPr>
                <w:rStyle w:val="default"/>
                <w:rFonts w:cs="FrankRuehl"/>
                <w:sz w:val="24"/>
                <w:szCs w:val="24"/>
                <w:rtl/>
              </w:rPr>
              <w:fldChar w:fldCharType="end"/>
            </w:r>
          </w:p>
        </w:tc>
        <w:tc>
          <w:tcPr>
            <w:tcW w:w="567" w:type="dxa"/>
          </w:tcPr>
          <w:p w:rsidR="00E97A38" w:rsidRDefault="00E97A38">
            <w:pPr>
              <w:rPr>
                <w:rStyle w:val="default"/>
                <w:rFonts w:cs="FrankRuehl" w:hint="cs"/>
                <w:sz w:val="24"/>
                <w:szCs w:val="24"/>
              </w:rPr>
            </w:pPr>
            <w:hyperlink w:anchor="Seif4" w:tooltip="דיווח" w:history="1">
              <w:r>
                <w:rPr>
                  <w:rStyle w:val="Hyperlink"/>
                </w:rPr>
                <w:t>Go</w:t>
              </w:r>
            </w:hyperlink>
          </w:p>
        </w:tc>
        <w:tc>
          <w:tcPr>
            <w:tcW w:w="5669" w:type="dxa"/>
          </w:tcPr>
          <w:p w:rsidR="00E97A38" w:rsidRDefault="00E97A38">
            <w:pPr>
              <w:rPr>
                <w:rStyle w:val="default"/>
                <w:rFonts w:cs="FrankRuehl"/>
                <w:sz w:val="24"/>
                <w:szCs w:val="24"/>
                <w:rtl/>
              </w:rPr>
            </w:pPr>
            <w:r>
              <w:rPr>
                <w:rStyle w:val="default"/>
                <w:rFonts w:cs="FrankRuehl"/>
                <w:sz w:val="24"/>
                <w:szCs w:val="24"/>
                <w:rtl/>
              </w:rPr>
              <w:t>דיווח</w:t>
            </w:r>
          </w:p>
        </w:tc>
        <w:tc>
          <w:tcPr>
            <w:tcW w:w="1247" w:type="dxa"/>
          </w:tcPr>
          <w:p w:rsidR="00E97A38" w:rsidRDefault="00E97A38">
            <w:pPr>
              <w:rPr>
                <w:rStyle w:val="default"/>
                <w:rFonts w:cs="FrankRuehl" w:hint="cs"/>
                <w:sz w:val="24"/>
                <w:szCs w:val="24"/>
              </w:rPr>
            </w:pPr>
            <w:r>
              <w:rPr>
                <w:rStyle w:val="default"/>
                <w:rFonts w:cs="FrankRuehl"/>
                <w:sz w:val="24"/>
                <w:szCs w:val="24"/>
                <w:rtl/>
              </w:rPr>
              <w:t xml:space="preserve">סעיף 5 </w:t>
            </w:r>
          </w:p>
        </w:tc>
      </w:tr>
      <w:tr w:rsidR="00E97A38">
        <w:tblPrEx>
          <w:tblCellMar>
            <w:top w:w="0" w:type="dxa"/>
            <w:bottom w:w="0" w:type="dxa"/>
          </w:tblCellMar>
        </w:tblPrEx>
        <w:trPr>
          <w:jc w:val="right"/>
        </w:trPr>
        <w:tc>
          <w:tcPr>
            <w:tcW w:w="850" w:type="dxa"/>
          </w:tcPr>
          <w:p w:rsidR="00E97A38" w:rsidRDefault="00E97A38">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Seif5</w:instrText>
            </w:r>
            <w:r>
              <w:rPr>
                <w:rStyle w:val="default"/>
                <w:rFonts w:cs="FrankRuehl"/>
                <w:sz w:val="24"/>
                <w:szCs w:val="24"/>
                <w:rtl/>
              </w:rPr>
              <w:instrText xml:space="preserve"> </w:instrText>
            </w:r>
            <w:r>
              <w:rPr>
                <w:rStyle w:val="default"/>
                <w:rFonts w:cs="FrankRuehl"/>
                <w:sz w:val="24"/>
                <w:szCs w:val="24"/>
                <w:rtl/>
              </w:rPr>
              <w:fldChar w:fldCharType="separate"/>
            </w:r>
            <w:r w:rsidR="00392946">
              <w:rPr>
                <w:rStyle w:val="default"/>
                <w:rFonts w:cs="FrankRuehl"/>
                <w:noProof/>
                <w:sz w:val="24"/>
                <w:szCs w:val="24"/>
                <w:rtl/>
              </w:rPr>
              <w:t>2</w:t>
            </w:r>
            <w:r>
              <w:rPr>
                <w:rStyle w:val="default"/>
                <w:rFonts w:cs="FrankRuehl"/>
                <w:sz w:val="24"/>
                <w:szCs w:val="24"/>
                <w:rtl/>
              </w:rPr>
              <w:fldChar w:fldCharType="end"/>
            </w:r>
          </w:p>
        </w:tc>
        <w:tc>
          <w:tcPr>
            <w:tcW w:w="567" w:type="dxa"/>
          </w:tcPr>
          <w:p w:rsidR="00E97A38" w:rsidRDefault="00E97A38">
            <w:pPr>
              <w:rPr>
                <w:rStyle w:val="default"/>
                <w:rFonts w:cs="FrankRuehl" w:hint="cs"/>
                <w:sz w:val="24"/>
                <w:szCs w:val="24"/>
              </w:rPr>
            </w:pPr>
            <w:hyperlink w:anchor="Seif5" w:tooltip="הגבלת זיכוי, ניכוי או קיזוז" w:history="1">
              <w:r>
                <w:rPr>
                  <w:rStyle w:val="Hyperlink"/>
                </w:rPr>
                <w:t>Go</w:t>
              </w:r>
            </w:hyperlink>
          </w:p>
        </w:tc>
        <w:tc>
          <w:tcPr>
            <w:tcW w:w="5669" w:type="dxa"/>
          </w:tcPr>
          <w:p w:rsidR="00E97A38" w:rsidRDefault="00E97A38">
            <w:pPr>
              <w:rPr>
                <w:rStyle w:val="default"/>
                <w:rFonts w:cs="FrankRuehl"/>
                <w:sz w:val="24"/>
                <w:szCs w:val="24"/>
                <w:rtl/>
              </w:rPr>
            </w:pPr>
            <w:r>
              <w:rPr>
                <w:rStyle w:val="default"/>
                <w:rFonts w:cs="FrankRuehl"/>
                <w:sz w:val="24"/>
                <w:szCs w:val="24"/>
                <w:rtl/>
              </w:rPr>
              <w:t>הגבלת זיכוי, ניכוי או קיזוז</w:t>
            </w:r>
          </w:p>
        </w:tc>
        <w:tc>
          <w:tcPr>
            <w:tcW w:w="1247" w:type="dxa"/>
          </w:tcPr>
          <w:p w:rsidR="00E97A38" w:rsidRDefault="00E97A38">
            <w:pPr>
              <w:rPr>
                <w:rStyle w:val="default"/>
                <w:rFonts w:cs="FrankRuehl" w:hint="cs"/>
                <w:sz w:val="24"/>
                <w:szCs w:val="24"/>
              </w:rPr>
            </w:pPr>
            <w:r>
              <w:rPr>
                <w:rStyle w:val="default"/>
                <w:rFonts w:cs="FrankRuehl"/>
                <w:sz w:val="24"/>
                <w:szCs w:val="24"/>
                <w:rtl/>
              </w:rPr>
              <w:t xml:space="preserve">סעיף 6 </w:t>
            </w:r>
          </w:p>
        </w:tc>
      </w:tr>
      <w:tr w:rsidR="00E97A38">
        <w:tblPrEx>
          <w:tblCellMar>
            <w:top w:w="0" w:type="dxa"/>
            <w:bottom w:w="0" w:type="dxa"/>
          </w:tblCellMar>
        </w:tblPrEx>
        <w:trPr>
          <w:jc w:val="right"/>
        </w:trPr>
        <w:tc>
          <w:tcPr>
            <w:tcW w:w="850" w:type="dxa"/>
          </w:tcPr>
          <w:p w:rsidR="00E97A38" w:rsidRDefault="00E97A38">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Seif6</w:instrText>
            </w:r>
            <w:r>
              <w:rPr>
                <w:rStyle w:val="default"/>
                <w:rFonts w:cs="FrankRuehl"/>
                <w:sz w:val="24"/>
                <w:szCs w:val="24"/>
                <w:rtl/>
              </w:rPr>
              <w:instrText xml:space="preserve"> </w:instrText>
            </w:r>
            <w:r>
              <w:rPr>
                <w:rStyle w:val="default"/>
                <w:rFonts w:cs="FrankRuehl"/>
                <w:sz w:val="24"/>
                <w:szCs w:val="24"/>
                <w:rtl/>
              </w:rPr>
              <w:fldChar w:fldCharType="separate"/>
            </w:r>
            <w:r w:rsidR="00392946">
              <w:rPr>
                <w:rStyle w:val="default"/>
                <w:rFonts w:cs="FrankRuehl"/>
                <w:noProof/>
                <w:sz w:val="24"/>
                <w:szCs w:val="24"/>
                <w:rtl/>
              </w:rPr>
              <w:t>2</w:t>
            </w:r>
            <w:r>
              <w:rPr>
                <w:rStyle w:val="default"/>
                <w:rFonts w:cs="FrankRuehl"/>
                <w:sz w:val="24"/>
                <w:szCs w:val="24"/>
                <w:rtl/>
              </w:rPr>
              <w:fldChar w:fldCharType="end"/>
            </w:r>
          </w:p>
        </w:tc>
        <w:tc>
          <w:tcPr>
            <w:tcW w:w="567" w:type="dxa"/>
          </w:tcPr>
          <w:p w:rsidR="00E97A38" w:rsidRDefault="00E97A38">
            <w:pPr>
              <w:rPr>
                <w:rStyle w:val="default"/>
                <w:rFonts w:cs="FrankRuehl" w:hint="cs"/>
                <w:sz w:val="24"/>
                <w:szCs w:val="24"/>
              </w:rPr>
            </w:pPr>
            <w:hyperlink w:anchor="Seif6" w:tooltip="תחולת הפקודה" w:history="1">
              <w:r>
                <w:rPr>
                  <w:rStyle w:val="Hyperlink"/>
                </w:rPr>
                <w:t>Go</w:t>
              </w:r>
            </w:hyperlink>
          </w:p>
        </w:tc>
        <w:tc>
          <w:tcPr>
            <w:tcW w:w="5669" w:type="dxa"/>
          </w:tcPr>
          <w:p w:rsidR="00E97A38" w:rsidRDefault="00E97A38">
            <w:pPr>
              <w:rPr>
                <w:rStyle w:val="default"/>
                <w:rFonts w:cs="FrankRuehl"/>
                <w:sz w:val="24"/>
                <w:szCs w:val="24"/>
                <w:rtl/>
              </w:rPr>
            </w:pPr>
            <w:r>
              <w:rPr>
                <w:rStyle w:val="default"/>
                <w:rFonts w:cs="FrankRuehl"/>
                <w:sz w:val="24"/>
                <w:szCs w:val="24"/>
                <w:rtl/>
              </w:rPr>
              <w:t>תחולת הפקודה</w:t>
            </w:r>
          </w:p>
        </w:tc>
        <w:tc>
          <w:tcPr>
            <w:tcW w:w="1247" w:type="dxa"/>
          </w:tcPr>
          <w:p w:rsidR="00E97A38" w:rsidRDefault="00E97A38">
            <w:pPr>
              <w:rPr>
                <w:rStyle w:val="default"/>
                <w:rFonts w:cs="FrankRuehl" w:hint="cs"/>
                <w:sz w:val="24"/>
                <w:szCs w:val="24"/>
              </w:rPr>
            </w:pPr>
            <w:r>
              <w:rPr>
                <w:rStyle w:val="default"/>
                <w:rFonts w:cs="FrankRuehl"/>
                <w:sz w:val="24"/>
                <w:szCs w:val="24"/>
                <w:rtl/>
              </w:rPr>
              <w:t xml:space="preserve">סעיף 7 </w:t>
            </w:r>
          </w:p>
        </w:tc>
      </w:tr>
      <w:tr w:rsidR="00E97A38">
        <w:tblPrEx>
          <w:tblCellMar>
            <w:top w:w="0" w:type="dxa"/>
            <w:bottom w:w="0" w:type="dxa"/>
          </w:tblCellMar>
        </w:tblPrEx>
        <w:trPr>
          <w:jc w:val="right"/>
        </w:trPr>
        <w:tc>
          <w:tcPr>
            <w:tcW w:w="850" w:type="dxa"/>
          </w:tcPr>
          <w:p w:rsidR="00E97A38" w:rsidRDefault="00E97A38">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Seif7</w:instrText>
            </w:r>
            <w:r>
              <w:rPr>
                <w:rStyle w:val="default"/>
                <w:rFonts w:cs="FrankRuehl"/>
                <w:sz w:val="24"/>
                <w:szCs w:val="24"/>
                <w:rtl/>
              </w:rPr>
              <w:instrText xml:space="preserve"> </w:instrText>
            </w:r>
            <w:r>
              <w:rPr>
                <w:rStyle w:val="default"/>
                <w:rFonts w:cs="FrankRuehl"/>
                <w:sz w:val="24"/>
                <w:szCs w:val="24"/>
                <w:rtl/>
              </w:rPr>
              <w:fldChar w:fldCharType="separate"/>
            </w:r>
            <w:r w:rsidR="00392946">
              <w:rPr>
                <w:rStyle w:val="default"/>
                <w:rFonts w:cs="FrankRuehl"/>
                <w:noProof/>
                <w:sz w:val="24"/>
                <w:szCs w:val="24"/>
                <w:rtl/>
              </w:rPr>
              <w:t>2</w:t>
            </w:r>
            <w:r>
              <w:rPr>
                <w:rStyle w:val="default"/>
                <w:rFonts w:cs="FrankRuehl"/>
                <w:sz w:val="24"/>
                <w:szCs w:val="24"/>
                <w:rtl/>
              </w:rPr>
              <w:fldChar w:fldCharType="end"/>
            </w:r>
          </w:p>
        </w:tc>
        <w:tc>
          <w:tcPr>
            <w:tcW w:w="567" w:type="dxa"/>
          </w:tcPr>
          <w:p w:rsidR="00E97A38" w:rsidRDefault="00E97A38">
            <w:pPr>
              <w:rPr>
                <w:rStyle w:val="default"/>
                <w:rFonts w:cs="FrankRuehl" w:hint="cs"/>
                <w:sz w:val="24"/>
                <w:szCs w:val="24"/>
              </w:rPr>
            </w:pPr>
            <w:hyperlink w:anchor="Seif7" w:tooltip="הגדלת שיעור הפטור" w:history="1">
              <w:r>
                <w:rPr>
                  <w:rStyle w:val="Hyperlink"/>
                </w:rPr>
                <w:t>Go</w:t>
              </w:r>
            </w:hyperlink>
          </w:p>
        </w:tc>
        <w:tc>
          <w:tcPr>
            <w:tcW w:w="5669" w:type="dxa"/>
          </w:tcPr>
          <w:p w:rsidR="00E97A38" w:rsidRDefault="00E97A38">
            <w:pPr>
              <w:rPr>
                <w:rStyle w:val="default"/>
                <w:rFonts w:cs="FrankRuehl"/>
                <w:sz w:val="24"/>
                <w:szCs w:val="24"/>
                <w:rtl/>
              </w:rPr>
            </w:pPr>
            <w:r>
              <w:rPr>
                <w:rStyle w:val="default"/>
                <w:rFonts w:cs="FrankRuehl"/>
                <w:sz w:val="24"/>
                <w:szCs w:val="24"/>
                <w:rtl/>
              </w:rPr>
              <w:t>הגדלת שיעור הפטור</w:t>
            </w:r>
          </w:p>
        </w:tc>
        <w:tc>
          <w:tcPr>
            <w:tcW w:w="1247" w:type="dxa"/>
          </w:tcPr>
          <w:p w:rsidR="00E97A38" w:rsidRDefault="00E97A38">
            <w:pPr>
              <w:rPr>
                <w:rStyle w:val="default"/>
                <w:rFonts w:cs="FrankRuehl" w:hint="cs"/>
                <w:sz w:val="24"/>
                <w:szCs w:val="24"/>
              </w:rPr>
            </w:pPr>
            <w:r>
              <w:rPr>
                <w:rStyle w:val="default"/>
                <w:rFonts w:cs="FrankRuehl"/>
                <w:sz w:val="24"/>
                <w:szCs w:val="24"/>
                <w:rtl/>
              </w:rPr>
              <w:t xml:space="preserve">סעיף 8 </w:t>
            </w:r>
          </w:p>
        </w:tc>
      </w:tr>
      <w:tr w:rsidR="00E97A38">
        <w:tblPrEx>
          <w:tblCellMar>
            <w:top w:w="0" w:type="dxa"/>
            <w:bottom w:w="0" w:type="dxa"/>
          </w:tblCellMar>
        </w:tblPrEx>
        <w:trPr>
          <w:jc w:val="right"/>
        </w:trPr>
        <w:tc>
          <w:tcPr>
            <w:tcW w:w="850" w:type="dxa"/>
          </w:tcPr>
          <w:p w:rsidR="00E97A38" w:rsidRDefault="00E97A38">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Seif8</w:instrText>
            </w:r>
            <w:r>
              <w:rPr>
                <w:rStyle w:val="default"/>
                <w:rFonts w:cs="FrankRuehl"/>
                <w:sz w:val="24"/>
                <w:szCs w:val="24"/>
                <w:rtl/>
              </w:rPr>
              <w:instrText xml:space="preserve"> </w:instrText>
            </w:r>
            <w:r>
              <w:rPr>
                <w:rStyle w:val="default"/>
                <w:rFonts w:cs="FrankRuehl"/>
                <w:sz w:val="24"/>
                <w:szCs w:val="24"/>
                <w:rtl/>
              </w:rPr>
              <w:fldChar w:fldCharType="separate"/>
            </w:r>
            <w:r w:rsidR="00392946">
              <w:rPr>
                <w:rStyle w:val="default"/>
                <w:rFonts w:cs="FrankRuehl"/>
                <w:noProof/>
                <w:sz w:val="24"/>
                <w:szCs w:val="24"/>
                <w:rtl/>
              </w:rPr>
              <w:t>3</w:t>
            </w:r>
            <w:r>
              <w:rPr>
                <w:rStyle w:val="default"/>
                <w:rFonts w:cs="FrankRuehl"/>
                <w:sz w:val="24"/>
                <w:szCs w:val="24"/>
                <w:rtl/>
              </w:rPr>
              <w:fldChar w:fldCharType="end"/>
            </w:r>
          </w:p>
        </w:tc>
        <w:tc>
          <w:tcPr>
            <w:tcW w:w="567" w:type="dxa"/>
          </w:tcPr>
          <w:p w:rsidR="00E97A38" w:rsidRDefault="00E97A38">
            <w:pPr>
              <w:rPr>
                <w:rStyle w:val="default"/>
                <w:rFonts w:cs="FrankRuehl" w:hint="cs"/>
                <w:sz w:val="24"/>
                <w:szCs w:val="24"/>
              </w:rPr>
            </w:pPr>
            <w:hyperlink w:anchor="Seif8" w:tooltip="הוראת שעה לשנת 2003" w:history="1">
              <w:r>
                <w:rPr>
                  <w:rStyle w:val="Hyperlink"/>
                </w:rPr>
                <w:t>Go</w:t>
              </w:r>
            </w:hyperlink>
          </w:p>
        </w:tc>
        <w:tc>
          <w:tcPr>
            <w:tcW w:w="5669" w:type="dxa"/>
          </w:tcPr>
          <w:p w:rsidR="00E97A38" w:rsidRDefault="00E97A38">
            <w:pPr>
              <w:rPr>
                <w:rStyle w:val="default"/>
                <w:rFonts w:cs="FrankRuehl"/>
                <w:sz w:val="24"/>
                <w:szCs w:val="24"/>
                <w:rtl/>
              </w:rPr>
            </w:pPr>
            <w:r>
              <w:rPr>
                <w:rStyle w:val="default"/>
                <w:rFonts w:cs="FrankRuehl"/>
                <w:sz w:val="24"/>
                <w:szCs w:val="24"/>
                <w:rtl/>
              </w:rPr>
              <w:t>הוראת שעה לשנת 2003</w:t>
            </w:r>
          </w:p>
        </w:tc>
        <w:tc>
          <w:tcPr>
            <w:tcW w:w="1247" w:type="dxa"/>
          </w:tcPr>
          <w:p w:rsidR="00E97A38" w:rsidRDefault="00E97A38">
            <w:pPr>
              <w:rPr>
                <w:rStyle w:val="default"/>
                <w:rFonts w:cs="FrankRuehl" w:hint="cs"/>
                <w:sz w:val="24"/>
                <w:szCs w:val="24"/>
              </w:rPr>
            </w:pPr>
            <w:r>
              <w:rPr>
                <w:rStyle w:val="default"/>
                <w:rFonts w:cs="FrankRuehl"/>
                <w:sz w:val="24"/>
                <w:szCs w:val="24"/>
                <w:rtl/>
              </w:rPr>
              <w:t xml:space="preserve">סעיף 9 </w:t>
            </w:r>
          </w:p>
        </w:tc>
      </w:tr>
    </w:tbl>
    <w:p w:rsidR="00392946" w:rsidRDefault="00392946" w:rsidP="00392946">
      <w:pPr>
        <w:pStyle w:val="big-header"/>
        <w:ind w:left="0" w:right="1134"/>
        <w:rPr>
          <w:rFonts w:cs="FrankRuehl" w:hint="cs"/>
          <w:sz w:val="32"/>
          <w:rtl/>
        </w:rPr>
      </w:pPr>
    </w:p>
    <w:p w:rsidR="00392946" w:rsidRDefault="00392946" w:rsidP="00A81DD0">
      <w:pPr>
        <w:pStyle w:val="big-header"/>
        <w:ind w:left="0" w:right="1134"/>
        <w:rPr>
          <w:rFonts w:cs="FrankRuehl" w:hint="cs"/>
          <w:sz w:val="32"/>
          <w:rtl/>
        </w:rPr>
      </w:pPr>
      <w:r>
        <w:rPr>
          <w:rFonts w:cs="FrankRuehl"/>
          <w:sz w:val="32"/>
          <w:rtl/>
        </w:rPr>
        <w:br w:type="page"/>
      </w:r>
      <w:r>
        <w:rPr>
          <w:rFonts w:cs="FrankRuehl" w:hint="cs"/>
          <w:sz w:val="32"/>
          <w:rtl/>
        </w:rPr>
        <w:lastRenderedPageBreak/>
        <w:t>תקנות מס הכנסה (מקדמות בשל הכנסת חוץ), תשס"ד-2004</w:t>
      </w:r>
      <w:r>
        <w:rPr>
          <w:rStyle w:val="default"/>
          <w:sz w:val="22"/>
          <w:szCs w:val="22"/>
          <w:rtl/>
        </w:rPr>
        <w:footnoteReference w:customMarkFollows="1" w:id="1"/>
        <w:t>*</w:t>
      </w:r>
    </w:p>
    <w:p w:rsidR="00E97A38" w:rsidRDefault="00E97A38">
      <w:pPr>
        <w:pStyle w:val="P00"/>
        <w:spacing w:before="72"/>
        <w:ind w:left="0" w:right="1134"/>
        <w:rPr>
          <w:rStyle w:val="default"/>
          <w:rFonts w:cs="FrankRuehl" w:hint="cs"/>
          <w:rtl/>
        </w:rPr>
      </w:pPr>
      <w:r>
        <w:rPr>
          <w:rStyle w:val="default"/>
          <w:rFonts w:cs="FrankRuehl" w:hint="cs"/>
          <w:rtl/>
        </w:rPr>
        <w:tab/>
        <w:t xml:space="preserve">בתוקף סמכותי לפי סעיפים 175(ב), 179, 243 ו-245 לפקודת מס הכנסה (להלן </w:t>
      </w:r>
      <w:r>
        <w:rPr>
          <w:rStyle w:val="default"/>
          <w:rFonts w:cs="FrankRuehl"/>
          <w:rtl/>
        </w:rPr>
        <w:t>–</w:t>
      </w:r>
      <w:r>
        <w:rPr>
          <w:rStyle w:val="default"/>
          <w:rFonts w:cs="FrankRuehl" w:hint="cs"/>
          <w:rtl/>
        </w:rPr>
        <w:t xml:space="preserve"> הפקודה), ובאישור ועדת הכספים של הכנסת, אני מתקין תקנות אלה:</w:t>
      </w:r>
    </w:p>
    <w:p w:rsidR="00E97A38" w:rsidRDefault="00E97A38">
      <w:pPr>
        <w:pStyle w:val="P00"/>
        <w:spacing w:before="72"/>
        <w:ind w:left="0" w:right="1134"/>
        <w:rPr>
          <w:rStyle w:val="big-number"/>
          <w:rFonts w:cs="FrankRuehl" w:hint="cs"/>
          <w:sz w:val="26"/>
          <w:szCs w:val="26"/>
          <w:rtl/>
        </w:rPr>
      </w:pPr>
      <w:bookmarkStart w:id="0" w:name="Seif0"/>
      <w:bookmarkEnd w:id="0"/>
      <w:r>
        <w:rPr>
          <w:rFonts w:cs="Miriam"/>
          <w:lang w:val="he-IL"/>
        </w:rPr>
        <w:pict>
          <v:rect id="_x0000_s1026" style="position:absolute;left:0;text-align:left;margin-left:468pt;margin-top:8.05pt;width:70.55pt;height:10pt;z-index:251653632" filled="f" stroked="f" strokecolor="lime" strokeweight=".25pt">
            <v:textbox style="mso-next-textbox:#_x0000_s1026" inset="1mm,0,1mm,0">
              <w:txbxContent>
                <w:p w:rsidR="00E97A38" w:rsidRDefault="00E97A38">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בתקנות אלה </w:t>
      </w:r>
      <w:r>
        <w:rPr>
          <w:rStyle w:val="big-number"/>
          <w:rFonts w:cs="FrankRuehl"/>
          <w:sz w:val="26"/>
          <w:szCs w:val="26"/>
          <w:rtl/>
        </w:rPr>
        <w:t>–</w:t>
      </w:r>
    </w:p>
    <w:p w:rsidR="00E97A38" w:rsidRDefault="00E97A38">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"הכנסת חוץ" </w:t>
      </w:r>
      <w:r>
        <w:rPr>
          <w:rStyle w:val="big-number"/>
          <w:rFonts w:cs="FrankRuehl"/>
          <w:sz w:val="26"/>
          <w:szCs w:val="26"/>
          <w:rtl/>
        </w:rPr>
        <w:t>–</w:t>
      </w:r>
      <w:r>
        <w:rPr>
          <w:rStyle w:val="big-number"/>
          <w:rFonts w:cs="FrankRuehl" w:hint="cs"/>
          <w:sz w:val="26"/>
          <w:szCs w:val="26"/>
          <w:rtl/>
        </w:rPr>
        <w:t xml:space="preserve"> כל אחד מאלה:</w:t>
      </w:r>
    </w:p>
    <w:p w:rsidR="00E97A38" w:rsidRDefault="00E97A38">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הכנסה שהופקדה או שנצמחה מחוץ לישראל, שהיא חלק ממחזור עסקאות לפי סעיף 175(ב) לפקודה, ושהתקיימו בה שני אלה:</w:t>
      </w:r>
    </w:p>
    <w:p w:rsidR="00E97A38" w:rsidRDefault="00E97A38">
      <w:pPr>
        <w:pStyle w:val="P00"/>
        <w:spacing w:before="72"/>
        <w:ind w:left="1474"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לא נוכה ממנה מלוא המס לפי סעיפים 161 או 164 לפקודה;</w:t>
      </w:r>
    </w:p>
    <w:p w:rsidR="00E97A38" w:rsidRDefault="00E97A38">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חלו עליה שיעורי המס לפי אחד מהסעיפים 122א, 124ב, 125ב אם אינה הכנסה לפי סעיף 75ב או 125ג(ב) או (ד), לפי הענין;</w:t>
      </w:r>
    </w:p>
    <w:p w:rsidR="00E97A38" w:rsidRDefault="00E97A38">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רווח הון במכירת נייר ערך זר או במכירת נייר ערך של חברה תושבת ישראל הרשום למסחר בבורסה מחוץ לישראל, שלא נוכה ממנו מלוא המס לפי סעיף 164 לפקודה;</w:t>
      </w:r>
    </w:p>
    <w:p w:rsidR="00E97A38" w:rsidRDefault="00E97A38">
      <w:pPr>
        <w:pStyle w:val="P00"/>
        <w:spacing w:before="72"/>
        <w:ind w:left="0" w:right="1134"/>
        <w:rPr>
          <w:rStyle w:val="big-number"/>
          <w:rFonts w:cs="FrankRuehl" w:hint="cs"/>
          <w:sz w:val="26"/>
          <w:szCs w:val="26"/>
          <w:rtl/>
        </w:rPr>
      </w:pPr>
      <w:r>
        <w:rPr>
          <w:rStyle w:val="big-number"/>
          <w:rFonts w:cs="FrankRuehl" w:hint="cs"/>
          <w:sz w:val="26"/>
          <w:szCs w:val="26"/>
          <w:rtl/>
        </w:rPr>
        <w:tab/>
        <w:t xml:space="preserve">"יחיד" </w:t>
      </w:r>
      <w:r>
        <w:rPr>
          <w:rStyle w:val="big-number"/>
          <w:rFonts w:cs="FrankRuehl"/>
          <w:sz w:val="26"/>
          <w:szCs w:val="26"/>
          <w:rtl/>
        </w:rPr>
        <w:t>–</w:t>
      </w:r>
      <w:r>
        <w:rPr>
          <w:rStyle w:val="big-number"/>
          <w:rFonts w:cs="FrankRuehl" w:hint="cs"/>
          <w:sz w:val="26"/>
          <w:szCs w:val="26"/>
          <w:rtl/>
        </w:rPr>
        <w:t xml:space="preserve"> למעט כל אחד מאלה:</w:t>
      </w:r>
    </w:p>
    <w:p w:rsidR="00E97A38" w:rsidRDefault="00E97A38">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מי שחלות עליו הוראות תקנות מס הכנסה (קביעת מקדמות על פי מחזור), התשמ"ב-1982;</w:t>
      </w:r>
    </w:p>
    <w:p w:rsidR="00E97A38" w:rsidRDefault="00E97A38">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מי שהיה לראשונה לתושב ישראל, או תושב חוזר, כמשמעותם בסעיף 14 לפקודה, ובלבד שכל הכנסות החוץ שלו באותה שנת מס פטורות ממס;</w:t>
      </w:r>
    </w:p>
    <w:p w:rsidR="00E97A38" w:rsidRDefault="00E97A38">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"מסי חוץ" </w:t>
      </w:r>
      <w:r>
        <w:rPr>
          <w:rStyle w:val="big-number"/>
          <w:rFonts w:cs="FrankRuehl"/>
          <w:sz w:val="26"/>
          <w:szCs w:val="26"/>
          <w:rtl/>
        </w:rPr>
        <w:t>–</w:t>
      </w:r>
      <w:r>
        <w:rPr>
          <w:rStyle w:val="big-number"/>
          <w:rFonts w:cs="FrankRuehl" w:hint="cs"/>
          <w:sz w:val="26"/>
          <w:szCs w:val="26"/>
          <w:rtl/>
        </w:rPr>
        <w:t xml:space="preserve"> הגדרתם בסעיף 199 לפקודה;</w:t>
      </w:r>
    </w:p>
    <w:p w:rsidR="00E97A38" w:rsidRDefault="00E97A38">
      <w:pPr>
        <w:pStyle w:val="P00"/>
        <w:spacing w:before="72"/>
        <w:ind w:left="0" w:right="1134"/>
        <w:rPr>
          <w:rStyle w:val="big-number"/>
          <w:rFonts w:cs="FrankRuehl" w:hint="cs"/>
          <w:sz w:val="26"/>
          <w:szCs w:val="26"/>
          <w:rtl/>
        </w:rPr>
      </w:pPr>
      <w:r>
        <w:rPr>
          <w:rStyle w:val="big-number"/>
          <w:rFonts w:cs="FrankRuehl" w:hint="cs"/>
          <w:sz w:val="26"/>
          <w:szCs w:val="26"/>
          <w:rtl/>
        </w:rPr>
        <w:tab/>
        <w:t xml:space="preserve">"שיעור המס החל" </w:t>
      </w:r>
      <w:r>
        <w:rPr>
          <w:rStyle w:val="big-number"/>
          <w:rFonts w:cs="FrankRuehl"/>
          <w:sz w:val="26"/>
          <w:szCs w:val="26"/>
          <w:rtl/>
        </w:rPr>
        <w:t>–</w:t>
      </w:r>
      <w:r>
        <w:rPr>
          <w:rStyle w:val="big-number"/>
          <w:rFonts w:cs="FrankRuehl" w:hint="cs"/>
          <w:sz w:val="26"/>
          <w:szCs w:val="26"/>
          <w:rtl/>
        </w:rPr>
        <w:t xml:space="preserve"> שיעור המס החל על הכנסת חוץ מסוימת, לפי הוראות הפקודה.</w:t>
      </w:r>
    </w:p>
    <w:p w:rsidR="00E97A38" w:rsidRDefault="00E97A38">
      <w:pPr>
        <w:pStyle w:val="P00"/>
        <w:spacing w:before="72"/>
        <w:ind w:left="0" w:right="1134"/>
        <w:rPr>
          <w:rStyle w:val="default"/>
          <w:rFonts w:cs="FrankRuehl" w:hint="cs"/>
          <w:rtl/>
        </w:rPr>
      </w:pPr>
      <w:bookmarkStart w:id="1" w:name="Seif1"/>
      <w:bookmarkEnd w:id="1"/>
      <w:r>
        <w:rPr>
          <w:rFonts w:cs="Miriam"/>
          <w:lang w:val="he-IL"/>
        </w:rPr>
        <w:pict>
          <v:rect id="_x0000_s1152" style="position:absolute;left:0;text-align:left;margin-left:468pt;margin-top:8.05pt;width:70.55pt;height:16.1pt;z-index:251654656" filled="f" stroked="f" strokecolor="lime" strokeweight=".25pt">
            <v:textbox style="mso-next-textbox:#_x0000_s1152" inset="1mm,0,1mm,0">
              <w:txbxContent>
                <w:p w:rsidR="00E97A38" w:rsidRDefault="00E97A38">
                  <w:pPr>
                    <w:spacing w:line="160" w:lineRule="exact"/>
                    <w:rPr>
                      <w:rFonts w:cs="Miriam" w:hint="cs"/>
                      <w:noProof/>
                      <w:sz w:val="18"/>
                      <w:szCs w:val="18"/>
                      <w:rtl/>
                    </w:rPr>
                  </w:pPr>
                  <w:r>
                    <w:rPr>
                      <w:rFonts w:cs="Miriam" w:hint="cs"/>
                      <w:sz w:val="18"/>
                      <w:szCs w:val="18"/>
                      <w:rtl/>
                    </w:rPr>
                    <w:t>מקדמה מיוחדת בשל הכנסת חוץ</w:t>
                  </w:r>
                </w:p>
              </w:txbxContent>
            </v:textbox>
            <w10:anchorlock/>
          </v:rect>
        </w:pict>
      </w:r>
      <w:r>
        <w:rPr>
          <w:rStyle w:val="big-number"/>
          <w:rFonts w:cs="Miriam" w:hint="cs"/>
          <w:rtl/>
        </w:rPr>
        <w:t>2.</w:t>
      </w:r>
      <w:r>
        <w:rPr>
          <w:rStyle w:val="big-number"/>
          <w:rFonts w:cs="FrankRuehl"/>
          <w:sz w:val="26"/>
          <w:szCs w:val="26"/>
          <w:rtl/>
        </w:rPr>
        <w:tab/>
      </w:r>
      <w:r>
        <w:rPr>
          <w:rStyle w:val="default"/>
          <w:rFonts w:cs="FrankRuehl" w:hint="cs"/>
          <w:rtl/>
        </w:rPr>
        <w:t>יחיד שהיו לו הכנסות חוץ שאינן פטורות ממס בישראל, ישלם בשלהן מקדמה שנתית עד יום 30 באפריל בשנת המס שלאחריה.</w:t>
      </w:r>
    </w:p>
    <w:p w:rsidR="00E97A38" w:rsidRDefault="00E97A38">
      <w:pPr>
        <w:pStyle w:val="P00"/>
        <w:spacing w:before="72"/>
        <w:ind w:left="0" w:right="1134"/>
        <w:rPr>
          <w:rStyle w:val="big-number"/>
          <w:rFonts w:cs="FrankRuehl" w:hint="cs"/>
          <w:sz w:val="26"/>
          <w:szCs w:val="26"/>
          <w:rtl/>
        </w:rPr>
      </w:pPr>
      <w:bookmarkStart w:id="2" w:name="Seif2"/>
      <w:bookmarkEnd w:id="2"/>
      <w:r>
        <w:rPr>
          <w:rFonts w:cs="Miriam"/>
          <w:lang w:val="he-IL"/>
        </w:rPr>
        <w:pict>
          <v:rect id="_x0000_s1174" style="position:absolute;left:0;text-align:left;margin-left:468pt;margin-top:8.05pt;width:70.55pt;height:10pt;z-index:251655680" filled="f" stroked="f" strokecolor="lime" strokeweight=".25pt">
            <v:textbox style="mso-next-textbox:#_x0000_s1174" inset="1mm,0,1mm,0">
              <w:txbxContent>
                <w:p w:rsidR="00E97A38" w:rsidRDefault="00E97A38">
                  <w:pPr>
                    <w:spacing w:line="160" w:lineRule="exact"/>
                    <w:rPr>
                      <w:rFonts w:cs="Miriam" w:hint="cs"/>
                      <w:noProof/>
                      <w:sz w:val="18"/>
                      <w:szCs w:val="18"/>
                      <w:rtl/>
                    </w:rPr>
                  </w:pPr>
                  <w:r>
                    <w:rPr>
                      <w:rFonts w:cs="Miriam" w:hint="cs"/>
                      <w:sz w:val="18"/>
                      <w:szCs w:val="18"/>
                      <w:rtl/>
                    </w:rPr>
                    <w:t>חישוב המקדמה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המקדמה תחושב על ידי היחיד על בסיס הכפלת הכנסת החוץ בשיעור המס החל; ואולם בהכנסת חוץ שחלות עליה הוראות סעיף 122א לפקודה, רשאי היחיד לנכות מהכנסת החוץ שעליה חלות הוראות אותו סעיף, את הוצאות הפחת לפי הוראות הפקודה ואת הניכוי בשל פחת לפי הוראות חוק תיאומים בשל אינפלציה, כאמור באותו סעיף ובהכנסת חוץ שחלות עליה הוראות סעיף 124ב לפקודה, רשאי הוא להפחית את ההכנסה הפטורה לפי סעיף 9(28) לפקודה ולנכות את ההוצאה לפי סעיף 17(11) לפקודה.</w:t>
      </w:r>
    </w:p>
    <w:p w:rsidR="00E97A38" w:rsidRDefault="00E97A38">
      <w:pPr>
        <w:pStyle w:val="P00"/>
        <w:spacing w:before="72"/>
        <w:ind w:left="0" w:right="1134"/>
        <w:rPr>
          <w:rStyle w:val="big-number"/>
          <w:rFonts w:cs="FrankRuehl" w:hint="cs"/>
          <w:sz w:val="26"/>
          <w:szCs w:val="26"/>
          <w:rtl/>
        </w:rPr>
      </w:pPr>
      <w:bookmarkStart w:id="3" w:name="Seif3"/>
      <w:bookmarkEnd w:id="3"/>
      <w:r>
        <w:rPr>
          <w:rFonts w:cs="Miriam"/>
          <w:lang w:val="he-IL"/>
        </w:rPr>
        <w:pict>
          <v:rect id="_x0000_s1175" style="position:absolute;left:0;text-align:left;margin-left:468pt;margin-top:8.05pt;width:70.55pt;height:10pt;z-index:251656704" filled="f" stroked="f" strokecolor="lime" strokeweight=".25pt">
            <v:textbox style="mso-next-textbox:#_x0000_s1175" inset="1mm,0,1mm,0">
              <w:txbxContent>
                <w:p w:rsidR="00E97A38" w:rsidRDefault="00E97A38">
                  <w:pPr>
                    <w:spacing w:line="160" w:lineRule="exact"/>
                    <w:rPr>
                      <w:rFonts w:cs="Miriam" w:hint="cs"/>
                      <w:noProof/>
                      <w:sz w:val="18"/>
                      <w:szCs w:val="18"/>
                      <w:rtl/>
                    </w:rPr>
                  </w:pPr>
                  <w:r>
                    <w:rPr>
                      <w:rFonts w:cs="Miriam" w:hint="cs"/>
                      <w:sz w:val="18"/>
                      <w:szCs w:val="18"/>
                      <w:rtl/>
                    </w:rPr>
                    <w:t>זיכוי בשל מס זר</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מסכום המקדמה שחושב על פי תקנה 3, יופחתו מסי החוץ ששילם היחיד בשל אותה הכנסת חוץ, למעט הכנסה שחלות עליה הוראות סעיפים 122א או 124ב לפקודה, אך לא יותר מסכום המקדמה שחושבה כאמור בתקנה 3 בשל המס החל על אותה הכנסה.</w:t>
      </w:r>
    </w:p>
    <w:p w:rsidR="00E97A38" w:rsidRDefault="00E97A38">
      <w:pPr>
        <w:pStyle w:val="P00"/>
        <w:spacing w:before="72"/>
        <w:ind w:left="0" w:right="1134"/>
        <w:rPr>
          <w:rStyle w:val="big-number"/>
          <w:rFonts w:cs="FrankRuehl" w:hint="cs"/>
          <w:sz w:val="26"/>
          <w:szCs w:val="26"/>
          <w:rtl/>
        </w:rPr>
      </w:pPr>
      <w:bookmarkStart w:id="4" w:name="Seif4"/>
      <w:bookmarkEnd w:id="4"/>
      <w:r>
        <w:rPr>
          <w:rFonts w:cs="Miriam"/>
          <w:lang w:val="he-IL"/>
        </w:rPr>
        <w:pict>
          <v:rect id="_x0000_s1176" style="position:absolute;left:0;text-align:left;margin-left:468pt;margin-top:8.05pt;width:70.55pt;height:10pt;z-index:251657728" filled="f" stroked="f" strokecolor="lime" strokeweight=".25pt">
            <v:textbox style="mso-next-textbox:#_x0000_s1176" inset="1mm,0,1mm,0">
              <w:txbxContent>
                <w:p w:rsidR="00E97A38" w:rsidRDefault="00E97A38">
                  <w:pPr>
                    <w:spacing w:line="160" w:lineRule="exact"/>
                    <w:rPr>
                      <w:rFonts w:cs="Miriam" w:hint="cs"/>
                      <w:noProof/>
                      <w:sz w:val="18"/>
                      <w:szCs w:val="18"/>
                      <w:rtl/>
                    </w:rPr>
                  </w:pPr>
                  <w:r>
                    <w:rPr>
                      <w:rFonts w:cs="Miriam" w:hint="cs"/>
                      <w:sz w:val="18"/>
                      <w:szCs w:val="18"/>
                      <w:rtl/>
                    </w:rPr>
                    <w:t>דיווח</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לתשלום המקדמה יצורף דוח שבו תפורט דרך קביעת המקדמה השנתית.</w:t>
      </w:r>
    </w:p>
    <w:p w:rsidR="00E97A38" w:rsidRDefault="00E97A38">
      <w:pPr>
        <w:pStyle w:val="P00"/>
        <w:spacing w:before="72"/>
        <w:ind w:left="0" w:right="1134"/>
        <w:rPr>
          <w:rStyle w:val="big-number"/>
          <w:rFonts w:cs="FrankRuehl" w:hint="cs"/>
          <w:sz w:val="26"/>
          <w:szCs w:val="26"/>
          <w:rtl/>
        </w:rPr>
      </w:pPr>
      <w:bookmarkStart w:id="5" w:name="Seif5"/>
      <w:bookmarkEnd w:id="5"/>
      <w:r>
        <w:rPr>
          <w:rFonts w:cs="Miriam"/>
          <w:lang w:val="he-IL"/>
        </w:rPr>
        <w:pict>
          <v:rect id="_x0000_s1177" style="position:absolute;left:0;text-align:left;margin-left:468pt;margin-top:8.05pt;width:70.55pt;height:21.4pt;z-index:251658752" filled="f" stroked="f" strokecolor="lime" strokeweight=".25pt">
            <v:textbox style="mso-next-textbox:#_x0000_s1177" inset="1mm,0,1mm,0">
              <w:txbxContent>
                <w:p w:rsidR="00E97A38" w:rsidRDefault="00E97A38">
                  <w:pPr>
                    <w:spacing w:line="160" w:lineRule="exact"/>
                    <w:rPr>
                      <w:rFonts w:cs="Miriam" w:hint="cs"/>
                      <w:noProof/>
                      <w:sz w:val="18"/>
                      <w:szCs w:val="18"/>
                      <w:rtl/>
                    </w:rPr>
                  </w:pPr>
                  <w:r>
                    <w:rPr>
                      <w:rFonts w:cs="Miriam" w:hint="cs"/>
                      <w:sz w:val="18"/>
                      <w:szCs w:val="18"/>
                      <w:rtl/>
                    </w:rPr>
                    <w:t>הגבלת זיכוי, ניכוי או קיזוז</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יותר בחישוב המקדמה כל ניכוי, זיכוי או קיזוז, כנגד תשלום המקדמה, למעט האמור בתקנות 3 או 4.</w:t>
      </w:r>
    </w:p>
    <w:p w:rsidR="00E97A38" w:rsidRDefault="00E97A38">
      <w:pPr>
        <w:pStyle w:val="P00"/>
        <w:spacing w:before="72"/>
        <w:ind w:left="0" w:right="1134"/>
        <w:rPr>
          <w:rStyle w:val="big-number"/>
          <w:rFonts w:cs="FrankRuehl" w:hint="cs"/>
          <w:sz w:val="26"/>
          <w:szCs w:val="26"/>
          <w:rtl/>
        </w:rPr>
      </w:pPr>
      <w:bookmarkStart w:id="6" w:name="Seif6"/>
      <w:bookmarkEnd w:id="6"/>
      <w:r>
        <w:rPr>
          <w:rFonts w:cs="Miriam"/>
          <w:lang w:val="he-IL"/>
        </w:rPr>
        <w:pict>
          <v:rect id="_x0000_s1178" style="position:absolute;left:0;text-align:left;margin-left:468pt;margin-top:8.05pt;width:70.55pt;height:10pt;z-index:251659776" filled="f" stroked="f" strokecolor="lime" strokeweight=".25pt">
            <v:textbox style="mso-next-textbox:#_x0000_s1178" inset="1mm,0,1mm,0">
              <w:txbxContent>
                <w:p w:rsidR="00E97A38" w:rsidRDefault="00E97A38">
                  <w:pPr>
                    <w:spacing w:line="160" w:lineRule="exact"/>
                    <w:rPr>
                      <w:rFonts w:cs="Miriam" w:hint="cs"/>
                      <w:noProof/>
                      <w:sz w:val="18"/>
                      <w:szCs w:val="18"/>
                      <w:rtl/>
                    </w:rPr>
                  </w:pPr>
                  <w:r>
                    <w:rPr>
                      <w:rFonts w:cs="Miriam" w:hint="cs"/>
                      <w:sz w:val="18"/>
                      <w:szCs w:val="18"/>
                      <w:rtl/>
                    </w:rPr>
                    <w:t>תחולת הפקודה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על מקדמה כאמור בתקנות אלה, יחולו הוראות הפקודה לענין מקדמות כמשמעותן בפרק שני בחלק י' לפקודה, בשינויים המחויבים.</w:t>
      </w:r>
    </w:p>
    <w:p w:rsidR="00E97A38" w:rsidRDefault="00E97A38">
      <w:pPr>
        <w:pStyle w:val="P00"/>
        <w:spacing w:before="72"/>
        <w:ind w:left="0" w:right="1134"/>
        <w:rPr>
          <w:rStyle w:val="big-number"/>
          <w:rFonts w:cs="FrankRuehl" w:hint="cs"/>
          <w:sz w:val="26"/>
          <w:szCs w:val="26"/>
          <w:rtl/>
        </w:rPr>
      </w:pPr>
      <w:bookmarkStart w:id="7" w:name="Seif7"/>
      <w:bookmarkEnd w:id="7"/>
      <w:r>
        <w:rPr>
          <w:rFonts w:cs="Miriam"/>
          <w:lang w:val="he-IL"/>
        </w:rPr>
        <w:pict>
          <v:rect id="_x0000_s1179" style="position:absolute;left:0;text-align:left;margin-left:468pt;margin-top:8.05pt;width:70.55pt;height:18.55pt;z-index:251660800" filled="f" stroked="f" strokecolor="lime" strokeweight=".25pt">
            <v:textbox style="mso-next-textbox:#_x0000_s1179" inset="1mm,0,1mm,0">
              <w:txbxContent>
                <w:p w:rsidR="00E97A38" w:rsidRDefault="00E97A38">
                  <w:pPr>
                    <w:spacing w:line="160" w:lineRule="exact"/>
                    <w:rPr>
                      <w:rFonts w:cs="Miriam" w:hint="cs"/>
                      <w:noProof/>
                      <w:sz w:val="18"/>
                      <w:szCs w:val="18"/>
                      <w:rtl/>
                    </w:rPr>
                  </w:pPr>
                  <w:r>
                    <w:rPr>
                      <w:rFonts w:cs="Miriam" w:hint="cs"/>
                      <w:sz w:val="18"/>
                      <w:szCs w:val="18"/>
                      <w:rtl/>
                    </w:rPr>
                    <w:t>הגדלת שיעור הפטור</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סכום ששולם כמקדמה על פי תקנות אלה במועד האמור בתקנה 2, יהיה פטור ממלוא הפרשי ההצמדה והריבית.</w:t>
      </w:r>
    </w:p>
    <w:p w:rsidR="00E97A38" w:rsidRDefault="00E97A38">
      <w:pPr>
        <w:pStyle w:val="P00"/>
        <w:spacing w:before="72"/>
        <w:ind w:left="0" w:right="1134"/>
        <w:rPr>
          <w:rStyle w:val="big-number"/>
          <w:rFonts w:cs="FrankRuehl" w:hint="cs"/>
          <w:sz w:val="26"/>
          <w:szCs w:val="26"/>
          <w:rtl/>
        </w:rPr>
      </w:pPr>
      <w:bookmarkStart w:id="8" w:name="Seif8"/>
      <w:bookmarkEnd w:id="8"/>
      <w:r>
        <w:rPr>
          <w:rFonts w:cs="Miriam"/>
          <w:lang w:val="he-IL"/>
        </w:rPr>
        <w:pict>
          <v:rect id="_x0000_s1180" style="position:absolute;left:0;text-align:left;margin-left:468pt;margin-top:8.05pt;width:70.55pt;height:15pt;z-index:251661824" filled="f" stroked="f" strokecolor="lime" strokeweight=".25pt">
            <v:textbox style="mso-next-textbox:#_x0000_s1180" inset="1mm,0,1mm,0">
              <w:txbxContent>
                <w:p w:rsidR="00E97A38" w:rsidRDefault="00E97A38">
                  <w:pPr>
                    <w:spacing w:line="160" w:lineRule="exact"/>
                    <w:rPr>
                      <w:rFonts w:cs="Miriam" w:hint="cs"/>
                      <w:noProof/>
                      <w:sz w:val="18"/>
                      <w:szCs w:val="18"/>
                      <w:rtl/>
                    </w:rPr>
                  </w:pPr>
                  <w:r>
                    <w:rPr>
                      <w:rFonts w:cs="Miriam" w:hint="cs"/>
                      <w:sz w:val="18"/>
                      <w:szCs w:val="18"/>
                      <w:rtl/>
                    </w:rPr>
                    <w:t>הוראת שעה לשנת 2003</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לענין הכנסת חוץ שהופקה או שנצמחה בשנת המס 2003, ישלם יחיד מקדמה כאמור בתקנות אלה לגבי כל הכנסות החוץ שהיו לו בשנת המס 2003, עד יום י"ד באב התשס"ד (31 </w:t>
      </w:r>
      <w:r>
        <w:rPr>
          <w:rStyle w:val="big-number"/>
          <w:rFonts w:cs="FrankRuehl" w:hint="cs"/>
          <w:sz w:val="26"/>
          <w:szCs w:val="26"/>
          <w:rtl/>
        </w:rPr>
        <w:lastRenderedPageBreak/>
        <w:t>באוגוסט 2004).</w:t>
      </w:r>
    </w:p>
    <w:p w:rsidR="00E97A38" w:rsidRDefault="00E97A38">
      <w:pPr>
        <w:pStyle w:val="P00"/>
        <w:spacing w:before="72"/>
        <w:ind w:left="0" w:right="1134"/>
        <w:rPr>
          <w:rStyle w:val="default"/>
          <w:rFonts w:cs="FrankRuehl" w:hint="cs"/>
          <w:rtl/>
        </w:rPr>
      </w:pPr>
    </w:p>
    <w:p w:rsidR="00E97A38" w:rsidRDefault="00E97A38">
      <w:pPr>
        <w:pStyle w:val="P00"/>
        <w:spacing w:before="72"/>
        <w:ind w:left="0" w:right="1134"/>
        <w:rPr>
          <w:rStyle w:val="default"/>
          <w:rFonts w:cs="FrankRuehl" w:hint="cs"/>
          <w:rtl/>
        </w:rPr>
      </w:pPr>
    </w:p>
    <w:p w:rsidR="00E97A38" w:rsidRDefault="00E97A38">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ג' בסיון התשס"ד (23 במאי 2004)</w:t>
      </w:r>
      <w:r>
        <w:rPr>
          <w:rFonts w:cs="FrankRuehl" w:hint="cs"/>
          <w:sz w:val="26"/>
          <w:szCs w:val="26"/>
          <w:rtl/>
        </w:rPr>
        <w:tab/>
        <w:t>בנימין נתניהו</w:t>
      </w:r>
    </w:p>
    <w:p w:rsidR="00E97A38" w:rsidRDefault="00E97A38">
      <w:pPr>
        <w:pStyle w:val="sig-1"/>
        <w:widowControl/>
        <w:tabs>
          <w:tab w:val="clear" w:pos="851"/>
          <w:tab w:val="clear" w:pos="2835"/>
          <w:tab w:val="clear" w:pos="4820"/>
          <w:tab w:val="center" w:pos="4536"/>
        </w:tabs>
        <w:ind w:left="0" w:right="1134"/>
        <w:rPr>
          <w:rFonts w:cs="FrankRuehl" w:hint="cs"/>
          <w:sz w:val="22"/>
          <w:rtl/>
        </w:rPr>
      </w:pPr>
      <w:r>
        <w:rPr>
          <w:rFonts w:cs="FrankRuehl" w:hint="cs"/>
          <w:sz w:val="22"/>
          <w:rtl/>
        </w:rPr>
        <w:tab/>
        <w:t>שר האוצר</w:t>
      </w:r>
    </w:p>
    <w:p w:rsidR="00E97A38" w:rsidRDefault="00E97A38">
      <w:pPr>
        <w:pStyle w:val="sig-1"/>
        <w:widowControl/>
        <w:tabs>
          <w:tab w:val="clear" w:pos="851"/>
          <w:tab w:val="clear" w:pos="2835"/>
          <w:tab w:val="clear" w:pos="4820"/>
          <w:tab w:val="center" w:pos="4536"/>
        </w:tabs>
        <w:ind w:left="0" w:right="1134"/>
        <w:rPr>
          <w:rFonts w:cs="FrankRuehl" w:hint="cs"/>
          <w:sz w:val="26"/>
          <w:szCs w:val="26"/>
          <w:rtl/>
        </w:rPr>
      </w:pPr>
    </w:p>
    <w:sectPr w:rsidR="00E97A38">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46EB" w:rsidRDefault="007B46EB">
      <w:r>
        <w:separator/>
      </w:r>
    </w:p>
  </w:endnote>
  <w:endnote w:type="continuationSeparator" w:id="0">
    <w:p w:rsidR="007B46EB" w:rsidRDefault="007B4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A38" w:rsidRDefault="00E97A3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97A38" w:rsidRDefault="00E97A3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97A38" w:rsidRDefault="00E97A3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92946">
      <w:rPr>
        <w:rFonts w:cs="TopType Jerushalmi"/>
        <w:noProof/>
        <w:color w:val="000000"/>
        <w:sz w:val="14"/>
        <w:szCs w:val="14"/>
      </w:rPr>
      <w:t>C:\Yael\hakika\Revadim\999_299.doc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A38" w:rsidRDefault="00E97A3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81DD0">
      <w:rPr>
        <w:rFonts w:hAnsi="FrankRuehl" w:cs="FrankRuehl"/>
        <w:noProof/>
        <w:sz w:val="24"/>
        <w:szCs w:val="24"/>
        <w:rtl/>
      </w:rPr>
      <w:t>2</w:t>
    </w:r>
    <w:r>
      <w:rPr>
        <w:rFonts w:hAnsi="FrankRuehl" w:cs="FrankRuehl"/>
        <w:sz w:val="24"/>
        <w:szCs w:val="24"/>
        <w:rtl/>
      </w:rPr>
      <w:fldChar w:fldCharType="end"/>
    </w:r>
  </w:p>
  <w:p w:rsidR="00E97A38" w:rsidRDefault="00E97A3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97A38" w:rsidRDefault="00E97A3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92946">
      <w:rPr>
        <w:rFonts w:cs="TopType Jerushalmi"/>
        <w:noProof/>
        <w:color w:val="000000"/>
        <w:sz w:val="14"/>
        <w:szCs w:val="14"/>
      </w:rPr>
      <w:t>C:\Yael\hakika\Revadim\999_299.doc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46EB" w:rsidRDefault="007B46EB" w:rsidP="00392946">
      <w:pPr>
        <w:spacing w:before="60"/>
        <w:ind w:right="1134"/>
      </w:pPr>
      <w:r>
        <w:separator/>
      </w:r>
    </w:p>
  </w:footnote>
  <w:footnote w:type="continuationSeparator" w:id="0">
    <w:p w:rsidR="007B46EB" w:rsidRDefault="007B46EB">
      <w:r>
        <w:continuationSeparator/>
      </w:r>
    </w:p>
  </w:footnote>
  <w:footnote w:id="1">
    <w:p w:rsidR="00392946" w:rsidRDefault="00392946" w:rsidP="003929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6E77A4">
          <w:rPr>
            <w:rStyle w:val="Hyperlink"/>
            <w:rFonts w:cs="FrankRuehl" w:hint="cs"/>
            <w:rtl/>
          </w:rPr>
          <w:t>ק"ת תשס"ד מס' 6317א</w:t>
        </w:r>
      </w:hyperlink>
      <w:r>
        <w:rPr>
          <w:rFonts w:cs="FrankRuehl" w:hint="cs"/>
          <w:rtl/>
        </w:rPr>
        <w:t xml:space="preserve"> מיום 31.5.2004 עמ' 558ו.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A38" w:rsidRDefault="00E97A3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97A38" w:rsidRDefault="00E97A3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97A38" w:rsidRDefault="00E97A3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A38" w:rsidRDefault="00E97A3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 הכנסה (מקדמות בשל הכנסת חוץ), תשס"ד-2004</w:t>
    </w:r>
  </w:p>
  <w:p w:rsidR="00E97A38" w:rsidRDefault="00E97A3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97A38" w:rsidRDefault="00E97A3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613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77A4"/>
    <w:rsid w:val="00257E10"/>
    <w:rsid w:val="00392946"/>
    <w:rsid w:val="004F50AE"/>
    <w:rsid w:val="006E77A4"/>
    <w:rsid w:val="007B46EB"/>
    <w:rsid w:val="00853A4C"/>
    <w:rsid w:val="00A81DD0"/>
    <w:rsid w:val="00BB7914"/>
    <w:rsid w:val="00D555BB"/>
    <w:rsid w:val="00E97A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08F491CC-1F0D-4DDE-8AFD-F1B6E234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basedOn w:val="a0"/>
    <w:rsid w:val="006E77A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17A.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3343</CharactersWithSpaces>
  <SharedDoc>false</SharedDoc>
  <HLinks>
    <vt:vector size="60" baseType="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4390966</vt:i4>
      </vt:variant>
      <vt:variant>
        <vt:i4>0</vt:i4>
      </vt:variant>
      <vt:variant>
        <vt:i4>0</vt:i4>
      </vt:variant>
      <vt:variant>
        <vt:i4>5</vt:i4>
      </vt:variant>
      <vt:variant>
        <vt:lpwstr>http://www.nevo.co.il/Law_word/law06/TAK-6317A.pdf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(מקדמות בשל הכנסת חוץ), תשס"ד-2004</vt:lpwstr>
  </property>
  <property fmtid="{D5CDD505-2E9C-101B-9397-08002B2CF9AE}" pid="4" name="LAWNUMBER">
    <vt:lpwstr>0299</vt:lpwstr>
  </property>
  <property fmtid="{D5CDD505-2E9C-101B-9397-08002B2CF9AE}" pid="5" name="TYPE">
    <vt:lpwstr>01</vt:lpwstr>
  </property>
  <property fmtid="{D5CDD505-2E9C-101B-9397-08002B2CF9AE}" pid="6" name="CHNAME">
    <vt:lpwstr>מס הכנסה</vt:lpwstr>
  </property>
  <property fmtid="{D5CDD505-2E9C-101B-9397-08002B2CF9AE}" pid="7" name="MEKOR_NAME1">
    <vt:lpwstr>פקודת מס הכנסה </vt:lpwstr>
  </property>
  <property fmtid="{D5CDD505-2E9C-101B-9397-08002B2CF9AE}" pid="8" name="MEKOR_SAIF1">
    <vt:lpwstr>175XבX;179X;243X;245X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מקדמות</vt:lpwstr>
  </property>
  <property fmtid="{D5CDD505-2E9C-101B-9397-08002B2CF9AE}" pid="12" name="NOSE41">
    <vt:lpwstr/>
  </property>
  <property fmtid="{D5CDD505-2E9C-101B-9397-08002B2CF9AE}" pid="13" name="NOSE12">
    <vt:lpwstr>מסים</vt:lpwstr>
  </property>
  <property fmtid="{D5CDD505-2E9C-101B-9397-08002B2CF9AE}" pid="14" name="NOSE22">
    <vt:lpwstr>מס הכנסה</vt:lpwstr>
  </property>
  <property fmtid="{D5CDD505-2E9C-101B-9397-08002B2CF9AE}" pid="15" name="NOSE32">
    <vt:lpwstr>הכנסת חוץ</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