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DA2F" w14:textId="77777777" w:rsidR="00A8464A" w:rsidRDefault="00A8464A" w:rsidP="00A8464A">
      <w:pPr>
        <w:pStyle w:val="big-header"/>
        <w:ind w:left="0" w:right="1134"/>
      </w:pPr>
      <w:r>
        <w:rPr>
          <w:rFonts w:hint="cs"/>
          <w:rtl/>
        </w:rPr>
        <w:t>תקנות מס הכנסה (ניכוי הוצאות של עמית בקופת גמל מרכזית לקצבה), תשס"ג-2003</w:t>
      </w:r>
    </w:p>
    <w:p w14:paraId="3F2AFECA" w14:textId="77777777" w:rsidR="00DA6E49" w:rsidRDefault="00DA6E49" w:rsidP="00DA6E49">
      <w:pPr>
        <w:spacing w:line="320" w:lineRule="auto"/>
        <w:jc w:val="left"/>
        <w:rPr>
          <w:rStyle w:val="default"/>
          <w:sz w:val="22"/>
          <w:szCs w:val="22"/>
          <w:rtl/>
        </w:rPr>
      </w:pPr>
    </w:p>
    <w:p w14:paraId="6F7D6151" w14:textId="77777777" w:rsidR="00DA6E49" w:rsidRDefault="00DA6E49" w:rsidP="00DA6E49">
      <w:pPr>
        <w:spacing w:line="320" w:lineRule="auto"/>
        <w:ind w:left="0"/>
        <w:jc w:val="left"/>
        <w:rPr>
          <w:rStyle w:val="default"/>
          <w:rFonts w:cs="FrankRuehl"/>
          <w:sz w:val="22"/>
          <w:rtl/>
        </w:rPr>
      </w:pPr>
      <w:r w:rsidRPr="00DA6E49">
        <w:rPr>
          <w:rStyle w:val="default"/>
          <w:rFonts w:cs="Miriam"/>
          <w:sz w:val="22"/>
          <w:szCs w:val="22"/>
          <w:rtl/>
        </w:rPr>
        <w:t>מסים</w:t>
      </w:r>
      <w:r w:rsidRPr="00DA6E49">
        <w:rPr>
          <w:rStyle w:val="default"/>
          <w:rFonts w:cs="FrankRuehl"/>
          <w:sz w:val="22"/>
          <w:rtl/>
        </w:rPr>
        <w:t xml:space="preserve"> – מס הכנסה – ניכויים – ניכוי הוצאות מסוימות</w:t>
      </w:r>
    </w:p>
    <w:p w14:paraId="380B6619" w14:textId="77777777" w:rsidR="00DA6E49" w:rsidRDefault="00DA6E49" w:rsidP="00DA6E49">
      <w:pPr>
        <w:spacing w:line="320" w:lineRule="auto"/>
        <w:ind w:left="0"/>
        <w:jc w:val="left"/>
        <w:rPr>
          <w:rStyle w:val="default"/>
          <w:rFonts w:cs="FrankRuehl"/>
          <w:sz w:val="22"/>
        </w:rPr>
      </w:pPr>
      <w:r w:rsidRPr="00DA6E49">
        <w:rPr>
          <w:rStyle w:val="default"/>
          <w:rFonts w:cs="Miriam"/>
          <w:sz w:val="22"/>
          <w:szCs w:val="22"/>
          <w:rtl/>
        </w:rPr>
        <w:t>מסים</w:t>
      </w:r>
      <w:r w:rsidRPr="00DA6E49">
        <w:rPr>
          <w:rStyle w:val="default"/>
          <w:rFonts w:cs="FrankRuehl"/>
          <w:sz w:val="22"/>
          <w:rtl/>
        </w:rPr>
        <w:t xml:space="preserve"> – מס הכנסה – קופות גמל</w:t>
      </w:r>
    </w:p>
    <w:p w14:paraId="2858A8B9" w14:textId="77777777" w:rsidR="00DA6E49" w:rsidRPr="00DA6E49" w:rsidRDefault="00DA6E49" w:rsidP="00DA6E49">
      <w:pPr>
        <w:spacing w:line="320" w:lineRule="auto"/>
        <w:jc w:val="left"/>
        <w:rPr>
          <w:rStyle w:val="default"/>
          <w:rFonts w:cs="Miriam"/>
          <w:sz w:val="22"/>
          <w:szCs w:val="22"/>
          <w:rtl/>
        </w:rPr>
      </w:pPr>
    </w:p>
    <w:p w14:paraId="6C4D7A4D" w14:textId="77777777" w:rsidR="00A8464A" w:rsidRDefault="00A8464A" w:rsidP="00A8464A">
      <w:pPr>
        <w:pStyle w:val="big-header"/>
        <w:ind w:left="0" w:right="1134"/>
        <w:rPr>
          <w:rFonts w:hint="cs"/>
          <w:sz w:val="32"/>
          <w:rtl/>
        </w:rPr>
      </w:pPr>
      <w:r w:rsidRPr="00E44C45">
        <w:rPr>
          <w:rFonts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3018C" w:rsidRPr="0073018C" w14:paraId="683BD317" w14:textId="77777777" w:rsidTr="0073018C">
        <w:tblPrEx>
          <w:tblCellMar>
            <w:top w:w="0" w:type="dxa"/>
            <w:bottom w:w="0" w:type="dxa"/>
          </w:tblCellMar>
        </w:tblPrEx>
        <w:tc>
          <w:tcPr>
            <w:tcW w:w="1247" w:type="dxa"/>
          </w:tcPr>
          <w:p w14:paraId="7359C58B" w14:textId="77777777" w:rsidR="0073018C" w:rsidRPr="0073018C" w:rsidRDefault="0073018C" w:rsidP="0073018C">
            <w:pPr>
              <w:spacing w:before="0"/>
              <w:ind w:left="0"/>
              <w:jc w:val="left"/>
              <w:rPr>
                <w:rFonts w:cs="Frankruhel" w:hint="cs"/>
                <w:sz w:val="24"/>
                <w:szCs w:val="24"/>
                <w:rtl/>
              </w:rPr>
            </w:pPr>
            <w:r>
              <w:rPr>
                <w:rFonts w:cs="Times New Roman"/>
                <w:sz w:val="24"/>
                <w:szCs w:val="24"/>
                <w:rtl/>
              </w:rPr>
              <w:t xml:space="preserve">סעיף 1 </w:t>
            </w:r>
          </w:p>
        </w:tc>
        <w:tc>
          <w:tcPr>
            <w:tcW w:w="5669" w:type="dxa"/>
          </w:tcPr>
          <w:p w14:paraId="55FC6326" w14:textId="77777777" w:rsidR="0073018C" w:rsidRPr="0073018C" w:rsidRDefault="0073018C" w:rsidP="0073018C">
            <w:pPr>
              <w:spacing w:before="0"/>
              <w:ind w:left="0"/>
              <w:jc w:val="left"/>
              <w:rPr>
                <w:rFonts w:cs="Frankruhel" w:hint="cs"/>
                <w:sz w:val="24"/>
                <w:szCs w:val="24"/>
                <w:rtl/>
              </w:rPr>
            </w:pPr>
            <w:r>
              <w:rPr>
                <w:rFonts w:cs="Times New Roman"/>
                <w:sz w:val="24"/>
                <w:szCs w:val="24"/>
                <w:rtl/>
              </w:rPr>
              <w:t>פרשנות</w:t>
            </w:r>
          </w:p>
        </w:tc>
        <w:tc>
          <w:tcPr>
            <w:tcW w:w="567" w:type="dxa"/>
          </w:tcPr>
          <w:p w14:paraId="4E749A2C" w14:textId="77777777" w:rsidR="0073018C" w:rsidRPr="0073018C" w:rsidRDefault="0073018C" w:rsidP="0073018C">
            <w:pPr>
              <w:spacing w:before="0"/>
              <w:ind w:left="0"/>
              <w:jc w:val="left"/>
              <w:rPr>
                <w:rStyle w:val="Hyperlink"/>
                <w:rFonts w:hint="cs"/>
                <w:rtl/>
              </w:rPr>
            </w:pPr>
            <w:hyperlink w:anchor="Seif1" w:tooltip="פרשנות" w:history="1">
              <w:r w:rsidRPr="0073018C">
                <w:rPr>
                  <w:rStyle w:val="Hyperlink"/>
                </w:rPr>
                <w:t>Go</w:t>
              </w:r>
            </w:hyperlink>
          </w:p>
        </w:tc>
        <w:tc>
          <w:tcPr>
            <w:tcW w:w="850" w:type="dxa"/>
          </w:tcPr>
          <w:p w14:paraId="6A4B5D01" w14:textId="77777777" w:rsidR="0073018C" w:rsidRPr="0073018C" w:rsidRDefault="0073018C" w:rsidP="0073018C">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Seif1</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73018C" w:rsidRPr="0073018C" w14:paraId="0E89E9CC" w14:textId="77777777" w:rsidTr="0073018C">
        <w:tblPrEx>
          <w:tblCellMar>
            <w:top w:w="0" w:type="dxa"/>
            <w:bottom w:w="0" w:type="dxa"/>
          </w:tblCellMar>
        </w:tblPrEx>
        <w:tc>
          <w:tcPr>
            <w:tcW w:w="1247" w:type="dxa"/>
          </w:tcPr>
          <w:p w14:paraId="5A1E107D" w14:textId="77777777" w:rsidR="0073018C" w:rsidRPr="0073018C" w:rsidRDefault="0073018C" w:rsidP="0073018C">
            <w:pPr>
              <w:spacing w:before="0"/>
              <w:ind w:left="0"/>
              <w:jc w:val="left"/>
              <w:rPr>
                <w:rFonts w:cs="Frankruhel" w:hint="cs"/>
                <w:sz w:val="24"/>
                <w:szCs w:val="24"/>
                <w:rtl/>
              </w:rPr>
            </w:pPr>
            <w:r>
              <w:rPr>
                <w:rFonts w:cs="Times New Roman"/>
                <w:sz w:val="24"/>
                <w:szCs w:val="24"/>
                <w:rtl/>
              </w:rPr>
              <w:t xml:space="preserve">סעיף 2 </w:t>
            </w:r>
          </w:p>
        </w:tc>
        <w:tc>
          <w:tcPr>
            <w:tcW w:w="5669" w:type="dxa"/>
          </w:tcPr>
          <w:p w14:paraId="4E6B8445" w14:textId="77777777" w:rsidR="0073018C" w:rsidRPr="0073018C" w:rsidRDefault="0073018C" w:rsidP="0073018C">
            <w:pPr>
              <w:spacing w:before="0"/>
              <w:ind w:left="0"/>
              <w:jc w:val="left"/>
              <w:rPr>
                <w:rFonts w:cs="Frankruhel" w:hint="cs"/>
                <w:sz w:val="24"/>
                <w:szCs w:val="24"/>
                <w:rtl/>
              </w:rPr>
            </w:pPr>
            <w:r>
              <w:rPr>
                <w:rFonts w:cs="Times New Roman"/>
                <w:sz w:val="24"/>
                <w:szCs w:val="24"/>
                <w:rtl/>
              </w:rPr>
              <w:t>ניכוי הוצאות בשל תשלומי עמית לקופת גמל מרכזית לקצבה</w:t>
            </w:r>
          </w:p>
        </w:tc>
        <w:tc>
          <w:tcPr>
            <w:tcW w:w="567" w:type="dxa"/>
          </w:tcPr>
          <w:p w14:paraId="0DBE2462" w14:textId="77777777" w:rsidR="0073018C" w:rsidRPr="0073018C" w:rsidRDefault="0073018C" w:rsidP="0073018C">
            <w:pPr>
              <w:spacing w:before="0"/>
              <w:ind w:left="0"/>
              <w:jc w:val="left"/>
              <w:rPr>
                <w:rStyle w:val="Hyperlink"/>
                <w:rFonts w:hint="cs"/>
                <w:rtl/>
              </w:rPr>
            </w:pPr>
            <w:hyperlink w:anchor="Seif2" w:tooltip="ניכוי הוצאות בשל תשלומי עמית לקופת גמל מרכזית לקצבה" w:history="1">
              <w:r w:rsidRPr="0073018C">
                <w:rPr>
                  <w:rStyle w:val="Hyperlink"/>
                </w:rPr>
                <w:t>Go</w:t>
              </w:r>
            </w:hyperlink>
          </w:p>
        </w:tc>
        <w:tc>
          <w:tcPr>
            <w:tcW w:w="850" w:type="dxa"/>
          </w:tcPr>
          <w:p w14:paraId="52868ADC" w14:textId="77777777" w:rsidR="0073018C" w:rsidRPr="0073018C" w:rsidRDefault="0073018C" w:rsidP="0073018C">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Seif2</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73018C" w:rsidRPr="0073018C" w14:paraId="3681F1D9" w14:textId="77777777" w:rsidTr="0073018C">
        <w:tblPrEx>
          <w:tblCellMar>
            <w:top w:w="0" w:type="dxa"/>
            <w:bottom w:w="0" w:type="dxa"/>
          </w:tblCellMar>
        </w:tblPrEx>
        <w:tc>
          <w:tcPr>
            <w:tcW w:w="1247" w:type="dxa"/>
          </w:tcPr>
          <w:p w14:paraId="5BDB02B6" w14:textId="77777777" w:rsidR="0073018C" w:rsidRPr="0073018C" w:rsidRDefault="0073018C" w:rsidP="0073018C">
            <w:pPr>
              <w:spacing w:before="0"/>
              <w:ind w:left="0"/>
              <w:jc w:val="left"/>
              <w:rPr>
                <w:rFonts w:cs="Frankruhel" w:hint="cs"/>
                <w:sz w:val="24"/>
                <w:szCs w:val="24"/>
                <w:rtl/>
              </w:rPr>
            </w:pPr>
            <w:r>
              <w:rPr>
                <w:rFonts w:cs="Times New Roman"/>
                <w:sz w:val="24"/>
                <w:szCs w:val="24"/>
                <w:rtl/>
              </w:rPr>
              <w:t xml:space="preserve">סעיף 3 </w:t>
            </w:r>
          </w:p>
        </w:tc>
        <w:tc>
          <w:tcPr>
            <w:tcW w:w="5669" w:type="dxa"/>
          </w:tcPr>
          <w:p w14:paraId="7C03E485" w14:textId="77777777" w:rsidR="0073018C" w:rsidRPr="0073018C" w:rsidRDefault="0073018C" w:rsidP="0073018C">
            <w:pPr>
              <w:spacing w:before="0"/>
              <w:ind w:left="0"/>
              <w:jc w:val="left"/>
              <w:rPr>
                <w:rFonts w:cs="Frankruhel" w:hint="cs"/>
                <w:sz w:val="24"/>
                <w:szCs w:val="24"/>
                <w:rtl/>
              </w:rPr>
            </w:pPr>
            <w:r>
              <w:rPr>
                <w:rFonts w:cs="Times New Roman"/>
                <w:sz w:val="24"/>
                <w:szCs w:val="24"/>
                <w:rtl/>
              </w:rPr>
              <w:t>ניכוי הוצאות בשל האירוע המזכה</w:t>
            </w:r>
          </w:p>
        </w:tc>
        <w:tc>
          <w:tcPr>
            <w:tcW w:w="567" w:type="dxa"/>
          </w:tcPr>
          <w:p w14:paraId="3C62AB71" w14:textId="77777777" w:rsidR="0073018C" w:rsidRPr="0073018C" w:rsidRDefault="0073018C" w:rsidP="0073018C">
            <w:pPr>
              <w:spacing w:before="0"/>
              <w:ind w:left="0"/>
              <w:jc w:val="left"/>
              <w:rPr>
                <w:rStyle w:val="Hyperlink"/>
                <w:rFonts w:hint="cs"/>
                <w:rtl/>
              </w:rPr>
            </w:pPr>
            <w:hyperlink w:anchor="Seif3" w:tooltip="ניכוי הוצאות בשל האירוע המזכה" w:history="1">
              <w:r w:rsidRPr="0073018C">
                <w:rPr>
                  <w:rStyle w:val="Hyperlink"/>
                </w:rPr>
                <w:t>Go</w:t>
              </w:r>
            </w:hyperlink>
          </w:p>
        </w:tc>
        <w:tc>
          <w:tcPr>
            <w:tcW w:w="850" w:type="dxa"/>
          </w:tcPr>
          <w:p w14:paraId="3057E1E6" w14:textId="77777777" w:rsidR="0073018C" w:rsidRPr="0073018C" w:rsidRDefault="0073018C" w:rsidP="0073018C">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Seif3</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73018C" w:rsidRPr="0073018C" w14:paraId="03C9E129" w14:textId="77777777" w:rsidTr="0073018C">
        <w:tblPrEx>
          <w:tblCellMar>
            <w:top w:w="0" w:type="dxa"/>
            <w:bottom w:w="0" w:type="dxa"/>
          </w:tblCellMar>
        </w:tblPrEx>
        <w:tc>
          <w:tcPr>
            <w:tcW w:w="1247" w:type="dxa"/>
          </w:tcPr>
          <w:p w14:paraId="3227DBA3" w14:textId="77777777" w:rsidR="0073018C" w:rsidRPr="0073018C" w:rsidRDefault="0073018C" w:rsidP="0073018C">
            <w:pPr>
              <w:spacing w:before="0"/>
              <w:ind w:left="0"/>
              <w:jc w:val="left"/>
              <w:rPr>
                <w:rFonts w:cs="Frankruhel" w:hint="cs"/>
                <w:sz w:val="24"/>
                <w:szCs w:val="24"/>
                <w:rtl/>
              </w:rPr>
            </w:pPr>
            <w:r>
              <w:rPr>
                <w:rFonts w:cs="Times New Roman"/>
                <w:sz w:val="24"/>
                <w:szCs w:val="24"/>
                <w:rtl/>
              </w:rPr>
              <w:t xml:space="preserve">סעיף 4 </w:t>
            </w:r>
          </w:p>
        </w:tc>
        <w:tc>
          <w:tcPr>
            <w:tcW w:w="5669" w:type="dxa"/>
          </w:tcPr>
          <w:p w14:paraId="3E21D2D5" w14:textId="77777777" w:rsidR="0073018C" w:rsidRPr="0073018C" w:rsidRDefault="0073018C" w:rsidP="0073018C">
            <w:pPr>
              <w:spacing w:before="0"/>
              <w:ind w:left="0"/>
              <w:jc w:val="left"/>
              <w:rPr>
                <w:rFonts w:cs="Frankruhel" w:hint="cs"/>
                <w:sz w:val="24"/>
                <w:szCs w:val="24"/>
                <w:rtl/>
              </w:rPr>
            </w:pPr>
            <w:r>
              <w:rPr>
                <w:rFonts w:cs="Times New Roman"/>
                <w:sz w:val="24"/>
                <w:szCs w:val="24"/>
                <w:rtl/>
              </w:rPr>
              <w:t>ניכוי בשל תשלומים בדיעבד</w:t>
            </w:r>
          </w:p>
        </w:tc>
        <w:tc>
          <w:tcPr>
            <w:tcW w:w="567" w:type="dxa"/>
          </w:tcPr>
          <w:p w14:paraId="32A20E52" w14:textId="77777777" w:rsidR="0073018C" w:rsidRPr="0073018C" w:rsidRDefault="0073018C" w:rsidP="0073018C">
            <w:pPr>
              <w:spacing w:before="0"/>
              <w:ind w:left="0"/>
              <w:jc w:val="left"/>
              <w:rPr>
                <w:rStyle w:val="Hyperlink"/>
                <w:rFonts w:hint="cs"/>
                <w:rtl/>
              </w:rPr>
            </w:pPr>
            <w:hyperlink w:anchor="Seif4" w:tooltip="ניכוי בשל תשלומים בדיעבד" w:history="1">
              <w:r w:rsidRPr="0073018C">
                <w:rPr>
                  <w:rStyle w:val="Hyperlink"/>
                </w:rPr>
                <w:t>Go</w:t>
              </w:r>
            </w:hyperlink>
          </w:p>
        </w:tc>
        <w:tc>
          <w:tcPr>
            <w:tcW w:w="850" w:type="dxa"/>
          </w:tcPr>
          <w:p w14:paraId="0E0C2A92" w14:textId="77777777" w:rsidR="0073018C" w:rsidRPr="0073018C" w:rsidRDefault="0073018C" w:rsidP="0073018C">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Seif4</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73018C" w:rsidRPr="0073018C" w14:paraId="017803F8" w14:textId="77777777" w:rsidTr="0073018C">
        <w:tblPrEx>
          <w:tblCellMar>
            <w:top w:w="0" w:type="dxa"/>
            <w:bottom w:w="0" w:type="dxa"/>
          </w:tblCellMar>
        </w:tblPrEx>
        <w:tc>
          <w:tcPr>
            <w:tcW w:w="1247" w:type="dxa"/>
          </w:tcPr>
          <w:p w14:paraId="72CF8542" w14:textId="77777777" w:rsidR="0073018C" w:rsidRPr="0073018C" w:rsidRDefault="0073018C" w:rsidP="0073018C">
            <w:pPr>
              <w:spacing w:before="0"/>
              <w:ind w:left="0"/>
              <w:jc w:val="left"/>
              <w:rPr>
                <w:rFonts w:cs="Frankruhel" w:hint="cs"/>
                <w:sz w:val="24"/>
                <w:szCs w:val="24"/>
                <w:rtl/>
              </w:rPr>
            </w:pPr>
            <w:r>
              <w:rPr>
                <w:rFonts w:cs="Times New Roman"/>
                <w:sz w:val="24"/>
                <w:szCs w:val="24"/>
                <w:rtl/>
              </w:rPr>
              <w:t xml:space="preserve">סעיף 5 </w:t>
            </w:r>
          </w:p>
        </w:tc>
        <w:tc>
          <w:tcPr>
            <w:tcW w:w="5669" w:type="dxa"/>
          </w:tcPr>
          <w:p w14:paraId="1E382AFE" w14:textId="77777777" w:rsidR="0073018C" w:rsidRPr="0073018C" w:rsidRDefault="0073018C" w:rsidP="0073018C">
            <w:pPr>
              <w:spacing w:before="0"/>
              <w:ind w:left="0"/>
              <w:jc w:val="left"/>
              <w:rPr>
                <w:rFonts w:cs="Frankruhel" w:hint="cs"/>
                <w:sz w:val="24"/>
                <w:szCs w:val="24"/>
                <w:rtl/>
              </w:rPr>
            </w:pPr>
            <w:r>
              <w:rPr>
                <w:rFonts w:cs="Times New Roman"/>
                <w:sz w:val="24"/>
                <w:szCs w:val="24"/>
                <w:rtl/>
              </w:rPr>
              <w:t>הגבלת ניכוי הוצאות בשל קצבה</w:t>
            </w:r>
          </w:p>
        </w:tc>
        <w:tc>
          <w:tcPr>
            <w:tcW w:w="567" w:type="dxa"/>
          </w:tcPr>
          <w:p w14:paraId="6BD6090B" w14:textId="77777777" w:rsidR="0073018C" w:rsidRPr="0073018C" w:rsidRDefault="0073018C" w:rsidP="0073018C">
            <w:pPr>
              <w:spacing w:before="0"/>
              <w:ind w:left="0"/>
              <w:jc w:val="left"/>
              <w:rPr>
                <w:rStyle w:val="Hyperlink"/>
                <w:rFonts w:hint="cs"/>
                <w:rtl/>
              </w:rPr>
            </w:pPr>
            <w:hyperlink w:anchor="Seif5" w:tooltip="הגבלת ניכוי הוצאות בשל קצבה" w:history="1">
              <w:r w:rsidRPr="0073018C">
                <w:rPr>
                  <w:rStyle w:val="Hyperlink"/>
                </w:rPr>
                <w:t>Go</w:t>
              </w:r>
            </w:hyperlink>
          </w:p>
        </w:tc>
        <w:tc>
          <w:tcPr>
            <w:tcW w:w="850" w:type="dxa"/>
          </w:tcPr>
          <w:p w14:paraId="0D25E2BC" w14:textId="77777777" w:rsidR="0073018C" w:rsidRPr="0073018C" w:rsidRDefault="0073018C" w:rsidP="0073018C">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Seif5</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73018C" w:rsidRPr="0073018C" w14:paraId="1A6541CA" w14:textId="77777777" w:rsidTr="0073018C">
        <w:tblPrEx>
          <w:tblCellMar>
            <w:top w:w="0" w:type="dxa"/>
            <w:bottom w:w="0" w:type="dxa"/>
          </w:tblCellMar>
        </w:tblPrEx>
        <w:tc>
          <w:tcPr>
            <w:tcW w:w="1247" w:type="dxa"/>
          </w:tcPr>
          <w:p w14:paraId="743CE103" w14:textId="77777777" w:rsidR="0073018C" w:rsidRPr="0073018C" w:rsidRDefault="0073018C" w:rsidP="0073018C">
            <w:pPr>
              <w:spacing w:before="0"/>
              <w:ind w:left="0"/>
              <w:jc w:val="left"/>
              <w:rPr>
                <w:rFonts w:cs="Frankruhel" w:hint="cs"/>
                <w:sz w:val="24"/>
                <w:szCs w:val="24"/>
                <w:rtl/>
              </w:rPr>
            </w:pPr>
            <w:r>
              <w:rPr>
                <w:rFonts w:cs="Times New Roman"/>
                <w:sz w:val="24"/>
                <w:szCs w:val="24"/>
                <w:rtl/>
              </w:rPr>
              <w:t xml:space="preserve">סעיף 6 </w:t>
            </w:r>
          </w:p>
        </w:tc>
        <w:tc>
          <w:tcPr>
            <w:tcW w:w="5669" w:type="dxa"/>
          </w:tcPr>
          <w:p w14:paraId="5E911877" w14:textId="77777777" w:rsidR="0073018C" w:rsidRPr="0073018C" w:rsidRDefault="0073018C" w:rsidP="0073018C">
            <w:pPr>
              <w:spacing w:before="0"/>
              <w:ind w:left="0"/>
              <w:jc w:val="left"/>
              <w:rPr>
                <w:rFonts w:cs="Frankruhel" w:hint="cs"/>
                <w:sz w:val="24"/>
                <w:szCs w:val="24"/>
                <w:rtl/>
              </w:rPr>
            </w:pPr>
            <w:r>
              <w:rPr>
                <w:rFonts w:cs="Times New Roman"/>
                <w:sz w:val="24"/>
                <w:szCs w:val="24"/>
                <w:rtl/>
              </w:rPr>
              <w:t>דרכי הוכחה</w:t>
            </w:r>
          </w:p>
        </w:tc>
        <w:tc>
          <w:tcPr>
            <w:tcW w:w="567" w:type="dxa"/>
          </w:tcPr>
          <w:p w14:paraId="7F6473A7" w14:textId="77777777" w:rsidR="0073018C" w:rsidRPr="0073018C" w:rsidRDefault="0073018C" w:rsidP="0073018C">
            <w:pPr>
              <w:spacing w:before="0"/>
              <w:ind w:left="0"/>
              <w:jc w:val="left"/>
              <w:rPr>
                <w:rStyle w:val="Hyperlink"/>
                <w:rFonts w:hint="cs"/>
                <w:rtl/>
              </w:rPr>
            </w:pPr>
            <w:hyperlink w:anchor="Seif6" w:tooltip="דרכי הוכחה" w:history="1">
              <w:r w:rsidRPr="0073018C">
                <w:rPr>
                  <w:rStyle w:val="Hyperlink"/>
                </w:rPr>
                <w:t>Go</w:t>
              </w:r>
            </w:hyperlink>
          </w:p>
        </w:tc>
        <w:tc>
          <w:tcPr>
            <w:tcW w:w="850" w:type="dxa"/>
          </w:tcPr>
          <w:p w14:paraId="4BB5D97C" w14:textId="77777777" w:rsidR="0073018C" w:rsidRPr="0073018C" w:rsidRDefault="0073018C" w:rsidP="0073018C">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Seif6</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73018C" w:rsidRPr="0073018C" w14:paraId="071130C8" w14:textId="77777777" w:rsidTr="0073018C">
        <w:tblPrEx>
          <w:tblCellMar>
            <w:top w:w="0" w:type="dxa"/>
            <w:bottom w:w="0" w:type="dxa"/>
          </w:tblCellMar>
        </w:tblPrEx>
        <w:tc>
          <w:tcPr>
            <w:tcW w:w="1247" w:type="dxa"/>
          </w:tcPr>
          <w:p w14:paraId="3999B0C2" w14:textId="77777777" w:rsidR="0073018C" w:rsidRPr="0073018C" w:rsidRDefault="0073018C" w:rsidP="0073018C">
            <w:pPr>
              <w:spacing w:before="0"/>
              <w:ind w:left="0"/>
              <w:jc w:val="left"/>
              <w:rPr>
                <w:rFonts w:cs="Frankruhel" w:hint="cs"/>
                <w:sz w:val="24"/>
                <w:szCs w:val="24"/>
                <w:rtl/>
              </w:rPr>
            </w:pPr>
            <w:r>
              <w:rPr>
                <w:rFonts w:cs="Times New Roman"/>
                <w:sz w:val="24"/>
                <w:szCs w:val="24"/>
                <w:rtl/>
              </w:rPr>
              <w:t xml:space="preserve">סעיף 7 </w:t>
            </w:r>
          </w:p>
        </w:tc>
        <w:tc>
          <w:tcPr>
            <w:tcW w:w="5669" w:type="dxa"/>
          </w:tcPr>
          <w:p w14:paraId="581EDC2A" w14:textId="77777777" w:rsidR="0073018C" w:rsidRPr="0073018C" w:rsidRDefault="0073018C" w:rsidP="0073018C">
            <w:pPr>
              <w:spacing w:before="0"/>
              <w:ind w:left="0"/>
              <w:jc w:val="left"/>
              <w:rPr>
                <w:rFonts w:cs="Frankruhel" w:hint="cs"/>
                <w:sz w:val="24"/>
                <w:szCs w:val="24"/>
                <w:rtl/>
              </w:rPr>
            </w:pPr>
            <w:r>
              <w:rPr>
                <w:rFonts w:cs="Times New Roman"/>
                <w:sz w:val="24"/>
                <w:szCs w:val="24"/>
                <w:rtl/>
              </w:rPr>
              <w:t>תחילה</w:t>
            </w:r>
          </w:p>
        </w:tc>
        <w:tc>
          <w:tcPr>
            <w:tcW w:w="567" w:type="dxa"/>
          </w:tcPr>
          <w:p w14:paraId="32F1215B" w14:textId="77777777" w:rsidR="0073018C" w:rsidRPr="0073018C" w:rsidRDefault="0073018C" w:rsidP="0073018C">
            <w:pPr>
              <w:spacing w:before="0"/>
              <w:ind w:left="0"/>
              <w:jc w:val="left"/>
              <w:rPr>
                <w:rStyle w:val="Hyperlink"/>
                <w:rFonts w:hint="cs"/>
                <w:rtl/>
              </w:rPr>
            </w:pPr>
            <w:hyperlink w:anchor="Seif7" w:tooltip="תחילה" w:history="1">
              <w:r w:rsidRPr="0073018C">
                <w:rPr>
                  <w:rStyle w:val="Hyperlink"/>
                </w:rPr>
                <w:t>Go</w:t>
              </w:r>
            </w:hyperlink>
          </w:p>
        </w:tc>
        <w:tc>
          <w:tcPr>
            <w:tcW w:w="850" w:type="dxa"/>
          </w:tcPr>
          <w:p w14:paraId="679981B0" w14:textId="77777777" w:rsidR="0073018C" w:rsidRPr="0073018C" w:rsidRDefault="0073018C" w:rsidP="0073018C">
            <w:pPr>
              <w:spacing w:before="0"/>
              <w:ind w:left="0"/>
              <w:jc w:val="left"/>
              <w:rPr>
                <w:rFonts w:cs="Frankruhel" w:hint="cs"/>
                <w:sz w:val="24"/>
                <w:szCs w:val="24"/>
                <w:rtl/>
              </w:rPr>
            </w:pPr>
            <w:r>
              <w:rPr>
                <w:rFonts w:cs="Frankruhel"/>
                <w:sz w:val="24"/>
                <w:szCs w:val="24"/>
                <w:rtl/>
              </w:rPr>
              <w:fldChar w:fldCharType="begin"/>
            </w:r>
            <w:r>
              <w:rPr>
                <w:rFonts w:cs="Times New Roman"/>
                <w:sz w:val="24"/>
                <w:szCs w:val="24"/>
                <w:rtl/>
              </w:rPr>
              <w:instrText xml:space="preserve"> </w:instrText>
            </w:r>
            <w:r>
              <w:rPr>
                <w:rFonts w:cs="Frankruhel" w:hint="cs"/>
                <w:sz w:val="24"/>
                <w:szCs w:val="24"/>
              </w:rPr>
              <w:instrText>PAGEREF</w:instrText>
            </w:r>
            <w:r>
              <w:rPr>
                <w:rFonts w:cs="Times New Roman" w:hint="cs"/>
                <w:sz w:val="24"/>
                <w:szCs w:val="24"/>
                <w:rtl/>
              </w:rPr>
              <w:instrText xml:space="preserve"> </w:instrText>
            </w:r>
            <w:r>
              <w:rPr>
                <w:rFonts w:cs="Frankruhel" w:hint="cs"/>
                <w:sz w:val="24"/>
                <w:szCs w:val="24"/>
              </w:rPr>
              <w:instrText>Seif7</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3</w:t>
            </w:r>
            <w:r>
              <w:rPr>
                <w:rFonts w:cs="Frankruhel"/>
                <w:sz w:val="24"/>
                <w:szCs w:val="24"/>
                <w:rtl/>
              </w:rPr>
              <w:fldChar w:fldCharType="end"/>
            </w:r>
          </w:p>
        </w:tc>
      </w:tr>
    </w:tbl>
    <w:p w14:paraId="39891517" w14:textId="77777777" w:rsidR="00A8464A" w:rsidRDefault="00A8464A" w:rsidP="00A8464A">
      <w:pPr>
        <w:pStyle w:val="big-header"/>
        <w:ind w:left="0" w:right="1134"/>
        <w:rPr>
          <w:rFonts w:hint="cs"/>
          <w:sz w:val="32"/>
          <w:rtl/>
        </w:rPr>
      </w:pPr>
    </w:p>
    <w:p w14:paraId="5AFAE22E" w14:textId="77777777" w:rsidR="004F22C9" w:rsidRDefault="00A8464A" w:rsidP="00DA6E49">
      <w:pPr>
        <w:pStyle w:val="big-header"/>
        <w:ind w:left="0" w:right="1134"/>
        <w:rPr>
          <w:rStyle w:val="default"/>
          <w:rFonts w:cs="FrankRuehl" w:hint="cs"/>
          <w:rtl/>
        </w:rPr>
      </w:pPr>
      <w:r>
        <w:rPr>
          <w:sz w:val="32"/>
          <w:rtl/>
        </w:rPr>
        <w:br w:type="page"/>
      </w:r>
      <w:r w:rsidR="004F22C9">
        <w:rPr>
          <w:rFonts w:hint="cs"/>
          <w:rtl/>
        </w:rPr>
        <w:lastRenderedPageBreak/>
        <w:t>תקנות מס הכנסה (ניכוי הוצאות של עמית בקופת גמל מרכזית לקצבה), תשס"ג-2003</w:t>
      </w:r>
      <w:r w:rsidR="004F22C9">
        <w:rPr>
          <w:rStyle w:val="default"/>
          <w:sz w:val="22"/>
          <w:szCs w:val="22"/>
          <w:rtl/>
        </w:rPr>
        <w:footnoteReference w:customMarkFollows="1" w:id="1"/>
        <w:t>*</w:t>
      </w:r>
    </w:p>
    <w:p w14:paraId="65C3DBD8" w14:textId="77777777" w:rsidR="004F22C9" w:rsidRDefault="004F22C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31 ו-243 לפקודת מס הכנסה, ובאישור ועדת הכספים של הכנסת, אני מתקין תקנות אלה:</w:t>
      </w:r>
    </w:p>
    <w:p w14:paraId="25D5E535" w14:textId="77777777" w:rsidR="004F22C9" w:rsidRDefault="004F22C9">
      <w:pPr>
        <w:pStyle w:val="P00"/>
        <w:spacing w:before="72"/>
        <w:ind w:left="0" w:right="1134"/>
        <w:rPr>
          <w:rStyle w:val="default"/>
          <w:rFonts w:cs="FrankRuehl" w:hint="cs"/>
          <w:rtl/>
        </w:rPr>
      </w:pPr>
      <w:bookmarkStart w:id="0" w:name="Seif1"/>
      <w:bookmarkEnd w:id="0"/>
      <w:r>
        <w:rPr>
          <w:rFonts w:cs="Miriam"/>
          <w:lang w:val="he-IL"/>
        </w:rPr>
        <w:pict w14:anchorId="5D3AE66F">
          <v:rect id="_x0000_s1164" style="position:absolute;left:0;text-align:left;margin-left:464.5pt;margin-top:8.05pt;width:75.05pt;height:8.6pt;z-index:251654656" o:allowincell="f" filled="f" stroked="f" strokecolor="lime" strokeweight=".25pt">
            <v:textbox inset="0,0,0,0">
              <w:txbxContent>
                <w:p w14:paraId="4ACDE612" w14:textId="77777777" w:rsidR="004F22C9" w:rsidRDefault="004F22C9">
                  <w:pPr>
                    <w:widowControl/>
                    <w:spacing w:before="0" w:line="160" w:lineRule="exact"/>
                    <w:ind w:left="0"/>
                    <w:jc w:val="left"/>
                    <w:rPr>
                      <w:rFonts w:cs="Miriam" w:hint="cs"/>
                      <w:noProof/>
                      <w:szCs w:val="18"/>
                      <w:rtl/>
                    </w:rPr>
                  </w:pPr>
                  <w:r>
                    <w:rPr>
                      <w:rFonts w:cs="Miriam" w:hint="cs"/>
                      <w:szCs w:val="18"/>
                      <w:rtl/>
                    </w:rPr>
                    <w:t>פרשנות</w:t>
                  </w:r>
                </w:p>
              </w:txbxContent>
            </v:textbox>
            <w10:anchorlock/>
          </v:rect>
        </w:pict>
      </w:r>
      <w:r>
        <w:rPr>
          <w:rStyle w:val="big-number"/>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19C6DFC6" w14:textId="77777777" w:rsidR="004F22C9" w:rsidRDefault="004F22C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"אירוע מזכה", "יום המעבר", "מחויבות אקטוארית", "עובד זכאי", "עמית", "קופת גמל מרכזית לקצבה", "רכיבי שכר מזכים" ו"שאיר זכאי" </w:t>
      </w:r>
      <w:r>
        <w:rPr>
          <w:rStyle w:val="default"/>
          <w:rFonts w:cs="FrankRuehl"/>
          <w:rtl/>
        </w:rPr>
        <w:t>–</w:t>
      </w:r>
      <w:r>
        <w:rPr>
          <w:rStyle w:val="default"/>
          <w:rFonts w:cs="FrankRuehl" w:hint="cs"/>
          <w:rtl/>
        </w:rPr>
        <w:t xml:space="preserve"> כהגדרתם בתקנה 49ה לתקנות מס הכנסה (כללים לאישור ולניהול קופת גמל), התשכ"ד-1964 (להלן </w:t>
      </w:r>
      <w:r>
        <w:rPr>
          <w:rStyle w:val="default"/>
          <w:rFonts w:cs="FrankRuehl"/>
          <w:rtl/>
        </w:rPr>
        <w:t>–</w:t>
      </w:r>
      <w:r>
        <w:rPr>
          <w:rStyle w:val="default"/>
          <w:rFonts w:cs="FrankRuehl" w:hint="cs"/>
          <w:rtl/>
        </w:rPr>
        <w:t xml:space="preserve"> תקנות קופות גמל);</w:t>
      </w:r>
    </w:p>
    <w:p w14:paraId="7D836746" w14:textId="77777777" w:rsidR="004F22C9" w:rsidRDefault="004F22C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מונחים אחרים יתפרשו כמשמעותם בתקנות קופות גמל.</w:t>
      </w:r>
    </w:p>
    <w:p w14:paraId="351DD90C" w14:textId="77777777" w:rsidR="004F22C9" w:rsidRDefault="004F22C9">
      <w:pPr>
        <w:pStyle w:val="P00"/>
        <w:spacing w:before="72"/>
        <w:ind w:left="0" w:right="1134"/>
        <w:rPr>
          <w:rStyle w:val="default"/>
          <w:rFonts w:cs="FrankRuehl" w:hint="cs"/>
          <w:rtl/>
        </w:rPr>
      </w:pPr>
      <w:bookmarkStart w:id="1" w:name="Seif2"/>
      <w:bookmarkEnd w:id="1"/>
      <w:r>
        <w:rPr>
          <w:rFonts w:cs="Miriam"/>
          <w:lang w:val="he-IL"/>
        </w:rPr>
        <w:pict w14:anchorId="37A7280F">
          <v:rect id="_x0000_s1165" style="position:absolute;left:0;text-align:left;margin-left:464.5pt;margin-top:8.05pt;width:75.05pt;height:23.5pt;z-index:251655680" o:allowincell="f" filled="f" stroked="f" strokecolor="lime" strokeweight=".25pt">
            <v:textbox inset="0,0,0,0">
              <w:txbxContent>
                <w:p w14:paraId="153AACD0" w14:textId="77777777" w:rsidR="004F22C9" w:rsidRDefault="004F22C9">
                  <w:pPr>
                    <w:widowControl/>
                    <w:spacing w:before="0" w:line="160" w:lineRule="exact"/>
                    <w:ind w:left="0"/>
                    <w:jc w:val="left"/>
                    <w:rPr>
                      <w:rFonts w:cs="Miriam" w:hint="cs"/>
                      <w:noProof/>
                      <w:szCs w:val="18"/>
                      <w:rtl/>
                    </w:rPr>
                  </w:pPr>
                  <w:r>
                    <w:rPr>
                      <w:rFonts w:cs="Miriam" w:hint="cs"/>
                      <w:szCs w:val="18"/>
                      <w:rtl/>
                    </w:rPr>
                    <w:t>ניכוי הוצאות בשל תשלומי עמית לקופת גמל מרכזית לקצבה</w:t>
                  </w:r>
                </w:p>
              </w:txbxContent>
            </v:textbox>
            <w10:anchorlock/>
          </v:rect>
        </w:pict>
      </w:r>
      <w:r>
        <w:rPr>
          <w:rStyle w:val="big-number"/>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מסכומים ששילם עמית בשנת המס לקופת גמל מרכזית לקצבה, בהתאם לתנאים ולשיעורים שנקבעו בתקנות קופות גמל, יותרו בניכוי סכומים בשיעור של %</w:t>
      </w:r>
      <w:r>
        <w:rPr>
          <w:rStyle w:val="default"/>
        </w:rPr>
        <w:t>⅓</w:t>
      </w:r>
      <w:r>
        <w:rPr>
          <w:rStyle w:val="default"/>
          <w:rFonts w:cs="FrankRuehl" w:hint="cs"/>
          <w:rtl/>
        </w:rPr>
        <w:t xml:space="preserve">8 מסך כל רכיבי השכר המזכים של עובדיו הזכאים של העמית באותה שנה (להלן </w:t>
      </w:r>
      <w:r>
        <w:rPr>
          <w:rStyle w:val="default"/>
          <w:rFonts w:cs="FrankRuehl"/>
          <w:rtl/>
        </w:rPr>
        <w:t>–</w:t>
      </w:r>
      <w:r>
        <w:rPr>
          <w:rStyle w:val="default"/>
          <w:rFonts w:cs="FrankRuehl" w:hint="cs"/>
          <w:rtl/>
        </w:rPr>
        <w:t xml:space="preserve"> תקרת הניכוי השנתית), ובלבד שסך כל הסכומים ששילם העמית לקופת גמל מרכזית לקצבה בשל אותה שנת מס לא פחת מתקרת הניכוי השנתית.</w:t>
      </w:r>
    </w:p>
    <w:p w14:paraId="551C7B7F" w14:textId="77777777" w:rsidR="004F22C9" w:rsidRDefault="004F22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אם פחתו הסכומים ששילם עמית לקופת גמל מרכזית לקצבה בשל אותה שנת מס מתקרת הניכוי השנתית, ובסוף שנת מס היה עודף אקטוארי בקופה, יותרו בניכוי סכומים בגובה הסכומים ששולמו לקופת הגמל המרכזית לקצבה; לענין זה, "עודף אקטוארי" </w:t>
      </w:r>
      <w:r>
        <w:rPr>
          <w:rStyle w:val="default"/>
          <w:rFonts w:cs="FrankRuehl"/>
          <w:rtl/>
        </w:rPr>
        <w:t>–</w:t>
      </w:r>
      <w:r>
        <w:rPr>
          <w:rStyle w:val="default"/>
          <w:rFonts w:cs="FrankRuehl" w:hint="cs"/>
          <w:rtl/>
        </w:rPr>
        <w:t xml:space="preserve"> עודף הסכום הצבור בקופת גמל מרכזית לקצבה, מעבר למחויבות האקטוארית של העמית לתום אותה שנה בתוספת של 5%.</w:t>
      </w:r>
    </w:p>
    <w:p w14:paraId="40BAA4AF" w14:textId="77777777" w:rsidR="004F22C9" w:rsidRDefault="004F22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במועד ההצטרפות של העמית לקופת גמל מרכזית לקצבה, יותרו בניכוי סכומים ששולמו לקופה בשל עובדים אשר נכון ליום המעבר טרם התרחש לגביהם אירוע מזכה, עד גובה תקרת הניכוי השנתית בשל שנים קודמות, בניכוי סכומים שהותרו כהוצאה בעבר בשל תשלומי העמית, לפני יום ההצטרפות, לקופת גמל לפיצויים, לקופת גמל מרכזית לפיצויים או לקופת גמל לתגמולים או לקצבה (להלן </w:t>
      </w:r>
      <w:r>
        <w:rPr>
          <w:rStyle w:val="default"/>
          <w:rFonts w:cs="FrankRuehl"/>
          <w:rtl/>
        </w:rPr>
        <w:t>–</w:t>
      </w:r>
      <w:r>
        <w:rPr>
          <w:rStyle w:val="default"/>
          <w:rFonts w:cs="FrankRuehl" w:hint="cs"/>
          <w:rtl/>
        </w:rPr>
        <w:t xml:space="preserve"> קופת גמל אחרת), בשל מי מעובדיו הזכאים בעד רכיבי השכר המזכים, כולם או חלקם, לרבות ריבית, הפרשי הצמדה ורווחים אחרים עליהם.</w:t>
      </w:r>
    </w:p>
    <w:p w14:paraId="534C967B" w14:textId="77777777" w:rsidR="004F22C9" w:rsidRDefault="004F22C9">
      <w:pPr>
        <w:pStyle w:val="P00"/>
        <w:spacing w:before="72"/>
        <w:ind w:left="0" w:right="1134"/>
        <w:rPr>
          <w:rStyle w:val="default"/>
          <w:rFonts w:cs="FrankRuehl" w:hint="cs"/>
          <w:rtl/>
        </w:rPr>
      </w:pPr>
      <w:bookmarkStart w:id="2" w:name="Seif3"/>
      <w:bookmarkEnd w:id="2"/>
      <w:r>
        <w:rPr>
          <w:rFonts w:cs="Miriam"/>
          <w:lang w:val="he-IL"/>
        </w:rPr>
        <w:pict w14:anchorId="22B8AB55">
          <v:rect id="_x0000_s1171" style="position:absolute;left:0;text-align:left;margin-left:464.5pt;margin-top:8.05pt;width:75.05pt;height:20pt;z-index:251656704" o:allowincell="f" filled="f" stroked="f" strokecolor="lime" strokeweight=".25pt">
            <v:textbox inset="0,0,0,0">
              <w:txbxContent>
                <w:p w14:paraId="08652280" w14:textId="77777777" w:rsidR="004F22C9" w:rsidRDefault="004F22C9">
                  <w:pPr>
                    <w:widowControl/>
                    <w:spacing w:before="0" w:line="160" w:lineRule="exact"/>
                    <w:ind w:left="0"/>
                    <w:jc w:val="left"/>
                    <w:rPr>
                      <w:rFonts w:cs="Miriam" w:hint="cs"/>
                      <w:noProof/>
                      <w:szCs w:val="18"/>
                      <w:rtl/>
                    </w:rPr>
                  </w:pPr>
                  <w:r>
                    <w:rPr>
                      <w:rFonts w:cs="Miriam" w:hint="cs"/>
                      <w:szCs w:val="18"/>
                      <w:rtl/>
                    </w:rPr>
                    <w:t>ניכוי הוצאות בשל האירוע המזכה</w:t>
                  </w:r>
                </w:p>
              </w:txbxContent>
            </v:textbox>
            <w10:anchorlock/>
          </v:rect>
        </w:pict>
      </w:r>
      <w:r>
        <w:rPr>
          <w:rStyle w:val="big-number"/>
          <w:rtl/>
        </w:rPr>
        <w:t>3</w:t>
      </w:r>
      <w:r>
        <w:rPr>
          <w:rStyle w:val="big-number"/>
          <w:rFonts w:cs="FrankRuehl"/>
          <w:sz w:val="26"/>
          <w:szCs w:val="26"/>
          <w:rtl/>
        </w:rPr>
        <w:t>.</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hint="cs"/>
          <w:rtl/>
        </w:rPr>
        <w:t>)</w:t>
      </w:r>
      <w:r>
        <w:rPr>
          <w:rStyle w:val="default"/>
          <w:rFonts w:cs="FrankRuehl"/>
          <w:rtl/>
        </w:rPr>
        <w:tab/>
      </w:r>
      <w:r>
        <w:rPr>
          <w:rStyle w:val="default"/>
          <w:rFonts w:cs="FrankRuehl" w:hint="cs"/>
          <w:rtl/>
        </w:rPr>
        <w:t>בשנת המס שבה אירע אירוע מזכה לעובד זכאי, המאוחר ליום המעבר, יותרו בניכוי הסכומים ששילם עמית לקופת הגמל המרכזית לקצבה בשל אותו עובד, העולים על הסכומים שהותרו בניכוי כאמור בתקנה 2, ובלבד שלא יותרו בניכוי סכומים בגובה הסכומים ששילם בעד רכיבי השכר המזכים לפני יום ההצטרפות לקופת גמל אחרת, לרבות איבית, הפרשי הצמדה ורווחים אחרים עליהם.</w:t>
      </w:r>
    </w:p>
    <w:p w14:paraId="3C35BC68" w14:textId="77777777" w:rsidR="004F22C9" w:rsidRDefault="004F22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בשנת מס המאוחרת ליום מזכה לגבי עובד, יותרו בניכוי הסכומים ששולמו להשלמת היעודה לאותו עובד בשל היווצרות פער בין המחויבות האקטוארית לעובד לבין היעודה לאותו עובד, אם סכומים אלו שולמו בתוך שנה מהיום שבו נתגלה הפער האמור; לענין זה, "היעודה לעובד" </w:t>
      </w:r>
      <w:r>
        <w:rPr>
          <w:rStyle w:val="default"/>
          <w:rFonts w:cs="FrankRuehl"/>
          <w:rtl/>
        </w:rPr>
        <w:t>–</w:t>
      </w:r>
      <w:r>
        <w:rPr>
          <w:rStyle w:val="default"/>
          <w:rFonts w:cs="FrankRuehl" w:hint="cs"/>
          <w:rtl/>
        </w:rPr>
        <w:t xml:space="preserve"> כמשמעותה בתקנה 49ח(ג) לתקנות קופות הגמל.</w:t>
      </w:r>
    </w:p>
    <w:p w14:paraId="7489C5CF" w14:textId="77777777" w:rsidR="004F22C9" w:rsidRDefault="004F22C9">
      <w:pPr>
        <w:pStyle w:val="P00"/>
        <w:spacing w:before="72"/>
        <w:ind w:left="0" w:right="1134"/>
        <w:rPr>
          <w:rStyle w:val="default"/>
          <w:rFonts w:cs="FrankRuehl" w:hint="cs"/>
          <w:rtl/>
        </w:rPr>
      </w:pPr>
      <w:bookmarkStart w:id="3" w:name="Seif4"/>
      <w:bookmarkEnd w:id="3"/>
      <w:r>
        <w:rPr>
          <w:rFonts w:cs="Miriam"/>
          <w:lang w:val="he-IL"/>
        </w:rPr>
        <w:pict w14:anchorId="2191943A">
          <v:rect id="_x0000_s1173" style="position:absolute;left:0;text-align:left;margin-left:470.7pt;margin-top:8.05pt;width:68.85pt;height:21.85pt;z-index:251657728" o:allowincell="f" filled="f" stroked="f" strokecolor="lime" strokeweight=".25pt">
            <v:textbox inset="0,0,0,0">
              <w:txbxContent>
                <w:p w14:paraId="1A968B17" w14:textId="77777777" w:rsidR="004F22C9" w:rsidRDefault="004F22C9">
                  <w:pPr>
                    <w:widowControl/>
                    <w:spacing w:before="0" w:line="160" w:lineRule="exact"/>
                    <w:ind w:left="0"/>
                    <w:jc w:val="left"/>
                    <w:rPr>
                      <w:rFonts w:cs="Miriam" w:hint="cs"/>
                      <w:noProof/>
                      <w:szCs w:val="18"/>
                      <w:rtl/>
                    </w:rPr>
                  </w:pPr>
                  <w:r>
                    <w:rPr>
                      <w:rFonts w:cs="Miriam" w:hint="cs"/>
                      <w:szCs w:val="18"/>
                      <w:rtl/>
                    </w:rPr>
                    <w:t>ניכוי בשל תשלומים בדיעבד</w:t>
                  </w:r>
                </w:p>
              </w:txbxContent>
            </v:textbox>
            <w10:anchorlock/>
          </v:rect>
        </w:pict>
      </w:r>
      <w:r>
        <w:rPr>
          <w:rStyle w:val="big-number"/>
          <w:rtl/>
        </w:rPr>
        <w:t>4</w:t>
      </w:r>
      <w:r>
        <w:rPr>
          <w:rStyle w:val="big-number"/>
          <w:rFonts w:cs="FrankRuehl"/>
          <w:sz w:val="26"/>
          <w:szCs w:val="26"/>
          <w:rtl/>
        </w:rPr>
        <w:t>.</w:t>
      </w:r>
      <w:r>
        <w:rPr>
          <w:rStyle w:val="big-number"/>
          <w:rFonts w:cs="FrankRuehl"/>
          <w:sz w:val="26"/>
          <w:szCs w:val="26"/>
          <w:rtl/>
        </w:rPr>
        <w:tab/>
      </w:r>
      <w:r>
        <w:rPr>
          <w:rStyle w:val="default"/>
          <w:rFonts w:cs="FrankRuehl" w:hint="cs"/>
          <w:rtl/>
        </w:rPr>
        <w:t>מסמכומים ששילם עמית בשנת המס לקופת גמל מרכזית לקצבה, ואשר אילו שילם אותם בשנים קודמות היו מותרים בניכוי לפי האמור בתקנה 2(א) או (ב) או בתקנה 3, יותרו בניכוי הסכומים שהיו מותרים בניכוי כאמור, בשלושה חלקים שווים, בשנת המס שבה שולמו ובשתי שנות המס שלאחריה.</w:t>
      </w:r>
    </w:p>
    <w:p w14:paraId="647682D8" w14:textId="77777777" w:rsidR="004F22C9" w:rsidRDefault="004F22C9">
      <w:pPr>
        <w:pStyle w:val="P00"/>
        <w:spacing w:before="72"/>
        <w:ind w:left="0" w:right="1134"/>
        <w:rPr>
          <w:rStyle w:val="default"/>
          <w:rFonts w:cs="FrankRuehl" w:hint="cs"/>
          <w:rtl/>
        </w:rPr>
      </w:pPr>
      <w:bookmarkStart w:id="4" w:name="Seif5"/>
      <w:bookmarkEnd w:id="4"/>
      <w:r>
        <w:rPr>
          <w:rFonts w:cs="Miriam"/>
          <w:lang w:val="he-IL"/>
        </w:rPr>
        <w:pict w14:anchorId="68F03F52">
          <v:rect id="_x0000_s1174" style="position:absolute;left:0;text-align:left;margin-left:464.5pt;margin-top:8.05pt;width:75.05pt;height:22.9pt;z-index:251658752" o:allowincell="f" filled="f" stroked="f" strokecolor="lime" strokeweight=".25pt">
            <v:textbox inset="0,0,0,0">
              <w:txbxContent>
                <w:p w14:paraId="1245AF6E" w14:textId="77777777" w:rsidR="004F22C9" w:rsidRDefault="004F22C9">
                  <w:pPr>
                    <w:widowControl/>
                    <w:spacing w:before="0" w:line="160" w:lineRule="exact"/>
                    <w:ind w:left="0"/>
                    <w:jc w:val="left"/>
                    <w:rPr>
                      <w:rFonts w:cs="Miriam" w:hint="cs"/>
                      <w:noProof/>
                      <w:szCs w:val="18"/>
                      <w:rtl/>
                    </w:rPr>
                  </w:pPr>
                  <w:r>
                    <w:rPr>
                      <w:rFonts w:cs="Miriam" w:hint="cs"/>
                      <w:szCs w:val="18"/>
                      <w:rtl/>
                    </w:rPr>
                    <w:t>הגבלת ניכוי הוצאות בשל קצבה</w:t>
                  </w:r>
                </w:p>
              </w:txbxContent>
            </v:textbox>
            <w10:anchorlock/>
          </v:rect>
        </w:pict>
      </w:r>
      <w:r>
        <w:rPr>
          <w:rStyle w:val="big-number"/>
          <w:rtl/>
        </w:rPr>
        <w:t>5</w:t>
      </w:r>
      <w:r>
        <w:rPr>
          <w:rStyle w:val="big-number"/>
          <w:rFonts w:cs="FrankRuehl"/>
          <w:sz w:val="26"/>
          <w:szCs w:val="26"/>
          <w:rtl/>
        </w:rPr>
        <w:t>.</w:t>
      </w:r>
      <w:r>
        <w:rPr>
          <w:rStyle w:val="big-number"/>
          <w:rFonts w:cs="FrankRuehl"/>
          <w:sz w:val="26"/>
          <w:szCs w:val="26"/>
          <w:rtl/>
        </w:rPr>
        <w:tab/>
      </w:r>
      <w:r>
        <w:rPr>
          <w:rStyle w:val="default"/>
          <w:rFonts w:cs="FrankRuehl" w:hint="cs"/>
          <w:rtl/>
        </w:rPr>
        <w:t>לעמית לא יותרו בניכוי הוצאות הכרוכות במחויבותו לקצבה או לפיצויים כלפי עובד זכאי בשל רכיבי השכר המזכים, אלא על פי תקנות אלה.</w:t>
      </w:r>
    </w:p>
    <w:p w14:paraId="318680FF" w14:textId="77777777" w:rsidR="004F22C9" w:rsidRDefault="004F22C9">
      <w:pPr>
        <w:pStyle w:val="P00"/>
        <w:spacing w:before="72"/>
        <w:ind w:left="0" w:right="1134"/>
        <w:rPr>
          <w:rStyle w:val="default"/>
          <w:rFonts w:cs="FrankRuehl" w:hint="cs"/>
          <w:rtl/>
        </w:rPr>
      </w:pPr>
      <w:bookmarkStart w:id="5" w:name="Seif6"/>
      <w:bookmarkEnd w:id="5"/>
      <w:r>
        <w:rPr>
          <w:rFonts w:cs="Miriam"/>
          <w:lang w:val="he-IL"/>
        </w:rPr>
        <w:pict w14:anchorId="63BA2D37">
          <v:rect id="_x0000_s1175" style="position:absolute;left:0;text-align:left;margin-left:470.7pt;margin-top:8.05pt;width:68.85pt;height:14pt;z-index:251659776" o:allowincell="f" filled="f" stroked="f" strokecolor="lime" strokeweight=".25pt">
            <v:textbox inset="0,0,0,0">
              <w:txbxContent>
                <w:p w14:paraId="25F1507B" w14:textId="77777777" w:rsidR="004F22C9" w:rsidRDefault="004F22C9">
                  <w:pPr>
                    <w:widowControl/>
                    <w:spacing w:before="0" w:line="160" w:lineRule="exact"/>
                    <w:ind w:left="0"/>
                    <w:jc w:val="left"/>
                    <w:rPr>
                      <w:rFonts w:cs="Miriam" w:hint="cs"/>
                      <w:noProof/>
                      <w:szCs w:val="18"/>
                      <w:rtl/>
                    </w:rPr>
                  </w:pPr>
                  <w:r>
                    <w:rPr>
                      <w:rFonts w:cs="Miriam" w:hint="cs"/>
                      <w:szCs w:val="18"/>
                      <w:rtl/>
                    </w:rPr>
                    <w:t>דרכי הוכחה</w:t>
                  </w:r>
                </w:p>
              </w:txbxContent>
            </v:textbox>
            <w10:anchorlock/>
          </v:rect>
        </w:pict>
      </w:r>
      <w:r>
        <w:rPr>
          <w:rStyle w:val="big-number"/>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לא יותרו בניכוי ההוצאות המפורטות בתקנות אלה, אלא אם כן הגיש העמית לפקיד השומה דין וחשבון בטופס שהורה עליו הנציב, ואשר יכלול, בין השאר, פרטים של העובדים הזכאים, ולגבי כל אחד מהם </w:t>
      </w:r>
      <w:r>
        <w:rPr>
          <w:rStyle w:val="default"/>
          <w:rFonts w:cs="FrankRuehl"/>
          <w:rtl/>
        </w:rPr>
        <w:t>–</w:t>
      </w:r>
      <w:r>
        <w:rPr>
          <w:rStyle w:val="default"/>
          <w:rFonts w:cs="FrankRuehl" w:hint="cs"/>
          <w:rtl/>
        </w:rPr>
        <w:t xml:space="preserve"> גם את סכום הפקדותיו, רכיבי השכר המזכים ומחויבותו האקטוארית כלפיו.</w:t>
      </w:r>
    </w:p>
    <w:p w14:paraId="100F7907" w14:textId="77777777" w:rsidR="004F22C9" w:rsidRDefault="004F22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העמית ישמור כל מסמך ורישום הקשור בקופת הגמל המרכזית לקצבה, לרבות מסמך </w:t>
      </w:r>
      <w:r>
        <w:rPr>
          <w:rStyle w:val="default"/>
          <w:rFonts w:cs="FrankRuehl" w:hint="cs"/>
          <w:rtl/>
        </w:rPr>
        <w:lastRenderedPageBreak/>
        <w:t>הנוגע למחויבותו האקטוארית ולעדכונים שנערכו בה, להפקדות, לתשלומים ולדיווחים, וזאת עד תום 7 שנים שלאחר התשלום האחרון למי מהעובדים הזכאים, לשאיריהם הזכאים או לעמית עצמו, לפי המאוחר.</w:t>
      </w:r>
    </w:p>
    <w:p w14:paraId="3CA2B279" w14:textId="77777777" w:rsidR="004F22C9" w:rsidRDefault="004F22C9">
      <w:pPr>
        <w:pStyle w:val="P00"/>
        <w:spacing w:before="72"/>
        <w:ind w:left="0" w:right="1134"/>
        <w:rPr>
          <w:rStyle w:val="default"/>
          <w:rFonts w:cs="FrankRuehl" w:hint="cs"/>
          <w:rtl/>
        </w:rPr>
      </w:pPr>
      <w:bookmarkStart w:id="6" w:name="Seif7"/>
      <w:bookmarkEnd w:id="6"/>
      <w:r>
        <w:rPr>
          <w:rFonts w:cs="Miriam"/>
          <w:lang w:val="he-IL"/>
        </w:rPr>
        <w:pict w14:anchorId="78657D8E">
          <v:rect id="_x0000_s1176" style="position:absolute;left:0;text-align:left;margin-left:464.5pt;margin-top:8.05pt;width:75.05pt;height:10pt;z-index:251660800" o:allowincell="f" filled="f" stroked="f" strokecolor="lime" strokeweight=".25pt">
            <v:textbox inset="0,0,0,0">
              <w:txbxContent>
                <w:p w14:paraId="3B5CEDDF" w14:textId="77777777" w:rsidR="004F22C9" w:rsidRDefault="004F22C9">
                  <w:pPr>
                    <w:widowControl/>
                    <w:spacing w:before="0" w:line="160" w:lineRule="exact"/>
                    <w:ind w:left="0"/>
                    <w:jc w:val="left"/>
                    <w:rPr>
                      <w:rFonts w:cs="Miriam" w:hint="cs"/>
                      <w:noProof/>
                      <w:szCs w:val="18"/>
                      <w:rtl/>
                    </w:rPr>
                  </w:pPr>
                  <w:r>
                    <w:rPr>
                      <w:rFonts w:cs="Miriam" w:hint="cs"/>
                      <w:szCs w:val="18"/>
                      <w:rtl/>
                    </w:rPr>
                    <w:t>תחילה</w:t>
                  </w:r>
                </w:p>
              </w:txbxContent>
            </v:textbox>
            <w10:anchorlock/>
          </v:rect>
        </w:pict>
      </w:r>
      <w:r>
        <w:rPr>
          <w:rStyle w:val="big-number"/>
          <w:rtl/>
        </w:rPr>
        <w:t>7</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30 ימים מיום פרסומן.</w:t>
      </w:r>
    </w:p>
    <w:p w14:paraId="48A596E3" w14:textId="77777777" w:rsidR="004F22C9" w:rsidRDefault="004F22C9">
      <w:pPr>
        <w:pStyle w:val="medium-header"/>
        <w:keepNext w:val="0"/>
        <w:keepLines w:val="0"/>
        <w:ind w:left="0" w:right="1134"/>
        <w:jc w:val="both"/>
        <w:rPr>
          <w:rStyle w:val="default"/>
          <w:rFonts w:cs="FrankRuehl" w:hint="cs"/>
          <w:rtl/>
        </w:rPr>
      </w:pPr>
    </w:p>
    <w:p w14:paraId="139A4E85" w14:textId="77777777" w:rsidR="004F22C9" w:rsidRDefault="004F22C9">
      <w:pPr>
        <w:pStyle w:val="medium-header"/>
        <w:keepNext w:val="0"/>
        <w:keepLines w:val="0"/>
        <w:ind w:left="0" w:right="1134"/>
        <w:jc w:val="both"/>
        <w:rPr>
          <w:rStyle w:val="default"/>
          <w:rFonts w:cs="FrankRuehl"/>
          <w:rtl/>
        </w:rPr>
      </w:pPr>
    </w:p>
    <w:p w14:paraId="21C305CE" w14:textId="77777777" w:rsidR="004F22C9" w:rsidRDefault="004F22C9">
      <w:pPr>
        <w:pStyle w:val="sig-0"/>
        <w:ind w:left="0" w:right="1134"/>
        <w:rPr>
          <w:rFonts w:hint="cs"/>
          <w:rtl/>
        </w:rPr>
      </w:pPr>
      <w:r>
        <w:rPr>
          <w:rFonts w:hint="cs"/>
          <w:rtl/>
        </w:rPr>
        <w:t>י"ב בסיון התשס"ג (12 ביוני 2003)</w:t>
      </w:r>
    </w:p>
    <w:p w14:paraId="51C2803C" w14:textId="77777777" w:rsidR="004F22C9" w:rsidRDefault="004F22C9">
      <w:pPr>
        <w:pStyle w:val="sig-0"/>
        <w:tabs>
          <w:tab w:val="clear" w:pos="4820"/>
          <w:tab w:val="center" w:pos="4536"/>
        </w:tabs>
        <w:ind w:left="0" w:right="1134"/>
        <w:rPr>
          <w:rtl/>
        </w:rPr>
      </w:pPr>
    </w:p>
    <w:p w14:paraId="2DBE53D1" w14:textId="77777777" w:rsidR="004F22C9" w:rsidRDefault="004F22C9">
      <w:pPr>
        <w:pStyle w:val="sig-1"/>
        <w:widowControl/>
        <w:tabs>
          <w:tab w:val="clear" w:pos="851"/>
          <w:tab w:val="clear" w:pos="2835"/>
          <w:tab w:val="clear" w:pos="4820"/>
          <w:tab w:val="center" w:pos="4536"/>
        </w:tabs>
        <w:ind w:left="0" w:right="1134"/>
        <w:rPr>
          <w:rFonts w:hint="cs"/>
          <w:sz w:val="26"/>
          <w:szCs w:val="26"/>
          <w:rtl/>
        </w:rPr>
      </w:pPr>
      <w:r>
        <w:rPr>
          <w:rFonts w:hint="cs"/>
          <w:sz w:val="26"/>
          <w:szCs w:val="26"/>
          <w:rtl/>
        </w:rPr>
        <w:tab/>
        <w:t>בנימין נתניהו</w:t>
      </w:r>
    </w:p>
    <w:p w14:paraId="79A2407B" w14:textId="77777777" w:rsidR="004F22C9" w:rsidRDefault="004F22C9">
      <w:pPr>
        <w:pStyle w:val="sig-1"/>
        <w:widowControl/>
        <w:tabs>
          <w:tab w:val="clear" w:pos="851"/>
          <w:tab w:val="clear" w:pos="2835"/>
          <w:tab w:val="clear" w:pos="4820"/>
          <w:tab w:val="center" w:pos="4536"/>
        </w:tabs>
        <w:ind w:left="0" w:right="1134"/>
        <w:rPr>
          <w:rFonts w:hint="cs"/>
          <w:rtl/>
        </w:rPr>
      </w:pPr>
      <w:r>
        <w:rPr>
          <w:rFonts w:hint="cs"/>
          <w:rtl/>
        </w:rPr>
        <w:tab/>
        <w:t>שר האוצר</w:t>
      </w:r>
    </w:p>
    <w:p w14:paraId="60909A6E" w14:textId="77777777" w:rsidR="004F22C9" w:rsidRDefault="004F22C9">
      <w:pPr>
        <w:pStyle w:val="sig-1"/>
        <w:widowControl/>
        <w:ind w:left="0" w:right="1134"/>
        <w:rPr>
          <w:rtl/>
        </w:rPr>
      </w:pPr>
    </w:p>
    <w:p w14:paraId="26814F98" w14:textId="77777777" w:rsidR="0073018C" w:rsidRDefault="0073018C">
      <w:pPr>
        <w:pStyle w:val="page"/>
        <w:widowControl/>
        <w:ind w:right="1134"/>
        <w:rPr>
          <w:noProof w:val="0"/>
          <w:rtl/>
        </w:rPr>
      </w:pPr>
    </w:p>
    <w:p w14:paraId="49D747B2" w14:textId="77777777" w:rsidR="0073018C" w:rsidRDefault="0073018C">
      <w:pPr>
        <w:pStyle w:val="page"/>
        <w:widowControl/>
        <w:ind w:right="1134"/>
        <w:rPr>
          <w:noProof w:val="0"/>
          <w:rtl/>
        </w:rPr>
      </w:pPr>
    </w:p>
    <w:p w14:paraId="62E64A75" w14:textId="77777777" w:rsidR="0073018C" w:rsidRDefault="0073018C" w:rsidP="0073018C">
      <w:pPr>
        <w:pStyle w:val="page"/>
        <w:widowControl/>
        <w:ind w:right="1134"/>
        <w:jc w:val="center"/>
        <w:rPr>
          <w:noProof w:val="0"/>
          <w:color w:val="0000FF"/>
          <w:szCs w:val="24"/>
          <w:u w:val="single"/>
          <w:rtl/>
        </w:rPr>
      </w:pPr>
      <w:hyperlink r:id="rId6" w:history="1">
        <w:r>
          <w:rPr>
            <w:noProof w:val="0"/>
            <w:color w:val="0000FF"/>
            <w:szCs w:val="24"/>
            <w:u w:val="single"/>
            <w:rtl/>
          </w:rPr>
          <w:t>הודעה למנויים על עריכה ושינויים במסמכי פסיקה, חקיקה ועוד באתר נבו - הקש כאן</w:t>
        </w:r>
      </w:hyperlink>
    </w:p>
    <w:p w14:paraId="37C35FB1" w14:textId="77777777" w:rsidR="004F22C9" w:rsidRPr="0073018C" w:rsidRDefault="004F22C9" w:rsidP="0073018C">
      <w:pPr>
        <w:pStyle w:val="page"/>
        <w:widowControl/>
        <w:ind w:right="1134"/>
        <w:jc w:val="center"/>
        <w:rPr>
          <w:noProof w:val="0"/>
          <w:color w:val="0000FF"/>
          <w:szCs w:val="24"/>
          <w:u w:val="single"/>
          <w:rtl/>
        </w:rPr>
      </w:pPr>
    </w:p>
    <w:sectPr w:rsidR="004F22C9" w:rsidRPr="0073018C">
      <w:headerReference w:type="default" r:id="rId7"/>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40D96" w14:textId="77777777" w:rsidR="00BE7590" w:rsidRDefault="00BE7590">
      <w:r>
        <w:separator/>
      </w:r>
    </w:p>
  </w:endnote>
  <w:endnote w:type="continuationSeparator" w:id="0">
    <w:p w14:paraId="59C27B73" w14:textId="77777777" w:rsidR="00BE7590" w:rsidRDefault="00BE7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EA3F9" w14:textId="77777777" w:rsidR="00BE7590" w:rsidRDefault="00BE7590" w:rsidP="00A8464A">
      <w:pPr>
        <w:ind w:left="0" w:right="1134"/>
      </w:pPr>
      <w:r>
        <w:separator/>
      </w:r>
    </w:p>
  </w:footnote>
  <w:footnote w:type="continuationSeparator" w:id="0">
    <w:p w14:paraId="760FC22B" w14:textId="77777777" w:rsidR="00BE7590" w:rsidRDefault="00BE7590">
      <w:r>
        <w:continuationSeparator/>
      </w:r>
    </w:p>
  </w:footnote>
  <w:footnote w:id="1">
    <w:p w14:paraId="316E61FC" w14:textId="77777777" w:rsidR="004F22C9" w:rsidRDefault="004F22C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0D5847">
          <w:rPr>
            <w:rStyle w:val="Hyperlink"/>
            <w:rFonts w:hint="cs"/>
            <w:sz w:val="20"/>
            <w:rtl/>
          </w:rPr>
          <w:t>ק"ת תשס"ג מס' 6249</w:t>
        </w:r>
      </w:hyperlink>
      <w:r>
        <w:rPr>
          <w:rFonts w:hint="cs"/>
          <w:sz w:val="20"/>
          <w:rtl/>
        </w:rPr>
        <w:t xml:space="preserve"> מיום 7.7.2003 עמ' 834.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FBB67" w14:textId="77777777" w:rsidR="004F22C9" w:rsidRDefault="004F22C9">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מס הכנסה (ניכוי הוצאות של עמית בקופת גמל מרכזית לקצבה), תשס"ג-2003</w:t>
    </w:r>
  </w:p>
  <w:p w14:paraId="738544EB" w14:textId="77777777" w:rsidR="004F22C9" w:rsidRDefault="004F22C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AB1D7CB" w14:textId="77777777" w:rsidR="004F22C9" w:rsidRDefault="004F22C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5847"/>
    <w:rsid w:val="000D5847"/>
    <w:rsid w:val="002C42E9"/>
    <w:rsid w:val="004F22C9"/>
    <w:rsid w:val="0073018C"/>
    <w:rsid w:val="00A8464A"/>
    <w:rsid w:val="00BE7590"/>
    <w:rsid w:val="00C5034E"/>
    <w:rsid w:val="00DA6E49"/>
    <w:rsid w:val="00E549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941A9D3"/>
  <w15:chartTrackingRefBased/>
  <w15:docId w15:val="{6D222518-FF37-4397-B102-36129145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bidi/>
      <w:spacing w:before="60"/>
      <w:ind w:left="2835"/>
      <w:jc w:val="both"/>
    </w:pPr>
    <w:rPr>
      <w:rFonts w:cs="FrankRuehl"/>
      <w:szCs w:val="26"/>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big-header">
    <w:name w:val="big-header"/>
    <w:basedOn w:val="P00"/>
    <w:pPr>
      <w:keepNext/>
      <w:keepLines/>
      <w:tabs>
        <w:tab w:val="clear" w:pos="6259"/>
      </w:tabs>
      <w:spacing w:before="440" w:after="120"/>
      <w:jc w:val="center"/>
    </w:pPr>
    <w:rPr>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0"/>
    </w:rPr>
  </w:style>
  <w:style w:type="paragraph" w:styleId="a4">
    <w:name w:val="footer"/>
    <w:basedOn w:val="a"/>
    <w:pPr>
      <w:tabs>
        <w:tab w:val="center" w:pos="4153"/>
        <w:tab w:val="right" w:pos="8306"/>
      </w:tabs>
    </w:pPr>
    <w:rPr>
      <w:szCs w:val="20"/>
    </w:rPr>
  </w:style>
  <w:style w:type="paragraph" w:styleId="a5">
    <w:name w:val="footnote text"/>
    <w:basedOn w:val="a"/>
    <w:semiHidden/>
    <w:rPr>
      <w:szCs w:val="20"/>
    </w:rPr>
  </w:style>
  <w:style w:type="character" w:styleId="a6">
    <w:name w:val="footnote reference"/>
    <w:basedOn w:val="a0"/>
    <w:semiHidden/>
    <w:rPr>
      <w:vertAlign w:val="superscript"/>
    </w:rPr>
  </w:style>
  <w:style w:type="character" w:styleId="Hyperlink">
    <w:name w:val="Hyperlink"/>
    <w:basedOn w:val="a0"/>
    <w:rsid w:val="000D58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00</vt:lpstr>
    </vt:vector>
  </TitlesOfParts>
  <Company/>
  <LinksUpToDate>false</LinksUpToDate>
  <CharactersWithSpaces>4329</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8060931</vt:i4>
      </vt:variant>
      <vt:variant>
        <vt:i4>0</vt:i4>
      </vt:variant>
      <vt:variant>
        <vt:i4>0</vt:i4>
      </vt:variant>
      <vt:variant>
        <vt:i4>5</vt:i4>
      </vt:variant>
      <vt:variant>
        <vt:lpwstr>http://www.nevo.co.il/Law_word/law06/TAK-6249.pdf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CHNAME">
    <vt:lpwstr>מס הכנסה</vt:lpwstr>
  </property>
  <property fmtid="{D5CDD505-2E9C-101B-9397-08002B2CF9AE}" pid="4" name="LAWNAME">
    <vt:lpwstr>תקנות מס הכנסה (ניכוי הוצאות של עמית בקופת גמל מרכזית לקצבה), תשס"ג-2003</vt:lpwstr>
  </property>
  <property fmtid="{D5CDD505-2E9C-101B-9397-08002B2CF9AE}" pid="5" name="LAWNUMBER">
    <vt:lpwstr>171</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ניכויים</vt:lpwstr>
  </property>
  <property fmtid="{D5CDD505-2E9C-101B-9397-08002B2CF9AE}" pid="10" name="NOSE41">
    <vt:lpwstr>ניכוי הוצאות מסוימות</vt:lpwstr>
  </property>
  <property fmtid="{D5CDD505-2E9C-101B-9397-08002B2CF9AE}" pid="11" name="NOSE12">
    <vt:lpwstr>מסים</vt:lpwstr>
  </property>
  <property fmtid="{D5CDD505-2E9C-101B-9397-08002B2CF9AE}" pid="12" name="NOSE22">
    <vt:lpwstr>מס הכנסה</vt:lpwstr>
  </property>
  <property fmtid="{D5CDD505-2E9C-101B-9397-08002B2CF9AE}" pid="13" name="NOSE32">
    <vt:lpwstr>קופות גמל</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